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DBA46" w14:textId="77777777" w:rsidR="0092119C" w:rsidRDefault="00000000">
      <w:pPr>
        <w:spacing w:after="0" w:line="240" w:lineRule="auto"/>
        <w:ind w:left="0" w:hanging="2"/>
        <w:jc w:val="center"/>
        <w:rPr>
          <w:rFonts w:ascii="Times New Roman" w:eastAsia="Times New Roman" w:hAnsi="Times New Roman"/>
          <w:color w:val="FF0000"/>
        </w:rPr>
      </w:pPr>
      <w:bookmarkStart w:id="0" w:name="_heading=h.gjdgxs" w:colFirst="0" w:colLast="0"/>
      <w:bookmarkEnd w:id="0"/>
      <w:r>
        <w:rPr>
          <w:rFonts w:ascii="Times New Roman" w:eastAsia="Times New Roman" w:hAnsi="Times New Roman"/>
          <w:color w:val="FF0000"/>
        </w:rPr>
        <w:t>http://ejournal.stipjakarta.ac.id</w:t>
      </w:r>
    </w:p>
    <w:tbl>
      <w:tblPr>
        <w:tblStyle w:val="a"/>
        <w:tblW w:w="9639" w:type="dxa"/>
        <w:jc w:val="center"/>
        <w:tblBorders>
          <w:top w:val="single" w:sz="4" w:space="0" w:color="7E7E7E"/>
          <w:left w:val="nil"/>
          <w:bottom w:val="single" w:sz="4" w:space="0" w:color="7E7E7E"/>
          <w:right w:val="nil"/>
          <w:insideH w:val="nil"/>
          <w:insideV w:val="nil"/>
        </w:tblBorders>
        <w:tblLayout w:type="fixed"/>
        <w:tblLook w:val="0000" w:firstRow="0" w:lastRow="0" w:firstColumn="0" w:lastColumn="0" w:noHBand="0" w:noVBand="0"/>
      </w:tblPr>
      <w:tblGrid>
        <w:gridCol w:w="1979"/>
        <w:gridCol w:w="7660"/>
      </w:tblGrid>
      <w:tr w:rsidR="0092119C" w14:paraId="732A7425" w14:textId="77777777">
        <w:trPr>
          <w:trHeight w:val="1321"/>
          <w:jc w:val="center"/>
        </w:trPr>
        <w:tc>
          <w:tcPr>
            <w:tcW w:w="1979" w:type="dxa"/>
            <w:tcBorders>
              <w:bottom w:val="single" w:sz="4" w:space="0" w:color="7E7E7E"/>
            </w:tcBorders>
            <w:shd w:val="clear" w:color="auto" w:fill="D8D8D8"/>
            <w:vAlign w:val="center"/>
          </w:tcPr>
          <w:p w14:paraId="643FF21C" w14:textId="77777777" w:rsidR="0092119C" w:rsidRDefault="00000000">
            <w:pPr>
              <w:spacing w:after="0" w:line="240" w:lineRule="auto"/>
              <w:ind w:left="0" w:hanging="2"/>
              <w:jc w:val="center"/>
              <w:rPr>
                <w:b/>
              </w:rPr>
            </w:pPr>
            <w:r>
              <w:rPr>
                <w:b/>
                <w:noProof/>
              </w:rPr>
              <w:drawing>
                <wp:inline distT="0" distB="0" distL="0" distR="0" wp14:anchorId="02E715B8" wp14:editId="7638D7E2">
                  <wp:extent cx="1119505" cy="891540"/>
                  <wp:effectExtent l="0" t="0" r="0" b="0"/>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9505" cy="891540"/>
                          </a:xfrm>
                          <a:prstGeom prst="rect">
                            <a:avLst/>
                          </a:prstGeom>
                          <a:ln/>
                        </pic:spPr>
                      </pic:pic>
                    </a:graphicData>
                  </a:graphic>
                </wp:inline>
              </w:drawing>
            </w:r>
          </w:p>
        </w:tc>
        <w:tc>
          <w:tcPr>
            <w:tcW w:w="7660" w:type="dxa"/>
            <w:tcBorders>
              <w:bottom w:val="single" w:sz="4" w:space="0" w:color="7E7E7E"/>
            </w:tcBorders>
            <w:shd w:val="clear" w:color="auto" w:fill="D8D8D8"/>
            <w:vAlign w:val="center"/>
          </w:tcPr>
          <w:p w14:paraId="0437FE7B" w14:textId="77777777" w:rsidR="0092119C" w:rsidRDefault="00000000">
            <w:pPr>
              <w:spacing w:after="0" w:line="240" w:lineRule="auto"/>
              <w:ind w:left="5" w:hanging="7"/>
              <w:jc w:val="center"/>
              <w:rPr>
                <w:i/>
                <w:color w:val="1F497D"/>
                <w:sz w:val="66"/>
                <w:szCs w:val="66"/>
              </w:rPr>
            </w:pPr>
            <w:r>
              <w:rPr>
                <w:i/>
                <w:color w:val="1F497D"/>
                <w:sz w:val="66"/>
                <w:szCs w:val="66"/>
              </w:rPr>
              <w:t>METEOR STIP MARUNDA</w:t>
            </w:r>
          </w:p>
        </w:tc>
      </w:tr>
      <w:tr w:rsidR="0092119C" w14:paraId="288F45FE" w14:textId="77777777">
        <w:trPr>
          <w:trHeight w:val="273"/>
          <w:jc w:val="center"/>
        </w:trPr>
        <w:tc>
          <w:tcPr>
            <w:tcW w:w="1979" w:type="dxa"/>
            <w:tcBorders>
              <w:top w:val="single" w:sz="4" w:space="0" w:color="7E7E7E"/>
              <w:bottom w:val="single" w:sz="4" w:space="0" w:color="7E7E7E"/>
            </w:tcBorders>
            <w:shd w:val="clear" w:color="auto" w:fill="D8D8D8"/>
          </w:tcPr>
          <w:p w14:paraId="3EB6A9E0" w14:textId="77777777" w:rsidR="0092119C" w:rsidRDefault="00000000">
            <w:pPr>
              <w:spacing w:after="0" w:line="240" w:lineRule="auto"/>
              <w:ind w:left="0" w:hanging="2"/>
              <w:rPr>
                <w:sz w:val="16"/>
                <w:szCs w:val="16"/>
              </w:rPr>
            </w:pPr>
            <w:r>
              <w:rPr>
                <w:sz w:val="16"/>
                <w:szCs w:val="16"/>
              </w:rPr>
              <w:t>pISSN    : 1979 – 4746</w:t>
            </w:r>
          </w:p>
          <w:p w14:paraId="009FC8BA" w14:textId="77777777" w:rsidR="0092119C" w:rsidRDefault="00000000">
            <w:pPr>
              <w:spacing w:after="0" w:line="240" w:lineRule="auto"/>
              <w:ind w:left="0" w:hanging="2"/>
              <w:rPr>
                <w:sz w:val="16"/>
                <w:szCs w:val="16"/>
              </w:rPr>
            </w:pPr>
            <w:r>
              <w:rPr>
                <w:sz w:val="16"/>
                <w:szCs w:val="16"/>
              </w:rPr>
              <w:t>eISSN    : 2685 - 4775</w:t>
            </w:r>
          </w:p>
        </w:tc>
        <w:tc>
          <w:tcPr>
            <w:tcW w:w="7660" w:type="dxa"/>
            <w:tcBorders>
              <w:top w:val="single" w:sz="4" w:space="0" w:color="7E7E7E"/>
              <w:bottom w:val="single" w:sz="4" w:space="0" w:color="7E7E7E"/>
            </w:tcBorders>
            <w:shd w:val="clear" w:color="auto" w:fill="D8D8D8"/>
            <w:vAlign w:val="center"/>
          </w:tcPr>
          <w:p w14:paraId="0CE42C97" w14:textId="77777777" w:rsidR="0092119C" w:rsidRDefault="00000000">
            <w:pPr>
              <w:spacing w:after="0" w:line="240" w:lineRule="auto"/>
              <w:ind w:left="0" w:hanging="2"/>
              <w:jc w:val="center"/>
              <w:rPr>
                <w:i/>
                <w:color w:val="000080"/>
                <w:sz w:val="160"/>
                <w:szCs w:val="160"/>
              </w:rPr>
            </w:pPr>
            <w:r>
              <w:rPr>
                <w:b/>
                <w:i/>
                <w:color w:val="1F497D"/>
                <w:sz w:val="24"/>
                <w:szCs w:val="24"/>
              </w:rPr>
              <w:t>Maritime Institute  of Jakarta</w:t>
            </w:r>
          </w:p>
        </w:tc>
      </w:tr>
    </w:tbl>
    <w:p w14:paraId="1B7CFBE7" w14:textId="77777777" w:rsidR="0092119C" w:rsidRDefault="0092119C">
      <w:pPr>
        <w:spacing w:after="0" w:line="240" w:lineRule="auto"/>
        <w:ind w:left="0" w:hanging="2"/>
        <w:rPr>
          <w:rFonts w:ascii="Times New Roman" w:eastAsia="Times New Roman" w:hAnsi="Times New Roman"/>
          <w:b/>
          <w:color w:val="000000"/>
        </w:rPr>
      </w:pPr>
    </w:p>
    <w:tbl>
      <w:tblPr>
        <w:tblStyle w:val="a0"/>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10E5B5B7" w14:textId="77777777">
        <w:tc>
          <w:tcPr>
            <w:tcW w:w="9639" w:type="dxa"/>
            <w:tcBorders>
              <w:top w:val="single" w:sz="24" w:space="0" w:color="000000"/>
              <w:bottom w:val="single" w:sz="8" w:space="0" w:color="000000"/>
            </w:tcBorders>
          </w:tcPr>
          <w:p w14:paraId="24D887DA" w14:textId="7C0A1006" w:rsidR="0092119C" w:rsidRDefault="0092119C">
            <w:pPr>
              <w:spacing w:after="0" w:line="240" w:lineRule="auto"/>
              <w:ind w:left="0" w:hanging="2"/>
              <w:jc w:val="center"/>
            </w:pPr>
          </w:p>
          <w:p w14:paraId="3B55154C" w14:textId="678D1CC4" w:rsidR="0092119C" w:rsidRDefault="002D1AFA">
            <w:pPr>
              <w:spacing w:after="0" w:line="240" w:lineRule="auto"/>
              <w:ind w:left="1" w:hanging="3"/>
              <w:jc w:val="center"/>
            </w:pPr>
            <w:r w:rsidRPr="002D1AFA">
              <w:rPr>
                <w:b/>
                <w:sz w:val="32"/>
                <w:szCs w:val="32"/>
              </w:rPr>
              <w:t>Effectiveness Analysis of Indonesia's Port State Control Inspection Under Tokyo MOU: A Mixed-Methods Approach</w:t>
            </w:r>
          </w:p>
          <w:p w14:paraId="7F64484B" w14:textId="77777777" w:rsidR="006F16E4" w:rsidRDefault="00000000">
            <w:pPr>
              <w:spacing w:after="0" w:line="240" w:lineRule="auto"/>
              <w:ind w:left="0" w:hanging="2"/>
              <w:jc w:val="center"/>
              <w:rPr>
                <w:iCs/>
              </w:rPr>
            </w:pPr>
            <w:r w:rsidRPr="00483E99">
              <w:rPr>
                <w:iCs/>
                <w:vertAlign w:val="superscript"/>
              </w:rPr>
              <w:t>1</w:t>
            </w:r>
            <w:r w:rsidR="00576418">
              <w:rPr>
                <w:iCs/>
              </w:rPr>
              <w:t>Femmy Sofie Schouten</w:t>
            </w:r>
            <w:r w:rsidRPr="00483E99">
              <w:rPr>
                <w:iCs/>
              </w:rPr>
              <w:t xml:space="preserve">, </w:t>
            </w:r>
            <w:r w:rsidRPr="00483E99">
              <w:rPr>
                <w:iCs/>
                <w:vertAlign w:val="superscript"/>
              </w:rPr>
              <w:t>2</w:t>
            </w:r>
            <w:r w:rsidR="00576418">
              <w:rPr>
                <w:iCs/>
              </w:rPr>
              <w:t xml:space="preserve">M Adil Wanadi </w:t>
            </w:r>
            <w:r w:rsidRPr="00483E99">
              <w:rPr>
                <w:iCs/>
              </w:rPr>
              <w:t xml:space="preserve">, </w:t>
            </w:r>
            <w:r w:rsidRPr="00483E99">
              <w:rPr>
                <w:iCs/>
                <w:vertAlign w:val="superscript"/>
              </w:rPr>
              <w:t>3</w:t>
            </w:r>
            <w:r w:rsidR="00576418">
              <w:rPr>
                <w:iCs/>
              </w:rPr>
              <w:t>Wisnu Wardana Kusuma</w:t>
            </w:r>
            <w:r w:rsidR="006F16E4">
              <w:rPr>
                <w:iCs/>
              </w:rPr>
              <w:t xml:space="preserve">, </w:t>
            </w:r>
            <w:r w:rsidR="006F16E4">
              <w:rPr>
                <w:iCs/>
                <w:vertAlign w:val="superscript"/>
              </w:rPr>
              <w:t>4</w:t>
            </w:r>
            <w:r w:rsidR="006F16E4">
              <w:rPr>
                <w:iCs/>
              </w:rPr>
              <w:t>Agus Pramono,</w:t>
            </w:r>
          </w:p>
          <w:p w14:paraId="4A1ED1BF" w14:textId="2BD25BD4" w:rsidR="0092119C" w:rsidRPr="006F16E4" w:rsidRDefault="006F16E4">
            <w:pPr>
              <w:spacing w:after="0" w:line="240" w:lineRule="auto"/>
              <w:ind w:left="0" w:hanging="2"/>
              <w:jc w:val="center"/>
              <w:rPr>
                <w:iCs/>
              </w:rPr>
            </w:pPr>
            <w:r>
              <w:rPr>
                <w:iCs/>
                <w:vertAlign w:val="superscript"/>
              </w:rPr>
              <w:t>5</w:t>
            </w:r>
            <w:r>
              <w:rPr>
                <w:iCs/>
              </w:rPr>
              <w:t>Dandun Prakosa</w:t>
            </w:r>
            <w:r w:rsidRPr="00483E99">
              <w:rPr>
                <w:iCs/>
              </w:rPr>
              <w:t xml:space="preserve"> </w:t>
            </w:r>
            <w:r>
              <w:rPr>
                <w:iCs/>
                <w:vertAlign w:val="superscript"/>
              </w:rPr>
              <w:t>6</w:t>
            </w:r>
            <w:r>
              <w:rPr>
                <w:iCs/>
              </w:rPr>
              <w:t>Rio Laksamana</w:t>
            </w:r>
          </w:p>
          <w:p w14:paraId="6F1BD9AF" w14:textId="77777777" w:rsidR="00576418" w:rsidRDefault="00576418">
            <w:pPr>
              <w:spacing w:after="0" w:line="240" w:lineRule="auto"/>
              <w:ind w:left="0" w:hanging="2"/>
              <w:jc w:val="center"/>
              <w:rPr>
                <w:i/>
              </w:rPr>
            </w:pPr>
          </w:p>
          <w:p w14:paraId="1B617956" w14:textId="1174C4AE" w:rsidR="0092119C" w:rsidRPr="00D53E19" w:rsidRDefault="00000000">
            <w:pPr>
              <w:spacing w:after="0" w:line="240" w:lineRule="auto"/>
              <w:ind w:left="0" w:hanging="2"/>
              <w:jc w:val="center"/>
              <w:rPr>
                <w:iCs/>
                <w:color w:val="000000"/>
              </w:rPr>
            </w:pPr>
            <w:r w:rsidRPr="00D53E19">
              <w:rPr>
                <w:iCs/>
                <w:color w:val="000000"/>
                <w:vertAlign w:val="superscript"/>
              </w:rPr>
              <w:t>1</w:t>
            </w:r>
            <w:r w:rsidR="00D53E19">
              <w:rPr>
                <w:iCs/>
              </w:rPr>
              <w:t>Magister Terapan PIT, Politeknik Tran</w:t>
            </w:r>
            <w:r w:rsidR="00576418" w:rsidRPr="00D53E19">
              <w:rPr>
                <w:iCs/>
              </w:rPr>
              <w:t xml:space="preserve">sportasi Darat Indonesia </w:t>
            </w:r>
            <w:r w:rsidR="00FC1AD6">
              <w:rPr>
                <w:iCs/>
              </w:rPr>
              <w:t>–</w:t>
            </w:r>
            <w:r w:rsidR="00576418" w:rsidRPr="00D53E19">
              <w:rPr>
                <w:iCs/>
              </w:rPr>
              <w:t xml:space="preserve"> STTD</w:t>
            </w:r>
            <w:r w:rsidR="00FC1AD6">
              <w:rPr>
                <w:iCs/>
              </w:rPr>
              <w:t>1</w:t>
            </w:r>
          </w:p>
          <w:p w14:paraId="631F6162" w14:textId="5FF1FF8A" w:rsidR="00576418" w:rsidRPr="00D53E19" w:rsidRDefault="00000000" w:rsidP="00576418">
            <w:pPr>
              <w:spacing w:after="0" w:line="240" w:lineRule="auto"/>
              <w:ind w:left="0" w:hanging="2"/>
              <w:jc w:val="center"/>
              <w:rPr>
                <w:iCs/>
                <w:color w:val="000000"/>
              </w:rPr>
            </w:pPr>
            <w:r w:rsidRPr="00D53E19">
              <w:rPr>
                <w:iCs/>
                <w:color w:val="000000"/>
                <w:vertAlign w:val="superscript"/>
              </w:rPr>
              <w:t>2</w:t>
            </w:r>
            <w:r w:rsidR="00D53E19">
              <w:rPr>
                <w:iCs/>
              </w:rPr>
              <w:t>Transportasi Darat, P</w:t>
            </w:r>
            <w:r w:rsidR="00576418" w:rsidRPr="00D53E19">
              <w:rPr>
                <w:iCs/>
              </w:rPr>
              <w:t xml:space="preserve">oliteknik Transportasi Darat Indonesia </w:t>
            </w:r>
            <w:r w:rsidR="00FC1AD6">
              <w:rPr>
                <w:iCs/>
              </w:rPr>
              <w:t>–</w:t>
            </w:r>
            <w:r w:rsidR="00576418" w:rsidRPr="00D53E19">
              <w:rPr>
                <w:iCs/>
              </w:rPr>
              <w:t xml:space="preserve"> STTD</w:t>
            </w:r>
            <w:r w:rsidR="00FC1AD6">
              <w:rPr>
                <w:iCs/>
              </w:rPr>
              <w:t>2</w:t>
            </w:r>
          </w:p>
          <w:p w14:paraId="2381C1FF" w14:textId="794CDAAE" w:rsidR="00576418" w:rsidRPr="00D53E19" w:rsidRDefault="00000000" w:rsidP="00576418">
            <w:pPr>
              <w:spacing w:after="0" w:line="240" w:lineRule="auto"/>
              <w:ind w:left="0" w:hanging="2"/>
              <w:jc w:val="center"/>
              <w:rPr>
                <w:iCs/>
                <w:color w:val="000000"/>
              </w:rPr>
            </w:pPr>
            <w:r w:rsidRPr="00D53E19">
              <w:rPr>
                <w:iCs/>
                <w:color w:val="000000"/>
                <w:vertAlign w:val="superscript"/>
              </w:rPr>
              <w:t>3</w:t>
            </w:r>
            <w:r w:rsidR="00D53E19">
              <w:rPr>
                <w:iCs/>
              </w:rPr>
              <w:t>Manajemen Transportasi Jalan,</w:t>
            </w:r>
            <w:r w:rsidR="00D53E19" w:rsidRPr="00D53E19">
              <w:rPr>
                <w:iCs/>
              </w:rPr>
              <w:t xml:space="preserve"> </w:t>
            </w:r>
            <w:r w:rsidR="00D53E19">
              <w:rPr>
                <w:iCs/>
              </w:rPr>
              <w:t>P</w:t>
            </w:r>
            <w:r w:rsidR="00576418" w:rsidRPr="00D53E19">
              <w:rPr>
                <w:iCs/>
              </w:rPr>
              <w:t xml:space="preserve">oliteknik Transportasi Darat Indonesia </w:t>
            </w:r>
            <w:r w:rsidR="00FC1AD6">
              <w:rPr>
                <w:iCs/>
              </w:rPr>
              <w:t>–</w:t>
            </w:r>
            <w:r w:rsidR="00576418" w:rsidRPr="00D53E19">
              <w:rPr>
                <w:iCs/>
              </w:rPr>
              <w:t xml:space="preserve"> STTD</w:t>
            </w:r>
            <w:r w:rsidR="00FC1AD6">
              <w:rPr>
                <w:iCs/>
              </w:rPr>
              <w:t>3</w:t>
            </w:r>
          </w:p>
          <w:p w14:paraId="29AEDC8B" w14:textId="14A32A66" w:rsidR="00576418" w:rsidRPr="00D53E19" w:rsidRDefault="00133550">
            <w:pPr>
              <w:spacing w:after="0" w:line="240" w:lineRule="auto"/>
              <w:ind w:left="0" w:hanging="2"/>
              <w:jc w:val="center"/>
              <w:rPr>
                <w:iCs/>
              </w:rPr>
            </w:pPr>
            <w:r w:rsidRPr="00D53E19">
              <w:rPr>
                <w:iCs/>
                <w:vertAlign w:val="superscript"/>
              </w:rPr>
              <w:t>4</w:t>
            </w:r>
            <w:r w:rsidR="00D53E19">
              <w:rPr>
                <w:iCs/>
                <w:vertAlign w:val="superscript"/>
              </w:rPr>
              <w:t xml:space="preserve"> </w:t>
            </w:r>
            <w:r w:rsidR="00D53E19">
              <w:rPr>
                <w:iCs/>
              </w:rPr>
              <w:t>Manajemen Transportasi Jalan, P</w:t>
            </w:r>
            <w:r w:rsidRPr="00D53E19">
              <w:rPr>
                <w:iCs/>
              </w:rPr>
              <w:t xml:space="preserve">oliteknik Transportasi Darat Indonesia </w:t>
            </w:r>
            <w:r w:rsidR="00FC1AD6">
              <w:rPr>
                <w:iCs/>
              </w:rPr>
              <w:t>–</w:t>
            </w:r>
            <w:r w:rsidRPr="00D53E19">
              <w:rPr>
                <w:iCs/>
              </w:rPr>
              <w:t xml:space="preserve"> STTD</w:t>
            </w:r>
            <w:r w:rsidR="00FC1AD6">
              <w:rPr>
                <w:iCs/>
              </w:rPr>
              <w:t>4</w:t>
            </w:r>
          </w:p>
          <w:p w14:paraId="0BB3AEF4" w14:textId="529E4EDD" w:rsidR="00133550" w:rsidRPr="00D53E19" w:rsidRDefault="00133550" w:rsidP="00576418">
            <w:pPr>
              <w:spacing w:after="0" w:line="240" w:lineRule="auto"/>
              <w:ind w:left="0" w:hanging="2"/>
              <w:jc w:val="center"/>
              <w:rPr>
                <w:iCs/>
              </w:rPr>
            </w:pPr>
            <w:r w:rsidRPr="00D53E19">
              <w:rPr>
                <w:iCs/>
                <w:vertAlign w:val="superscript"/>
              </w:rPr>
              <w:t>5</w:t>
            </w:r>
            <w:r w:rsidR="00D53E19">
              <w:rPr>
                <w:iCs/>
              </w:rPr>
              <w:t>Transportasi Darat,</w:t>
            </w:r>
            <w:r w:rsidR="00D53E19" w:rsidRPr="00D53E19">
              <w:rPr>
                <w:iCs/>
              </w:rPr>
              <w:t xml:space="preserve"> </w:t>
            </w:r>
            <w:r w:rsidR="00D53E19">
              <w:rPr>
                <w:iCs/>
              </w:rPr>
              <w:t>P</w:t>
            </w:r>
            <w:r w:rsidRPr="00D53E19">
              <w:rPr>
                <w:iCs/>
              </w:rPr>
              <w:t>oliteknik Transportasi Darat Indonesia – STTD</w:t>
            </w:r>
            <w:r w:rsidR="00FC1AD6">
              <w:rPr>
                <w:iCs/>
              </w:rPr>
              <w:t>5</w:t>
            </w:r>
          </w:p>
          <w:p w14:paraId="2CE17186" w14:textId="1E445CE3" w:rsidR="00133550" w:rsidRPr="00D53E19" w:rsidRDefault="00133550" w:rsidP="00576418">
            <w:pPr>
              <w:spacing w:after="0" w:line="240" w:lineRule="auto"/>
              <w:ind w:left="0" w:hanging="2"/>
              <w:jc w:val="center"/>
              <w:rPr>
                <w:iCs/>
              </w:rPr>
            </w:pPr>
            <w:r w:rsidRPr="00D53E19">
              <w:rPr>
                <w:iCs/>
                <w:vertAlign w:val="superscript"/>
              </w:rPr>
              <w:t>6</w:t>
            </w:r>
            <w:r w:rsidR="00D53E19">
              <w:rPr>
                <w:iCs/>
              </w:rPr>
              <w:t>Transportasi Darat, P</w:t>
            </w:r>
            <w:r w:rsidRPr="00D53E19">
              <w:rPr>
                <w:iCs/>
              </w:rPr>
              <w:t>oliteknik Transportasi Darat Indonesia – STTD</w:t>
            </w:r>
            <w:r w:rsidR="00FC1AD6">
              <w:rPr>
                <w:iCs/>
              </w:rPr>
              <w:t>6</w:t>
            </w:r>
          </w:p>
          <w:p w14:paraId="27261F7B" w14:textId="77777777" w:rsidR="00133550" w:rsidRPr="00D53E19" w:rsidRDefault="00133550" w:rsidP="00576418">
            <w:pPr>
              <w:spacing w:after="0" w:line="240" w:lineRule="auto"/>
              <w:ind w:left="0" w:hanging="2"/>
              <w:jc w:val="center"/>
              <w:rPr>
                <w:iCs/>
              </w:rPr>
            </w:pPr>
          </w:p>
          <w:p w14:paraId="1970A139" w14:textId="50774C37" w:rsidR="0092119C" w:rsidRDefault="00000000" w:rsidP="00576418">
            <w:pPr>
              <w:spacing w:after="0" w:line="240" w:lineRule="auto"/>
              <w:ind w:left="0" w:hanging="2"/>
              <w:jc w:val="center"/>
              <w:rPr>
                <w:color w:val="000000"/>
                <w:sz w:val="20"/>
                <w:szCs w:val="20"/>
              </w:rPr>
            </w:pPr>
            <w:r>
              <w:rPr>
                <w:i/>
              </w:rPr>
              <w:t xml:space="preserve">Correspondence email of author </w:t>
            </w:r>
            <w:r w:rsidR="00576418">
              <w:rPr>
                <w:i/>
              </w:rPr>
              <w:t>femmy.schouten@ptdisttd.ac.id</w:t>
            </w:r>
          </w:p>
        </w:tc>
      </w:tr>
      <w:tr w:rsidR="0092119C" w14:paraId="5BB49F22" w14:textId="77777777">
        <w:tc>
          <w:tcPr>
            <w:tcW w:w="9639" w:type="dxa"/>
            <w:tcBorders>
              <w:top w:val="single" w:sz="8" w:space="0" w:color="000000"/>
              <w:bottom w:val="single" w:sz="8" w:space="0" w:color="000000"/>
            </w:tcBorders>
          </w:tcPr>
          <w:p w14:paraId="64C3B7F4" w14:textId="77777777" w:rsidR="00576418" w:rsidRDefault="00576418">
            <w:pPr>
              <w:spacing w:after="0" w:line="240" w:lineRule="auto"/>
              <w:ind w:left="0" w:hanging="2"/>
              <w:jc w:val="center"/>
              <w:rPr>
                <w:i/>
              </w:rPr>
            </w:pPr>
          </w:p>
          <w:p w14:paraId="566305C2" w14:textId="0BDAD255" w:rsidR="0092119C" w:rsidRDefault="00000000">
            <w:pPr>
              <w:spacing w:after="0" w:line="240" w:lineRule="auto"/>
              <w:ind w:left="0" w:hanging="2"/>
              <w:jc w:val="center"/>
              <w:rPr>
                <w:i/>
                <w:sz w:val="20"/>
                <w:szCs w:val="20"/>
              </w:rPr>
            </w:pPr>
            <w:r>
              <w:rPr>
                <w:i/>
                <w:sz w:val="20"/>
                <w:szCs w:val="20"/>
              </w:rPr>
              <w:t>submitted : ______________          revised : ____________          accepted : ___________</w:t>
            </w:r>
          </w:p>
          <w:p w14:paraId="2FE0BCB8" w14:textId="43750ADE" w:rsidR="00576418" w:rsidRDefault="00576418" w:rsidP="00576418">
            <w:pPr>
              <w:spacing w:after="0" w:line="240" w:lineRule="auto"/>
              <w:ind w:leftChars="0" w:left="0" w:firstLineChars="0" w:firstLine="0"/>
              <w:rPr>
                <w:color w:val="000000"/>
                <w:sz w:val="20"/>
                <w:szCs w:val="20"/>
              </w:rPr>
            </w:pPr>
          </w:p>
        </w:tc>
      </w:tr>
    </w:tbl>
    <w:p w14:paraId="451D3082" w14:textId="77777777" w:rsidR="00576418" w:rsidRDefault="00576418">
      <w:pPr>
        <w:spacing w:after="0" w:line="240" w:lineRule="auto"/>
        <w:ind w:left="0" w:hanging="2"/>
        <w:jc w:val="center"/>
        <w:rPr>
          <w:rFonts w:ascii="Times New Roman" w:eastAsia="Times New Roman" w:hAnsi="Times New Roman"/>
          <w:i/>
        </w:rPr>
      </w:pPr>
    </w:p>
    <w:p w14:paraId="14D8B490" w14:textId="429ABBA3" w:rsidR="0092119C" w:rsidRDefault="00000000">
      <w:pPr>
        <w:spacing w:after="0" w:line="240" w:lineRule="auto"/>
        <w:ind w:left="0" w:hanging="2"/>
        <w:jc w:val="center"/>
        <w:rPr>
          <w:rFonts w:ascii="Times New Roman" w:eastAsia="Times New Roman" w:hAnsi="Times New Roman"/>
          <w:b/>
          <w:i/>
          <w:color w:val="000000"/>
          <w:sz w:val="20"/>
          <w:szCs w:val="20"/>
        </w:rPr>
      </w:pPr>
      <w:r>
        <w:rPr>
          <w:rFonts w:ascii="Times New Roman" w:eastAsia="Times New Roman" w:hAnsi="Times New Roman"/>
          <w:b/>
          <w:i/>
          <w:color w:val="000000"/>
          <w:sz w:val="20"/>
          <w:szCs w:val="20"/>
        </w:rPr>
        <w:t>Abstract</w:t>
      </w:r>
    </w:p>
    <w:p w14:paraId="5893B9E0" w14:textId="6E6F24C0" w:rsidR="0092119C" w:rsidRDefault="00314A74">
      <w:pPr>
        <w:spacing w:after="0" w:line="240" w:lineRule="auto"/>
        <w:ind w:left="0" w:hanging="2"/>
        <w:jc w:val="both"/>
        <w:rPr>
          <w:rFonts w:ascii="Times New Roman" w:eastAsia="Times New Roman" w:hAnsi="Times New Roman"/>
          <w:i/>
          <w:sz w:val="20"/>
          <w:szCs w:val="20"/>
        </w:rPr>
      </w:pPr>
      <w:r w:rsidRPr="00314A74">
        <w:rPr>
          <w:rFonts w:ascii="Times New Roman" w:eastAsia="Times New Roman" w:hAnsi="Times New Roman"/>
          <w:i/>
          <w:sz w:val="20"/>
          <w:szCs w:val="20"/>
        </w:rPr>
        <w:t>Port State Control (PSC) is a critical mechanism for ensuring maritime safety, environmental protection, and compliance with international shipping regulations. As a member of the Tokyo Memorandum of Understanding (Tokyo MOU), Indonesia conducts PSC inspections to monitor foreign vessels operating in its waters. This study examines the effectiveness of Indonesia’s PSC inspections under the Tokyo MOU framework, analyzing ship detention trends, common deficiencies, and regulatory enforcement challenges. A mixed-methods approach is employed, combining quantitative analysis of PSC inspection and detention data from recent years with qualitative assessments of inspection procedures and regulatory frameworks. Findings indicate that while Indonesia has improved PSC implementation, challenges persist in inspection consistency and resource limitations. The study highlights the need for enhanced coordination among maritime authorities, improved inspector training, and stricter regulatory compliance to optimize inspection effectiveness. The research concludes that a more rigorous and consistent PSC approach will contribute to safer maritime operations and reduced environmental risks. This study contributes to maritime safety literature by providing insights into PSC implementation in a developing maritime nation, along with policy recommendations to strengthen regulatory practices and advance global maritime safety standards.</w:t>
      </w:r>
    </w:p>
    <w:p w14:paraId="364E9DBE" w14:textId="77777777" w:rsidR="0092119C" w:rsidRDefault="00000000">
      <w:pPr>
        <w:spacing w:after="0" w:line="240" w:lineRule="auto"/>
        <w:ind w:left="0" w:hanging="2"/>
        <w:jc w:val="both"/>
        <w:rPr>
          <w:rFonts w:ascii="Times New Roman" w:eastAsia="Times New Roman" w:hAnsi="Times New Roman"/>
          <w:i/>
          <w:sz w:val="20"/>
          <w:szCs w:val="20"/>
        </w:rPr>
      </w:pPr>
      <w:r>
        <w:rPr>
          <w:rFonts w:ascii="Times New Roman" w:eastAsia="Times New Roman" w:hAnsi="Times New Roman"/>
          <w:i/>
          <w:sz w:val="20"/>
          <w:szCs w:val="20"/>
        </w:rPr>
        <w:t xml:space="preserve">            </w:t>
      </w:r>
      <w:r>
        <w:rPr>
          <w:rFonts w:ascii="Times New Roman" w:eastAsia="Times New Roman" w:hAnsi="Times New Roman"/>
          <w:i/>
          <w:sz w:val="20"/>
          <w:szCs w:val="20"/>
        </w:rPr>
        <w:tab/>
      </w:r>
      <w:r>
        <w:rPr>
          <w:rFonts w:ascii="Times New Roman" w:eastAsia="Times New Roman" w:hAnsi="Times New Roman"/>
          <w:i/>
          <w:sz w:val="20"/>
          <w:szCs w:val="20"/>
        </w:rPr>
        <w:tab/>
      </w:r>
      <w:r>
        <w:rPr>
          <w:rFonts w:ascii="Times New Roman" w:eastAsia="Times New Roman" w:hAnsi="Times New Roman"/>
          <w:i/>
          <w:sz w:val="20"/>
          <w:szCs w:val="20"/>
        </w:rPr>
        <w:tab/>
      </w:r>
    </w:p>
    <w:p w14:paraId="010653ED" w14:textId="77777777" w:rsidR="0092119C" w:rsidRDefault="00000000">
      <w:pPr>
        <w:spacing w:after="0" w:line="240" w:lineRule="auto"/>
        <w:ind w:left="0" w:hanging="2"/>
        <w:jc w:val="center"/>
        <w:rPr>
          <w:rFonts w:ascii="Times New Roman" w:eastAsia="Times New Roman" w:hAnsi="Times New Roman"/>
          <w:sz w:val="20"/>
          <w:szCs w:val="20"/>
        </w:rPr>
      </w:pPr>
      <w:r>
        <w:rPr>
          <w:rFonts w:ascii="Times New Roman" w:eastAsia="Times New Roman" w:hAnsi="Times New Roman"/>
          <w:i/>
          <w:sz w:val="20"/>
          <w:szCs w:val="20"/>
        </w:rPr>
        <w:t xml:space="preserve">Copyright © 2018, </w:t>
      </w:r>
      <w:r>
        <w:rPr>
          <w:rFonts w:ascii="Times New Roman" w:eastAsia="Times New Roman" w:hAnsi="Times New Roman"/>
          <w:b/>
          <w:i/>
          <w:sz w:val="20"/>
          <w:szCs w:val="20"/>
        </w:rPr>
        <w:t>METEOR STIP MARUNDA</w:t>
      </w:r>
      <w:r>
        <w:rPr>
          <w:rFonts w:ascii="Times New Roman" w:eastAsia="Times New Roman" w:hAnsi="Times New Roman"/>
          <w:sz w:val="20"/>
          <w:szCs w:val="20"/>
        </w:rPr>
        <w:t xml:space="preserve">, </w:t>
      </w:r>
      <w:r>
        <w:rPr>
          <w:rFonts w:ascii="Times New Roman" w:eastAsia="Times New Roman" w:hAnsi="Times New Roman"/>
          <w:i/>
          <w:sz w:val="20"/>
          <w:szCs w:val="20"/>
        </w:rPr>
        <w:t xml:space="preserve">ISSN:1979-4746, eISSN :2685-4775 </w:t>
      </w:r>
    </w:p>
    <w:p w14:paraId="6ACE4CAA" w14:textId="366536E4" w:rsidR="0092119C" w:rsidRDefault="0092119C">
      <w:pPr>
        <w:spacing w:after="0" w:line="240" w:lineRule="auto"/>
        <w:ind w:left="0" w:hanging="2"/>
        <w:jc w:val="center"/>
        <w:rPr>
          <w:rFonts w:ascii="Times New Roman" w:eastAsia="Times New Roman" w:hAnsi="Times New Roman"/>
          <w:sz w:val="20"/>
          <w:szCs w:val="20"/>
        </w:rPr>
      </w:pPr>
    </w:p>
    <w:tbl>
      <w:tblPr>
        <w:tblStyle w:val="a1"/>
        <w:tblW w:w="9639" w:type="dxa"/>
        <w:tblInd w:w="-108" w:type="dxa"/>
        <w:tblBorders>
          <w:top w:val="single" w:sz="4" w:space="0" w:color="000000"/>
          <w:left w:val="nil"/>
          <w:bottom w:val="single" w:sz="4" w:space="0" w:color="7E7E7E"/>
          <w:right w:val="nil"/>
          <w:insideH w:val="single" w:sz="4" w:space="0" w:color="7E7E7E"/>
          <w:insideV w:val="single" w:sz="4" w:space="0" w:color="7E7E7E"/>
        </w:tblBorders>
        <w:tblLayout w:type="fixed"/>
        <w:tblLook w:val="0000" w:firstRow="0" w:lastRow="0" w:firstColumn="0" w:lastColumn="0" w:noHBand="0" w:noVBand="0"/>
      </w:tblPr>
      <w:tblGrid>
        <w:gridCol w:w="9639"/>
      </w:tblGrid>
      <w:tr w:rsidR="0092119C" w14:paraId="5335B592" w14:textId="77777777">
        <w:tc>
          <w:tcPr>
            <w:tcW w:w="9639" w:type="dxa"/>
            <w:tcBorders>
              <w:top w:val="single" w:sz="8" w:space="0" w:color="000000"/>
              <w:bottom w:val="single" w:sz="8" w:space="0" w:color="000000"/>
            </w:tcBorders>
          </w:tcPr>
          <w:p w14:paraId="075FFDFD" w14:textId="63F7A30A" w:rsidR="0092119C" w:rsidRDefault="00483E99">
            <w:pPr>
              <w:spacing w:after="0" w:line="240" w:lineRule="auto"/>
              <w:ind w:left="0" w:hanging="2"/>
              <w:jc w:val="center"/>
              <w:rPr>
                <w:i/>
                <w:sz w:val="20"/>
                <w:szCs w:val="20"/>
              </w:rPr>
            </w:pPr>
            <w:r>
              <w:rPr>
                <w:i/>
              </w:rPr>
              <w:t xml:space="preserve">     </w:t>
            </w:r>
          </w:p>
          <w:p w14:paraId="419D80B5" w14:textId="25BA261C" w:rsidR="00314A74" w:rsidRPr="00314A74" w:rsidRDefault="00000000" w:rsidP="000F3EFA">
            <w:pPr>
              <w:spacing w:after="0" w:line="240" w:lineRule="auto"/>
              <w:ind w:leftChars="0" w:left="0" w:firstLineChars="0" w:firstLine="0"/>
              <w:rPr>
                <w:i/>
                <w:sz w:val="20"/>
                <w:szCs w:val="20"/>
                <w:lang w:val="en-ID"/>
              </w:rPr>
            </w:pPr>
            <w:r>
              <w:rPr>
                <w:b/>
                <w:i/>
                <w:sz w:val="20"/>
                <w:szCs w:val="20"/>
              </w:rPr>
              <w:t>Keywords:</w:t>
            </w:r>
            <w:r w:rsidR="00314A74">
              <w:rPr>
                <w:i/>
                <w:sz w:val="20"/>
                <w:szCs w:val="20"/>
              </w:rPr>
              <w:t xml:space="preserve"> </w:t>
            </w:r>
            <w:r w:rsidR="00314A74" w:rsidRPr="00314A74">
              <w:rPr>
                <w:i/>
                <w:sz w:val="20"/>
                <w:szCs w:val="20"/>
              </w:rPr>
              <w:t>Port</w:t>
            </w:r>
            <w:r w:rsidR="00314A74" w:rsidRPr="00314A74">
              <w:rPr>
                <w:rFonts w:ascii="Segoe UI" w:hAnsi="Segoe UI" w:cs="Segoe UI"/>
                <w:bCs/>
                <w:color w:val="404040"/>
                <w:position w:val="0"/>
                <w:sz w:val="24"/>
                <w:szCs w:val="24"/>
                <w:lang w:val="en-ID" w:eastAsia="en-ID"/>
              </w:rPr>
              <w:t xml:space="preserve"> </w:t>
            </w:r>
            <w:r w:rsidR="00314A74" w:rsidRPr="00314A74">
              <w:rPr>
                <w:bCs/>
                <w:i/>
                <w:sz w:val="20"/>
                <w:szCs w:val="20"/>
                <w:lang w:val="en-ID"/>
              </w:rPr>
              <w:t>Port State Control (PSC)</w:t>
            </w:r>
            <w:r w:rsidR="00314A74">
              <w:rPr>
                <w:i/>
                <w:sz w:val="20"/>
                <w:szCs w:val="20"/>
                <w:lang w:val="en-ID"/>
              </w:rPr>
              <w:t xml:space="preserve">, </w:t>
            </w:r>
            <w:r w:rsidR="00314A74" w:rsidRPr="00314A74">
              <w:rPr>
                <w:i/>
                <w:sz w:val="20"/>
                <w:szCs w:val="20"/>
                <w:lang w:val="en-ID"/>
              </w:rPr>
              <w:t>Tokyo MOU</w:t>
            </w:r>
            <w:r w:rsidR="00314A74">
              <w:rPr>
                <w:i/>
                <w:sz w:val="20"/>
                <w:szCs w:val="20"/>
                <w:lang w:val="en-ID"/>
              </w:rPr>
              <w:t xml:space="preserve">, </w:t>
            </w:r>
            <w:r w:rsidR="00314A74" w:rsidRPr="00314A74">
              <w:rPr>
                <w:i/>
                <w:sz w:val="20"/>
                <w:szCs w:val="20"/>
                <w:lang w:val="en-ID"/>
              </w:rPr>
              <w:t>Maritime safet</w:t>
            </w:r>
            <w:r w:rsidR="000F3EFA">
              <w:rPr>
                <w:i/>
                <w:sz w:val="20"/>
                <w:szCs w:val="20"/>
                <w:lang w:val="en-ID"/>
              </w:rPr>
              <w:t xml:space="preserve">, </w:t>
            </w:r>
            <w:r w:rsidR="00314A74" w:rsidRPr="00314A74">
              <w:rPr>
                <w:i/>
                <w:sz w:val="20"/>
                <w:szCs w:val="20"/>
                <w:lang w:val="en-ID"/>
              </w:rPr>
              <w:t>Ship detention</w:t>
            </w:r>
            <w:r w:rsidR="000F3EFA">
              <w:rPr>
                <w:i/>
                <w:sz w:val="20"/>
                <w:szCs w:val="20"/>
                <w:lang w:val="en-ID"/>
              </w:rPr>
              <w:t xml:space="preserve">, </w:t>
            </w:r>
            <w:r w:rsidR="00314A74" w:rsidRPr="00314A74">
              <w:rPr>
                <w:i/>
                <w:sz w:val="20"/>
                <w:szCs w:val="20"/>
                <w:lang w:val="en-ID"/>
              </w:rPr>
              <w:t>Regulatory compliance</w:t>
            </w:r>
          </w:p>
          <w:p w14:paraId="6ABF97F6" w14:textId="525F67C2" w:rsidR="0092119C" w:rsidRDefault="00483E99" w:rsidP="00314A74">
            <w:pPr>
              <w:spacing w:after="0" w:line="240" w:lineRule="auto"/>
              <w:ind w:left="0" w:hanging="2"/>
              <w:jc w:val="center"/>
              <w:rPr>
                <w:color w:val="000000"/>
                <w:sz w:val="20"/>
                <w:szCs w:val="20"/>
              </w:rPr>
            </w:pPr>
            <w:r>
              <w:rPr>
                <w:i/>
              </w:rPr>
              <w:t xml:space="preserve">    </w:t>
            </w:r>
          </w:p>
        </w:tc>
      </w:tr>
    </w:tbl>
    <w:p w14:paraId="49D68FDC" w14:textId="77777777" w:rsidR="00743292" w:rsidRDefault="00743292" w:rsidP="00743292">
      <w:pPr>
        <w:pStyle w:val="Heading1"/>
        <w:numPr>
          <w:ilvl w:val="0"/>
          <w:numId w:val="0"/>
        </w:numPr>
        <w:spacing w:after="0"/>
        <w:sectPr w:rsidR="00743292" w:rsidSect="00F27544">
          <w:footerReference w:type="default" r:id="rId10"/>
          <w:type w:val="continuous"/>
          <w:pgSz w:w="11906" w:h="16838"/>
          <w:pgMar w:top="1134" w:right="1134" w:bottom="1134" w:left="1134" w:header="709" w:footer="709" w:gutter="0"/>
          <w:cols w:space="567"/>
        </w:sectPr>
      </w:pPr>
    </w:p>
    <w:p w14:paraId="39F672E6" w14:textId="2B95796D" w:rsidR="00743292" w:rsidRDefault="00743292" w:rsidP="00743292">
      <w:pPr>
        <w:pStyle w:val="Heading1"/>
        <w:numPr>
          <w:ilvl w:val="0"/>
          <w:numId w:val="0"/>
        </w:numPr>
        <w:spacing w:after="0"/>
      </w:pPr>
      <w:r>
        <w:lastRenderedPageBreak/>
        <w:t xml:space="preserve">INTRODUCTION </w:t>
      </w:r>
    </w:p>
    <w:p w14:paraId="44837ADC" w14:textId="613C204C" w:rsidR="002D1AFA" w:rsidRPr="002D1AFA" w:rsidRDefault="002D1AFA" w:rsidP="002D1AFA">
      <w:pPr>
        <w:spacing w:after="0" w:line="240" w:lineRule="auto"/>
        <w:ind w:left="-2" w:firstLineChars="0" w:firstLine="569"/>
        <w:jc w:val="both"/>
        <w:rPr>
          <w:rFonts w:ascii="Times New Roman" w:eastAsia="Times New Roman" w:hAnsi="Times New Roman"/>
        </w:rPr>
      </w:pPr>
      <w:r w:rsidRPr="002D1AFA">
        <w:rPr>
          <w:rFonts w:ascii="Times New Roman" w:eastAsia="Times New Roman" w:hAnsi="Times New Roman"/>
        </w:rPr>
        <w:t xml:space="preserve">Maritime transportation is the backbone of international trade, accounting for over 80% of global trade volume </w:t>
      </w:r>
      <w:r w:rsidR="0034768B">
        <w:rPr>
          <w:rFonts w:ascii="Times New Roman" w:eastAsia="Times New Roman" w:hAnsi="Times New Roman"/>
        </w:rPr>
        <w:fldChar w:fldCharType="begin" w:fldLock="1"/>
      </w:r>
      <w:r w:rsidR="0034768B">
        <w:rPr>
          <w:rFonts w:ascii="Times New Roman" w:eastAsia="Times New Roman" w:hAnsi="Times New Roman"/>
        </w:rPr>
        <w:instrText>ADDIN CSL_CITATION {"citationItems":[{"id":"ITEM-1","itemData":{"DOI":"10.18356/9789213584569c006","ISBN":"9789210028868","abstract":"The Review of Maritime Transport has been published annually since 1968. The flagship report provides an analysis of structural and cyclical changes affecting seaborne trade, ports and shipping, as well as an extensive collection of statistics (http://stats.unctad.org/Maritime). Around 80% of the volume of international trade in goods is carried by sea, and the percentage is even higher for most developing countries.","author":[{"dropping-particle":"","family":"UNCTAD","given":"","non-dropping-particle":"","parse-names":false,"suffix":""}],"id":"ITEM-1","issued":{"date-parts":[["2022"]]},"number-of-pages":"1-26","title":"International Maritime Trade","type":"book"},"uris":["http://www.mendeley.com/documents/?uuid=f5ff9776-6fce-45fa-ae6a-f3565ded917d"]}],"mendeley":{"formattedCitation":"[1]","plainTextFormattedCitation":"[1]","previouslyFormattedCitation":"[1]"},"properties":{"noteIndex":0},"schema":"https://github.com/citation-style-language/schema/raw/master/csl-citation.json"}</w:instrText>
      </w:r>
      <w:r w:rsidR="0034768B">
        <w:rPr>
          <w:rFonts w:ascii="Times New Roman" w:eastAsia="Times New Roman" w:hAnsi="Times New Roman"/>
        </w:rPr>
        <w:fldChar w:fldCharType="separate"/>
      </w:r>
      <w:r w:rsidR="0034768B" w:rsidRPr="0034768B">
        <w:rPr>
          <w:rFonts w:ascii="Times New Roman" w:eastAsia="Times New Roman" w:hAnsi="Times New Roman"/>
          <w:noProof/>
        </w:rPr>
        <w:t>[1]</w:t>
      </w:r>
      <w:r w:rsidR="0034768B">
        <w:rPr>
          <w:rFonts w:ascii="Times New Roman" w:eastAsia="Times New Roman" w:hAnsi="Times New Roman"/>
        </w:rPr>
        <w:fldChar w:fldCharType="end"/>
      </w:r>
      <w:r w:rsidRPr="002D1AFA">
        <w:rPr>
          <w:rFonts w:ascii="Times New Roman" w:eastAsia="Times New Roman" w:hAnsi="Times New Roman"/>
        </w:rPr>
        <w:t xml:space="preserve">. The growth of this sector is not without operational risks that threaten navigation safety, the marine environment, and crew welfare. The International Maritime Organization (IMO), as a specialized UN agency, has developed regulatory instruments such as SOLAS, MARPOL, and STCW to mitigate these risks </w:t>
      </w:r>
      <w:r w:rsidR="0034768B">
        <w:rPr>
          <w:rFonts w:ascii="Times New Roman" w:eastAsia="Times New Roman" w:hAnsi="Times New Roman"/>
        </w:rPr>
        <w:fldChar w:fldCharType="begin" w:fldLock="1"/>
      </w:r>
      <w:r w:rsidR="0034768B">
        <w:rPr>
          <w:rFonts w:ascii="Times New Roman" w:eastAsia="Times New Roman" w:hAnsi="Times New Roman"/>
        </w:rPr>
        <w:instrText>ADDIN CSL_CITATION {"citationItems":[{"id":"ITEM-1","itemData":{"author":[{"dropping-particle":"","family":"IMO","given":"","non-dropping-particle":"","parse-names":false,"suffix":""}],"id":"ITEM-1","issue":"March","issued":{"date-parts":[["2023"]]},"title":"Procedures for Port State Control, 2023. Paper A33/Res.1185. IMO-London","type":"article-journal","volume":"1155"},"uris":["http://www.mendeley.com/documents/?uuid=5dedd150-5050-4cbb-a35b-95684db92ebc"]}],"mendeley":{"formattedCitation":"[2]","plainTextFormattedCitation":"[2]","previouslyFormattedCitation":"[2]"},"properties":{"noteIndex":0},"schema":"https://github.com/citation-style-language/schema/raw/master/csl-citation.json"}</w:instrText>
      </w:r>
      <w:r w:rsidR="0034768B">
        <w:rPr>
          <w:rFonts w:ascii="Times New Roman" w:eastAsia="Times New Roman" w:hAnsi="Times New Roman"/>
        </w:rPr>
        <w:fldChar w:fldCharType="separate"/>
      </w:r>
      <w:r w:rsidR="0034768B" w:rsidRPr="0034768B">
        <w:rPr>
          <w:rFonts w:ascii="Times New Roman" w:eastAsia="Times New Roman" w:hAnsi="Times New Roman"/>
          <w:noProof/>
        </w:rPr>
        <w:t>[2]</w:t>
      </w:r>
      <w:r w:rsidR="0034768B">
        <w:rPr>
          <w:rFonts w:ascii="Times New Roman" w:eastAsia="Times New Roman" w:hAnsi="Times New Roman"/>
        </w:rPr>
        <w:fldChar w:fldCharType="end"/>
      </w:r>
      <w:r w:rsidRPr="002D1AFA">
        <w:rPr>
          <w:rFonts w:ascii="Times New Roman" w:eastAsia="Times New Roman" w:hAnsi="Times New Roman"/>
        </w:rPr>
        <w:t xml:space="preserve">. The implementation of these regulations involves three key oversight mechanisms: flag state control, coastal state control, and port state control—each serving a complementary role in the global maritime surveillance system </w:t>
      </w:r>
      <w:r w:rsidR="0034768B">
        <w:rPr>
          <w:rFonts w:ascii="Times New Roman" w:eastAsia="Times New Roman" w:hAnsi="Times New Roman"/>
        </w:rPr>
        <w:fldChar w:fldCharType="begin" w:fldLock="1"/>
      </w:r>
      <w:r w:rsidR="0034768B">
        <w:rPr>
          <w:rFonts w:ascii="Times New Roman" w:eastAsia="Times New Roman" w:hAnsi="Times New Roman"/>
        </w:rPr>
        <w:instrText>ADDIN CSL_CITATION {"citationItems":[{"id":"ITEM-1","itemData":{"author":[{"dropping-particle":"","family":"Hansen","given":"T.","non-dropping-particle":"","parse-names":false,"suffix":""}],"container-title":"Maritime Policy","id":"ITEM-1","issued":{"date-parts":[["2023"]]},"title":"Port State Control Efficiency in Developing Maritime Nations","type":"article-journal"},"uris":["http://www.mendeley.com/documents/?uuid=d7030051-a2c3-4728-83e1-ed6ab29c6f06"]}],"mendeley":{"formattedCitation":"[3]","plainTextFormattedCitation":"[3]","previouslyFormattedCitation":"[3]"},"properties":{"noteIndex":0},"schema":"https://github.com/citation-style-language/schema/raw/master/csl-citation.json"}</w:instrText>
      </w:r>
      <w:r w:rsidR="0034768B">
        <w:rPr>
          <w:rFonts w:ascii="Times New Roman" w:eastAsia="Times New Roman" w:hAnsi="Times New Roman"/>
        </w:rPr>
        <w:fldChar w:fldCharType="separate"/>
      </w:r>
      <w:r w:rsidR="0034768B" w:rsidRPr="0034768B">
        <w:rPr>
          <w:rFonts w:ascii="Times New Roman" w:eastAsia="Times New Roman" w:hAnsi="Times New Roman"/>
          <w:noProof/>
        </w:rPr>
        <w:t>[3]</w:t>
      </w:r>
      <w:r w:rsidR="0034768B">
        <w:rPr>
          <w:rFonts w:ascii="Times New Roman" w:eastAsia="Times New Roman" w:hAnsi="Times New Roman"/>
        </w:rPr>
        <w:fldChar w:fldCharType="end"/>
      </w:r>
      <w:r w:rsidRPr="002D1AFA">
        <w:rPr>
          <w:rFonts w:ascii="Times New Roman" w:eastAsia="Times New Roman" w:hAnsi="Times New Roman"/>
        </w:rPr>
        <w:t>.</w:t>
      </w:r>
    </w:p>
    <w:p w14:paraId="030D11C8" w14:textId="6156EF66" w:rsidR="002D1AFA" w:rsidRPr="002D1AFA" w:rsidRDefault="002D1AFA" w:rsidP="002D1AFA">
      <w:pPr>
        <w:spacing w:after="0" w:line="240" w:lineRule="auto"/>
        <w:ind w:left="-2" w:firstLineChars="0" w:firstLine="569"/>
        <w:jc w:val="both"/>
        <w:rPr>
          <w:rFonts w:ascii="Times New Roman" w:eastAsia="Times New Roman" w:hAnsi="Times New Roman"/>
        </w:rPr>
      </w:pPr>
      <w:r w:rsidRPr="002D1AFA">
        <w:rPr>
          <w:rFonts w:ascii="Times New Roman" w:eastAsia="Times New Roman" w:hAnsi="Times New Roman"/>
        </w:rPr>
        <w:t>However, significant gaps exist in the flag state control system. According to IMO data, there is a substantial discrepancy between the number of registered vessels and the supervisory capacity of flag states, especially those known for operating as flags of convenience. Özçayır (2020) found that 30% of flag states failed to meet the IMO’s minimum regulatory obligations during inspections</w:t>
      </w:r>
      <w:r w:rsidR="0034768B">
        <w:rPr>
          <w:rFonts w:ascii="Times New Roman" w:eastAsia="Times New Roman" w:hAnsi="Times New Roman"/>
        </w:rPr>
        <w:t xml:space="preserve"> </w:t>
      </w:r>
      <w:r w:rsidR="0034768B">
        <w:rPr>
          <w:rFonts w:ascii="Times New Roman" w:eastAsia="Times New Roman" w:hAnsi="Times New Roman"/>
        </w:rPr>
        <w:fldChar w:fldCharType="begin" w:fldLock="1"/>
      </w:r>
      <w:r w:rsidR="0034768B">
        <w:rPr>
          <w:rFonts w:ascii="Times New Roman" w:eastAsia="Times New Roman" w:hAnsi="Times New Roman"/>
        </w:rPr>
        <w:instrText>ADDIN CSL_CITATION {"citationItems":[{"id":"ITEM-1","itemData":{"author":[{"dropping-particle":"","family":"Özçayır","given":"O","non-dropping-particle":"","parse-names":false,"suffix":""}],"id":"ITEM-1","issued":{"date-parts":[["2020"]]},"publisher":"Informa Law from Routledge","title":"Port State Control","type":"book"},"uris":["http://www.mendeley.com/documents/?uuid=e44c8edd-b1b5-4c47-b313-55e70ad89ea1"]}],"mendeley":{"formattedCitation":"[4]","plainTextFormattedCitation":"[4]","previouslyFormattedCitation":"[4]"},"properties":{"noteIndex":0},"schema":"https://github.com/citation-style-language/schema/raw/master/csl-citation.json"}</w:instrText>
      </w:r>
      <w:r w:rsidR="0034768B">
        <w:rPr>
          <w:rFonts w:ascii="Times New Roman" w:eastAsia="Times New Roman" w:hAnsi="Times New Roman"/>
        </w:rPr>
        <w:fldChar w:fldCharType="separate"/>
      </w:r>
      <w:r w:rsidR="0034768B" w:rsidRPr="0034768B">
        <w:rPr>
          <w:rFonts w:ascii="Times New Roman" w:eastAsia="Times New Roman" w:hAnsi="Times New Roman"/>
          <w:noProof/>
        </w:rPr>
        <w:t>[4]</w:t>
      </w:r>
      <w:r w:rsidR="0034768B">
        <w:rPr>
          <w:rFonts w:ascii="Times New Roman" w:eastAsia="Times New Roman" w:hAnsi="Times New Roman"/>
        </w:rPr>
        <w:fldChar w:fldCharType="end"/>
      </w:r>
      <w:r w:rsidRPr="002D1AFA">
        <w:rPr>
          <w:rFonts w:ascii="Times New Roman" w:eastAsia="Times New Roman" w:hAnsi="Times New Roman"/>
        </w:rPr>
        <w:t xml:space="preserve">. This regulatory gap provides opportunities for negligent ship operators to bypass safety standards </w:t>
      </w:r>
      <w:r w:rsidR="0034768B">
        <w:rPr>
          <w:rFonts w:ascii="Times New Roman" w:eastAsia="Times New Roman" w:hAnsi="Times New Roman"/>
        </w:rPr>
        <w:fldChar w:fldCharType="begin" w:fldLock="1"/>
      </w:r>
      <w:r w:rsidR="0034768B">
        <w:rPr>
          <w:rFonts w:ascii="Times New Roman" w:eastAsia="Times New Roman" w:hAnsi="Times New Roman"/>
        </w:rPr>
        <w:instrText>ADDIN CSL_CITATION {"citationItems":[{"id":"ITEM-1","itemData":{"author":[{"dropping-particle":"","family":"Johnson","given":"R.","non-dropping-particle":"","parse-names":false,"suffix":""},{"dropping-particle":"","family":"Lee","given":"S.","non-dropping-particle":"","parse-names":false,"suffix":""}],"container-title":"IMO Press","id":"ITEM-1","issued":{"date-parts":[["2023"]]},"title":"Gaps in Flag State Implementation: A Global Analysis","type":"article-journal"},"uris":["http://www.mendeley.com/documents/?uuid=ee7218c5-93d4-4788-be7e-37b66999e5e1"]}],"mendeley":{"formattedCitation":"[5]","plainTextFormattedCitation":"[5]","previouslyFormattedCitation":"[5]"},"properties":{"noteIndex":0},"schema":"https://github.com/citation-style-language/schema/raw/master/csl-citation.json"}</w:instrText>
      </w:r>
      <w:r w:rsidR="0034768B">
        <w:rPr>
          <w:rFonts w:ascii="Times New Roman" w:eastAsia="Times New Roman" w:hAnsi="Times New Roman"/>
        </w:rPr>
        <w:fldChar w:fldCharType="separate"/>
      </w:r>
      <w:r w:rsidR="0034768B" w:rsidRPr="0034768B">
        <w:rPr>
          <w:rFonts w:ascii="Times New Roman" w:eastAsia="Times New Roman" w:hAnsi="Times New Roman"/>
          <w:noProof/>
        </w:rPr>
        <w:t>[5]</w:t>
      </w:r>
      <w:r w:rsidR="0034768B">
        <w:rPr>
          <w:rFonts w:ascii="Times New Roman" w:eastAsia="Times New Roman" w:hAnsi="Times New Roman"/>
        </w:rPr>
        <w:fldChar w:fldCharType="end"/>
      </w:r>
      <w:r w:rsidRPr="002D1AFA">
        <w:rPr>
          <w:rFonts w:ascii="Times New Roman" w:eastAsia="Times New Roman" w:hAnsi="Times New Roman"/>
        </w:rPr>
        <w:t>. Hence, strengthening Port State Control (PSC) is crucial as a secondary oversight mechanism.</w:t>
      </w:r>
    </w:p>
    <w:p w14:paraId="276FE08D" w14:textId="223A5AEA" w:rsidR="002D1AFA" w:rsidRPr="002D1AFA" w:rsidRDefault="002D1AFA" w:rsidP="002D1AFA">
      <w:pPr>
        <w:spacing w:after="0" w:line="240" w:lineRule="auto"/>
        <w:ind w:left="-2" w:firstLineChars="0" w:firstLine="569"/>
        <w:jc w:val="both"/>
        <w:rPr>
          <w:rFonts w:ascii="Times New Roman" w:eastAsia="Times New Roman" w:hAnsi="Times New Roman"/>
        </w:rPr>
      </w:pPr>
      <w:r w:rsidRPr="002D1AFA">
        <w:rPr>
          <w:rFonts w:ascii="Times New Roman" w:eastAsia="Times New Roman" w:hAnsi="Times New Roman"/>
        </w:rPr>
        <w:t xml:space="preserve">The global PSC framework has evolved into regional networks via Memoranda of Understanding (MOUs), such as the Paris MOU and Tokyo MOU. The Tokyo MOU, which covers the Asia-Pacific region, is one of the most active, accounting for 70% of total vessel arrivals being inspected </w:t>
      </w:r>
      <w:r w:rsidR="0034768B">
        <w:rPr>
          <w:rFonts w:ascii="Times New Roman" w:eastAsia="Times New Roman" w:hAnsi="Times New Roman"/>
        </w:rPr>
        <w:fldChar w:fldCharType="begin" w:fldLock="1"/>
      </w:r>
      <w:r w:rsidR="0034768B">
        <w:rPr>
          <w:rFonts w:ascii="Times New Roman" w:eastAsia="Times New Roman" w:hAnsi="Times New Roman"/>
        </w:rPr>
        <w:instrText>ADDIN CSL_CITATION {"citationItems":[{"id":"ITEM-1","itemData":{"abstract":"The Tokyo MOU maintains a good trend of development and achievement of PSC activities. In 2011, member Authorities of the Tokyo MOU carried out a total of 28,627 inspections, which is an increase of 11% over the previous year. In addition, the regional inspection rate has been also increased from 66% to 68%. In collaboration with the Paris MOU, the Tokyo MOU successfully conducted the concentrated inspection campaign (CIC) on structural safety and the Load Lines. The Tokyo MOU continues its efforts to improve the internal system and to enhance the external relationship.","author":[{"dropping-particle":"","family":"Tokyo MOU","given":"","non-dropping-particle":"","parse-names":false,"suffix":""}],"id":"ITEM-1","issued":{"date-parts":[["2022"]]},"title":"Annual Report on Port State Control in the Asia-Pacific Region","type":"article-journal"},"uris":["http://www.mendeley.com/documents/?uuid=b1aae27d-ef37-4e21-bae5-d8ad7f504f44"]}],"mendeley":{"formattedCitation":"[6]","plainTextFormattedCitation":"[6]","previouslyFormattedCitation":"[6]"},"properties":{"noteIndex":0},"schema":"https://github.com/citation-style-language/schema/raw/master/csl-citation.json"}</w:instrText>
      </w:r>
      <w:r w:rsidR="0034768B">
        <w:rPr>
          <w:rFonts w:ascii="Times New Roman" w:eastAsia="Times New Roman" w:hAnsi="Times New Roman"/>
        </w:rPr>
        <w:fldChar w:fldCharType="separate"/>
      </w:r>
      <w:r w:rsidR="0034768B" w:rsidRPr="0034768B">
        <w:rPr>
          <w:rFonts w:ascii="Times New Roman" w:eastAsia="Times New Roman" w:hAnsi="Times New Roman"/>
          <w:noProof/>
        </w:rPr>
        <w:t>[6]</w:t>
      </w:r>
      <w:r w:rsidR="0034768B">
        <w:rPr>
          <w:rFonts w:ascii="Times New Roman" w:eastAsia="Times New Roman" w:hAnsi="Times New Roman"/>
        </w:rPr>
        <w:fldChar w:fldCharType="end"/>
      </w:r>
      <w:r w:rsidRPr="002D1AFA">
        <w:rPr>
          <w:rFonts w:ascii="Times New Roman" w:eastAsia="Times New Roman" w:hAnsi="Times New Roman"/>
        </w:rPr>
        <w:t xml:space="preserve">. This system applies a black-white-grey list to assess flag state performance and uses a targeted inspection regime for high-risk vessels </w:t>
      </w:r>
      <w:r w:rsidR="0034768B">
        <w:rPr>
          <w:rFonts w:ascii="Times New Roman" w:eastAsia="Times New Roman" w:hAnsi="Times New Roman"/>
        </w:rPr>
        <w:fldChar w:fldCharType="begin" w:fldLock="1"/>
      </w:r>
      <w:r w:rsidR="0034768B">
        <w:rPr>
          <w:rFonts w:ascii="Times New Roman" w:eastAsia="Times New Roman" w:hAnsi="Times New Roman"/>
        </w:rPr>
        <w:instrText>ADDIN CSL_CITATION {"citationItems":[{"id":"ITEM-1","itemData":{"author":[{"dropping-particle":"","family":"Wang","given":"Y.","non-dropping-particle":"","parse-names":false,"suffix":""},{"dropping-particle":"","family":"Rui-Feng Xu","given":"","non-dropping-particle":"","parse-names":false,"suffix":""},{"dropping-particle":"","family":"Lu","given":"Qin","non-dropping-particle":"","parse-names":false,"suffix":""},{"dropping-particle":"","family":"Li","given":"Wen-Jie","non-dropping-particle":"","parse-names":false,"suffix":""},{"dropping-particle":"","family":"Li","given":"K.X.","non-dropping-particle":"","parse-names":false,"suffix":""}],"container-title":"Transport Research","id":"ITEM-1","issued":{"date-parts":[["2023"]]},"title":"Risk-Based Port State Control: Lessons from Tokyo MOU","type":"article-journal"},"uris":["http://www.mendeley.com/documents/?uuid=4999a0ed-bbd1-44ee-a240-ace593dd9057"]}],"mendeley":{"formattedCitation":"[7]","plainTextFormattedCitation":"[7]","previouslyFormattedCitation":"[7]"},"properties":{"noteIndex":0},"schema":"https://github.com/citation-style-language/schema/raw/master/csl-citation.json"}</w:instrText>
      </w:r>
      <w:r w:rsidR="0034768B">
        <w:rPr>
          <w:rFonts w:ascii="Times New Roman" w:eastAsia="Times New Roman" w:hAnsi="Times New Roman"/>
        </w:rPr>
        <w:fldChar w:fldCharType="separate"/>
      </w:r>
      <w:r w:rsidR="0034768B" w:rsidRPr="0034768B">
        <w:rPr>
          <w:rFonts w:ascii="Times New Roman" w:eastAsia="Times New Roman" w:hAnsi="Times New Roman"/>
          <w:noProof/>
        </w:rPr>
        <w:t>[7]</w:t>
      </w:r>
      <w:r w:rsidR="0034768B">
        <w:rPr>
          <w:rFonts w:ascii="Times New Roman" w:eastAsia="Times New Roman" w:hAnsi="Times New Roman"/>
        </w:rPr>
        <w:fldChar w:fldCharType="end"/>
      </w:r>
      <w:r w:rsidRPr="002D1AFA">
        <w:rPr>
          <w:rFonts w:ascii="Times New Roman" w:eastAsia="Times New Roman" w:hAnsi="Times New Roman"/>
        </w:rPr>
        <w:t>. Nevertheless, its implementation effectiveness varies significantly across member states, particularly in developing countries.</w:t>
      </w:r>
    </w:p>
    <w:p w14:paraId="0A06523A" w14:textId="09159DD0" w:rsidR="002D1AFA" w:rsidRPr="002D1AFA" w:rsidRDefault="002D1AFA" w:rsidP="002D1AFA">
      <w:pPr>
        <w:spacing w:after="0" w:line="240" w:lineRule="auto"/>
        <w:ind w:left="-2" w:firstLineChars="0" w:firstLine="569"/>
        <w:jc w:val="both"/>
        <w:rPr>
          <w:rFonts w:ascii="Times New Roman" w:eastAsia="Times New Roman" w:hAnsi="Times New Roman"/>
        </w:rPr>
      </w:pPr>
      <w:r w:rsidRPr="002D1AFA">
        <w:rPr>
          <w:rFonts w:ascii="Times New Roman" w:eastAsia="Times New Roman" w:hAnsi="Times New Roman"/>
        </w:rPr>
        <w:t xml:space="preserve">Indonesia, a member of the Tokyo MOU since 1993, has implemented PSC through the Directorate General of Sea Transportation. Major ports such as Tanjung Priok and Tanjung Perak serve as focal points for </w:t>
      </w:r>
      <w:r w:rsidRPr="002D1AFA">
        <w:rPr>
          <w:rFonts w:ascii="Times New Roman" w:eastAsia="Times New Roman" w:hAnsi="Times New Roman"/>
        </w:rPr>
        <w:t>PSC activities. In 2022, Indonesia conducted 1,542 PSC inspections, with a detention rate of 5.2%, exceeding the regional average. However, the inspection coverage remains relatively low—around 35% of total foreign vessel arrivals—highlighting challenges in PSC implementation.</w:t>
      </w:r>
    </w:p>
    <w:p w14:paraId="2F8D2CC0" w14:textId="52551FAB" w:rsidR="002D1AFA" w:rsidRPr="002D1AFA" w:rsidRDefault="002D1AFA" w:rsidP="002D1AFA">
      <w:pPr>
        <w:spacing w:after="0" w:line="240" w:lineRule="auto"/>
        <w:ind w:left="-2" w:firstLineChars="0" w:firstLine="569"/>
        <w:jc w:val="both"/>
        <w:rPr>
          <w:rFonts w:ascii="Times New Roman" w:eastAsia="Times New Roman" w:hAnsi="Times New Roman"/>
        </w:rPr>
      </w:pPr>
      <w:r w:rsidRPr="002D1AFA">
        <w:rPr>
          <w:rFonts w:ascii="Times New Roman" w:eastAsia="Times New Roman" w:hAnsi="Times New Roman"/>
        </w:rPr>
        <w:t xml:space="preserve">Previous studies have identified four main challenges in PSC implementation in Indonesia: limited inspector capacity (with a ratio of 1 inspector for every 150 ships annually) </w:t>
      </w:r>
      <w:r w:rsidR="006242FB" w:rsidRPr="006242FB">
        <w:rPr>
          <w:rFonts w:ascii="Times New Roman" w:eastAsia="Times New Roman" w:hAnsi="Times New Roman"/>
        </w:rPr>
        <w:fldChar w:fldCharType="begin" w:fldLock="1"/>
      </w:r>
      <w:r w:rsidR="006242FB">
        <w:rPr>
          <w:rFonts w:ascii="Times New Roman" w:eastAsia="Times New Roman" w:hAnsi="Times New Roman"/>
        </w:rPr>
        <w:instrText>ADDIN CSL_CITATION {"citationItems":[{"id":"ITEM-1","itemData":{"author":[{"dropping-particle":"","family":"Maritime Affairs Journal","given":"","non-dropping-particle":"","parse-names":false,"suffix":""}],"id":"ITEM-1","issued":{"date-parts":[["2023"]]},"title":"Maritime Affairs Journal","type":"article"},"uris":["http://www.mendeley.com/documents/?uuid=5e274432-3fc9-4a5c-976e-d83729b5a6b8"]}],"mendeley":{"formattedCitation":"[8]","plainTextFormattedCitation":"[8]","previouslyFormattedCitation":"[8]"},"properties":{"noteIndex":0},"schema":"https://github.com/citation-style-language/schema/raw/master/csl-citation.json"}</w:instrText>
      </w:r>
      <w:r w:rsidR="006242FB" w:rsidRPr="006242FB">
        <w:rPr>
          <w:rFonts w:ascii="Times New Roman" w:eastAsia="Times New Roman" w:hAnsi="Times New Roman"/>
        </w:rPr>
        <w:fldChar w:fldCharType="separate"/>
      </w:r>
      <w:r w:rsidR="006242FB" w:rsidRPr="006242FB">
        <w:rPr>
          <w:rFonts w:ascii="Times New Roman" w:eastAsia="Times New Roman" w:hAnsi="Times New Roman"/>
          <w:noProof/>
        </w:rPr>
        <w:t>[8]</w:t>
      </w:r>
      <w:r w:rsidR="006242FB" w:rsidRPr="006242FB">
        <w:rPr>
          <w:rFonts w:ascii="Times New Roman" w:eastAsia="Times New Roman" w:hAnsi="Times New Roman"/>
        </w:rPr>
        <w:fldChar w:fldCharType="end"/>
      </w:r>
      <w:r w:rsidRPr="002D1AFA">
        <w:rPr>
          <w:rFonts w:ascii="Times New Roman" w:eastAsia="Times New Roman" w:hAnsi="Times New Roman"/>
        </w:rPr>
        <w:t xml:space="preserve">; a predominantly conventional inspection approach rather than a risk-based system </w:t>
      </w:r>
      <w:r w:rsidR="006242FB" w:rsidRPr="006242FB">
        <w:rPr>
          <w:rFonts w:ascii="Times New Roman" w:eastAsia="Times New Roman" w:hAnsi="Times New Roman"/>
        </w:rPr>
        <w:fldChar w:fldCharType="begin" w:fldLock="1"/>
      </w:r>
      <w:r w:rsidR="006242FB">
        <w:rPr>
          <w:rFonts w:ascii="Times New Roman" w:eastAsia="Times New Roman" w:hAnsi="Times New Roman"/>
        </w:rPr>
        <w:instrText>ADDIN CSL_CITATION {"citationItems":[{"id":"ITEM-1","itemData":{"author":[{"dropping-particle":"","family":"Chen","given":"L.","non-dropping-particle":"","parse-names":false,"suffix":""},{"dropping-particle":"","family":"Zhang","given":"W.","non-dropping-particle":"","parse-names":false,"suffix":""}],"container-title":"Journal of Maritime Technology","id":"ITEM-1","issue":"8(1),","issued":{"date-parts":[["2024"]]},"page":"112-128.","title":"AI Applications in Port State Control","type":"article-journal"},"uris":["http://www.mendeley.com/documents/?uuid=f36883fd-1f90-48cf-b5cc-eb16a6442331"]}],"mendeley":{"formattedCitation":"[9]","plainTextFormattedCitation":"[9]","previouslyFormattedCitation":"[9]"},"properties":{"noteIndex":0},"schema":"https://github.com/citation-style-language/schema/raw/master/csl-citation.json"}</w:instrText>
      </w:r>
      <w:r w:rsidR="006242FB" w:rsidRPr="006242FB">
        <w:rPr>
          <w:rFonts w:ascii="Times New Roman" w:eastAsia="Times New Roman" w:hAnsi="Times New Roman"/>
        </w:rPr>
        <w:fldChar w:fldCharType="separate"/>
      </w:r>
      <w:r w:rsidR="006242FB" w:rsidRPr="006242FB">
        <w:rPr>
          <w:rFonts w:ascii="Times New Roman" w:eastAsia="Times New Roman" w:hAnsi="Times New Roman"/>
          <w:noProof/>
        </w:rPr>
        <w:t>[9]</w:t>
      </w:r>
      <w:r w:rsidR="006242FB" w:rsidRPr="006242FB">
        <w:rPr>
          <w:rFonts w:ascii="Times New Roman" w:eastAsia="Times New Roman" w:hAnsi="Times New Roman"/>
        </w:rPr>
        <w:fldChar w:fldCharType="end"/>
      </w:r>
      <w:r w:rsidRPr="002D1AFA">
        <w:rPr>
          <w:rFonts w:ascii="Times New Roman" w:eastAsia="Times New Roman" w:hAnsi="Times New Roman"/>
        </w:rPr>
        <w:t xml:space="preserve">; suboptimal inter-agency coordination due to fragmented authority between port and central agencies </w:t>
      </w:r>
      <w:r w:rsidR="00D56278">
        <w:rPr>
          <w:rFonts w:ascii="Times New Roman" w:eastAsia="Times New Roman" w:hAnsi="Times New Roman"/>
        </w:rPr>
        <w:fldChar w:fldCharType="begin" w:fldLock="1"/>
      </w:r>
      <w:r w:rsidR="006242FB">
        <w:rPr>
          <w:rFonts w:ascii="Times New Roman" w:eastAsia="Times New Roman" w:hAnsi="Times New Roman"/>
        </w:rPr>
        <w:instrText>ADDIN CSL_CITATION {"citationItems":[{"id":"ITEM-1","itemData":{"author":[{"dropping-particle":"","family":"Chen","given":"L.","non-dropping-particle":"","parse-names":false,"suffix":""},{"dropping-particle":"","family":"Zhang","given":"W.","non-dropping-particle":"","parse-names":false,"suffix":""}],"container-title":"Journal of Maritime Technology","id":"ITEM-1","issue":"8(1),","issued":{"date-parts":[["2024"]]},"page":"112-128.","title":"AI Applications in Port State Control","type":"article-journal"},"uris":["http://www.mendeley.com/documents/?uuid=f36883fd-1f90-48cf-b5cc-eb16a6442331"]}],"mendeley":{"formattedCitation":"[9]","plainTextFormattedCitation":"[9]","previouslyFormattedCitation":"[9]"},"properties":{"noteIndex":0},"schema":"https://github.com/citation-style-language/schema/raw/master/csl-citation.json"}</w:instrText>
      </w:r>
      <w:r w:rsidR="00D56278">
        <w:rPr>
          <w:rFonts w:ascii="Times New Roman" w:eastAsia="Times New Roman" w:hAnsi="Times New Roman"/>
        </w:rPr>
        <w:fldChar w:fldCharType="separate"/>
      </w:r>
      <w:r w:rsidR="006242FB" w:rsidRPr="006242FB">
        <w:rPr>
          <w:rFonts w:ascii="Times New Roman" w:eastAsia="Times New Roman" w:hAnsi="Times New Roman"/>
          <w:noProof/>
        </w:rPr>
        <w:t>[9]</w:t>
      </w:r>
      <w:r w:rsidR="00D56278">
        <w:rPr>
          <w:rFonts w:ascii="Times New Roman" w:eastAsia="Times New Roman" w:hAnsi="Times New Roman"/>
        </w:rPr>
        <w:fldChar w:fldCharType="end"/>
      </w:r>
      <w:r w:rsidRPr="002D1AFA">
        <w:rPr>
          <w:rFonts w:ascii="Times New Roman" w:eastAsia="Times New Roman" w:hAnsi="Times New Roman"/>
        </w:rPr>
        <w:t xml:space="preserve">; and limited technology adoption, particularly in utilizing big data analytics </w:t>
      </w:r>
      <w:r w:rsidR="00D56278">
        <w:rPr>
          <w:rFonts w:ascii="Times New Roman" w:eastAsia="Times New Roman" w:hAnsi="Times New Roman"/>
        </w:rPr>
        <w:fldChar w:fldCharType="begin" w:fldLock="1"/>
      </w:r>
      <w:r w:rsidR="00D56278">
        <w:rPr>
          <w:rFonts w:ascii="Times New Roman" w:eastAsia="Times New Roman" w:hAnsi="Times New Roman"/>
        </w:rPr>
        <w:instrText>ADDIN CSL_CITATION {"citationItems":[{"id":"ITEM-1","itemData":{"author":[{"dropping-particle":"","family":"IMO","given":"","non-dropping-particle":"","parse-names":false,"suffix":""}],"id":"ITEM-1","issue":"March","issued":{"date-parts":[["2023"]]},"title":"Procedures for Port State Control, 2023. Paper A33/Res.1185. IMO-London","type":"article-journal","volume":"1155"},"uris":["http://www.mendeley.com/documents/?uuid=5dedd150-5050-4cbb-a35b-95684db92ebc"]}],"mendeley":{"formattedCitation":"[2]","plainTextFormattedCitation":"[2]","previouslyFormattedCitation":"[2]"},"properties":{"noteIndex":0},"schema":"https://github.com/citation-style-language/schema/raw/master/csl-citation.json"}</w:instrText>
      </w:r>
      <w:r w:rsidR="00D56278">
        <w:rPr>
          <w:rFonts w:ascii="Times New Roman" w:eastAsia="Times New Roman" w:hAnsi="Times New Roman"/>
        </w:rPr>
        <w:fldChar w:fldCharType="separate"/>
      </w:r>
      <w:r w:rsidR="00D56278" w:rsidRPr="00D56278">
        <w:rPr>
          <w:rFonts w:ascii="Times New Roman" w:eastAsia="Times New Roman" w:hAnsi="Times New Roman"/>
          <w:noProof/>
        </w:rPr>
        <w:t>[2]</w:t>
      </w:r>
      <w:r w:rsidR="00D56278">
        <w:rPr>
          <w:rFonts w:ascii="Times New Roman" w:eastAsia="Times New Roman" w:hAnsi="Times New Roman"/>
        </w:rPr>
        <w:fldChar w:fldCharType="end"/>
      </w:r>
      <w:r w:rsidRPr="002D1AFA">
        <w:rPr>
          <w:rFonts w:ascii="Times New Roman" w:eastAsia="Times New Roman" w:hAnsi="Times New Roman"/>
        </w:rPr>
        <w:t>. These challenges affect the overall effectiveness and consistency of inspection practices.</w:t>
      </w:r>
    </w:p>
    <w:p w14:paraId="55FA85A2" w14:textId="650F6F4D" w:rsidR="002D1AFA" w:rsidRPr="002D1AFA" w:rsidRDefault="002D1AFA" w:rsidP="002D1AFA">
      <w:pPr>
        <w:spacing w:after="0" w:line="240" w:lineRule="auto"/>
        <w:ind w:left="-2" w:firstLineChars="0" w:firstLine="569"/>
        <w:jc w:val="both"/>
        <w:rPr>
          <w:rFonts w:ascii="Times New Roman" w:eastAsia="Times New Roman" w:hAnsi="Times New Roman"/>
        </w:rPr>
      </w:pPr>
      <w:r w:rsidRPr="002D1AFA">
        <w:rPr>
          <w:rFonts w:ascii="Times New Roman" w:eastAsia="Times New Roman" w:hAnsi="Times New Roman"/>
        </w:rPr>
        <w:t xml:space="preserve">A research gap persists, as most previous studies focus on PSC data at the global or regional levels </w:t>
      </w:r>
      <w:r w:rsidR="00D56278">
        <w:rPr>
          <w:rFonts w:ascii="Times New Roman" w:eastAsia="Times New Roman" w:hAnsi="Times New Roman"/>
        </w:rPr>
        <w:fldChar w:fldCharType="begin" w:fldLock="1"/>
      </w:r>
      <w:r w:rsidR="006242FB">
        <w:rPr>
          <w:rFonts w:ascii="Times New Roman" w:eastAsia="Times New Roman" w:hAnsi="Times New Roman"/>
        </w:rPr>
        <w:instrText>ADDIN CSL_CITATION {"citationItems":[{"id":"ITEM-1","itemData":{"author":[{"dropping-particle":"","family":"Chen","given":"L.","non-dropping-particle":"","parse-names":false,"suffix":""},{"dropping-particle":"","family":"Zhang","given":"W.","non-dropping-particle":"","parse-names":false,"suffix":""}],"container-title":"Journal of Maritime Technology","id":"ITEM-1","issue":"8(1),","issued":{"date-parts":[["2024"]]},"page":"112-128.","title":"AI Applications in Port State Control","type":"article-journal"},"uris":["http://www.mendeley.com/documents/?uuid=f36883fd-1f90-48cf-b5cc-eb16a6442331"]}],"mendeley":{"formattedCitation":"[9]","plainTextFormattedCitation":"[9]","previouslyFormattedCitation":"[9]"},"properties":{"noteIndex":0},"schema":"https://github.com/citation-style-language/schema/raw/master/csl-citation.json"}</w:instrText>
      </w:r>
      <w:r w:rsidR="00D56278">
        <w:rPr>
          <w:rFonts w:ascii="Times New Roman" w:eastAsia="Times New Roman" w:hAnsi="Times New Roman"/>
        </w:rPr>
        <w:fldChar w:fldCharType="separate"/>
      </w:r>
      <w:r w:rsidR="006242FB" w:rsidRPr="006242FB">
        <w:rPr>
          <w:rFonts w:ascii="Times New Roman" w:eastAsia="Times New Roman" w:hAnsi="Times New Roman"/>
          <w:noProof/>
        </w:rPr>
        <w:t>[9]</w:t>
      </w:r>
      <w:r w:rsidR="00D56278">
        <w:rPr>
          <w:rFonts w:ascii="Times New Roman" w:eastAsia="Times New Roman" w:hAnsi="Times New Roman"/>
        </w:rPr>
        <w:fldChar w:fldCharType="end"/>
      </w:r>
      <w:r w:rsidR="00D56278">
        <w:rPr>
          <w:rFonts w:ascii="Times New Roman" w:eastAsia="Times New Roman" w:hAnsi="Times New Roman"/>
        </w:rPr>
        <w:t xml:space="preserve">, </w:t>
      </w:r>
      <w:r w:rsidRPr="002D1AFA">
        <w:rPr>
          <w:rFonts w:ascii="Times New Roman" w:eastAsia="Times New Roman" w:hAnsi="Times New Roman"/>
        </w:rPr>
        <w:t>with limited analysis specifically addressing implementation in developing countries like Indonesia. Studies such as those have examined institutional capacity and unique challenges in archipelagic states, forming the foundation for this study’s inquiry</w:t>
      </w:r>
      <w:r w:rsidR="006242FB">
        <w:rPr>
          <w:rFonts w:ascii="Times New Roman" w:eastAsia="Times New Roman" w:hAnsi="Times New Roman"/>
        </w:rPr>
        <w:t xml:space="preserve"> </w:t>
      </w:r>
      <w:r w:rsidR="006242FB">
        <w:rPr>
          <w:rFonts w:ascii="Times New Roman" w:eastAsia="Times New Roman" w:hAnsi="Times New Roman"/>
        </w:rPr>
        <w:fldChar w:fldCharType="begin" w:fldLock="1"/>
      </w:r>
      <w:r w:rsidR="00114618">
        <w:rPr>
          <w:rFonts w:ascii="Times New Roman" w:eastAsia="Times New Roman" w:hAnsi="Times New Roman"/>
        </w:rPr>
        <w:instrText>ADDIN CSL_CITATION {"citationItems":[{"id":"ITEM-1","itemData":{"author":[{"dropping-particle":"","family":"Chen","given":"Jian","non-dropping-particle":"","parse-names":false,"suffix":""},{"dropping-particle":"","family":"Zhao","given":"Yang","non-dropping-particle":"","parse-names":false,"suffix":""},{"dropping-particle":"","family":"Zhang","given":"Taiming","non-dropping-particle":"","parse-names":false,"suffix":""}],"container-title":"Ocean &amp; Coastal Management","id":"ITEM-1","issued":{"date-parts":[["2023"]]},"title":"Policies for Potentially Inundated Island Nations for the Retention of Marine Resources and Rights of Associated Under-Water Features and Exclusive Economic Zones","type":"article-journal"},"uris":["http://www.mendeley.com/documents/?uuid=9bcfd69d-6f44-4a63-b528-e4f599be346f"]}],"mendeley":{"formattedCitation":"[10]","plainTextFormattedCitation":"[10]","previouslyFormattedCitation":"[10]"},"properties":{"noteIndex":0},"schema":"https://github.com/citation-style-language/schema/raw/master/csl-citation.json"}</w:instrText>
      </w:r>
      <w:r w:rsidR="006242FB">
        <w:rPr>
          <w:rFonts w:ascii="Times New Roman" w:eastAsia="Times New Roman" w:hAnsi="Times New Roman"/>
        </w:rPr>
        <w:fldChar w:fldCharType="separate"/>
      </w:r>
      <w:r w:rsidR="006242FB" w:rsidRPr="006242FB">
        <w:rPr>
          <w:rFonts w:ascii="Times New Roman" w:eastAsia="Times New Roman" w:hAnsi="Times New Roman"/>
          <w:noProof/>
        </w:rPr>
        <w:t>[10]</w:t>
      </w:r>
      <w:r w:rsidR="006242FB">
        <w:rPr>
          <w:rFonts w:ascii="Times New Roman" w:eastAsia="Times New Roman" w:hAnsi="Times New Roman"/>
        </w:rPr>
        <w:fldChar w:fldCharType="end"/>
      </w:r>
      <w:r w:rsidRPr="002D1AFA">
        <w:rPr>
          <w:rFonts w:ascii="Times New Roman" w:eastAsia="Times New Roman" w:hAnsi="Times New Roman"/>
        </w:rPr>
        <w:t>.</w:t>
      </w:r>
    </w:p>
    <w:p w14:paraId="06E5876C" w14:textId="01D740BD" w:rsidR="002D1AFA" w:rsidRPr="002D1AFA" w:rsidRDefault="002D1AFA" w:rsidP="002D1AFA">
      <w:pPr>
        <w:spacing w:after="0" w:line="240" w:lineRule="auto"/>
        <w:ind w:left="-2" w:firstLineChars="0" w:firstLine="569"/>
        <w:jc w:val="both"/>
        <w:rPr>
          <w:rFonts w:ascii="Times New Roman" w:eastAsia="Times New Roman" w:hAnsi="Times New Roman"/>
        </w:rPr>
      </w:pPr>
      <w:r w:rsidRPr="002D1AFA">
        <w:rPr>
          <w:rFonts w:ascii="Times New Roman" w:eastAsia="Times New Roman" w:hAnsi="Times New Roman"/>
        </w:rPr>
        <w:t xml:space="preserve">This study adopts a theoretical framework grounded in regulatory enforcement theory, analyzing implementation effectiveness through three dimensions: institutional capacity, incentive systems, and inter-agency coordination. The concept of risk-based regulation is also integrated to assess Indonesia’s inspection system, enriching the analytical depth </w:t>
      </w:r>
      <w:r w:rsidR="00114618" w:rsidRPr="00114618">
        <w:rPr>
          <w:rFonts w:ascii="Times New Roman" w:eastAsia="Times New Roman" w:hAnsi="Times New Roman"/>
        </w:rPr>
        <w:fldChar w:fldCharType="begin" w:fldLock="1"/>
      </w:r>
      <w:r w:rsidR="00A064AC">
        <w:rPr>
          <w:rFonts w:ascii="Times New Roman" w:eastAsia="Times New Roman" w:hAnsi="Times New Roman"/>
        </w:rPr>
        <w:instrText>ADDIN CSL_CITATION {"citationItems":[{"id":"ITEM-1","itemData":{"ISSN":"0975-5853","abstract":"The empirical literature is bounded to explaining the use of emerging regulatory innovation in designing meta-regulation under risk-based regulatory strategy as a new \"regulatory mix\". Therefore, this paper aims to demonstrate how enterprise risk management (ERM), an emergent regulatory innovation, uses to design meta-regulation under the risk-based strategy. Based on qualitative content analysis of a central bank's annual report in an emerging economy over eleven years, including the issued guidelines and circulars, this paper reveals the dimension of ERM as a meta-regulatory toolkit in the regulatory regime. The evidence reflects that the regulator's sectoral risk management reform based on ERM philosophy enforces regulated banks to develop self-regulation across the industry that subsequently enrol into the regulatory process as a meta-regulatory approach. The regulator achieves the risk-based regulatory aims relying intensely on ERM based self-regulation of the regulated banks and supervise with enhanced institutional capacity and advanced tools and techniques. Abstract-The empirical literature is bounded to explaining the use of emerging regulatory innovation in designing meta-regulation under risk-based regulatory strategy as a new \"regulatory mix\". Therefore, this paper aims to demonstrate how enterprise risk management (ERM), an emergent regulatory innovation, uses to design meta-regulation under the risk-based strategy. Based on qualitative content analysis of a central bank's annual report in an emerging economy over eleven years, including the issued guidelines and circulars, this paper reveals the dimension of ERM as a meta-regulatory toolkit in the regulatory regime. The evidence reflects that the regulator's sectoral risk management reform based on ERM philosophy enforces regulated banks to develop self-regulation across the industry that subsequently enrol into the regulatory process as a meta-regulatory approach. The regulator achieves the risk-based regulatory aims relying intensely on ERM based self-regulation of the regulated banks and supervise with enhanced institutional capacity and advanced tools and techniques. Therefore, the piece argues that ERM intensifies a \"regulatory mix\" in financial regulation combining meta-regulation and risk-based regulation.","author":[{"dropping-particle":"","family":"Moniruzzaman","given":"Mohammad","non-dropping-particle":"","parse-names":false,"suffix":""}],"container-title":"Global Journal of Management and Business Research: A Administration and Management","id":"ITEM-1","issue":"2","issued":{"date-parts":[["2023"]]},"title":"Enterprise risk management in designing meta-regulation under risk-based regulatory strategy: An empirical evidence from financial regulation","type":"article-journal","volume":"23"},"uris":["http://www.mendeley.com/documents/?uuid=6c2023dc-196b-44a3-aaf1-1ae4fc842db0"]}],"mendeley":{"formattedCitation":"[11]","plainTextFormattedCitation":"[11]","previouslyFormattedCitation":"[11]"},"properties":{"noteIndex":0},"schema":"https://github.com/citation-style-language/schema/raw/master/csl-citation.json"}</w:instrText>
      </w:r>
      <w:r w:rsidR="00114618" w:rsidRPr="00114618">
        <w:rPr>
          <w:rFonts w:ascii="Times New Roman" w:eastAsia="Times New Roman" w:hAnsi="Times New Roman"/>
        </w:rPr>
        <w:fldChar w:fldCharType="separate"/>
      </w:r>
      <w:r w:rsidR="00114618" w:rsidRPr="00114618">
        <w:rPr>
          <w:rFonts w:ascii="Times New Roman" w:eastAsia="Times New Roman" w:hAnsi="Times New Roman"/>
          <w:noProof/>
        </w:rPr>
        <w:t>[11]</w:t>
      </w:r>
      <w:r w:rsidR="00114618" w:rsidRPr="00114618">
        <w:rPr>
          <w:rFonts w:ascii="Times New Roman" w:eastAsia="Times New Roman" w:hAnsi="Times New Roman"/>
        </w:rPr>
        <w:fldChar w:fldCharType="end"/>
      </w:r>
      <w:r w:rsidR="00A064AC">
        <w:rPr>
          <w:rFonts w:ascii="Times New Roman" w:eastAsia="Times New Roman" w:hAnsi="Times New Roman"/>
        </w:rPr>
        <w:fldChar w:fldCharType="begin" w:fldLock="1"/>
      </w:r>
      <w:r w:rsidR="00232EBB">
        <w:rPr>
          <w:rFonts w:ascii="Times New Roman" w:eastAsia="Times New Roman" w:hAnsi="Times New Roman"/>
        </w:rPr>
        <w:instrText>ADDIN CSL_CITATION {"citationItems":[{"id":"ITEM-1","itemData":{"DOI":"10.1108/ajeb-05-2021-0067","ISSN":"2615-9821","abstract":"Purpose Debate is growing around the expansion of risk-based regulation. The regulation scholarship provides evidence of regulatory failure of the risk-based approach in different domains, including financial regulation. Therefore, this paper aims to provide cautionary evidence about the risk of regulatory failure of risk-based strategy in the financial regulation while using enterprise risk management (ERM) as a meta-regulatory toolkit. Design/methodology/approach Based on interview data gathered from 30 risk managers of banks and five regulatory personnel, combined with secondary data, this study mainly explores the challenges for meaningful use of ERM based self-regulation in regulated banks. The evidence helps to assess the risk of regulatory failure of the risk-based regulation while using ERM. Findings The evidence reflects that regulated banks face diverse challenges arising from both peripheral and internal environments that limit the true internalization of ERM-based self-regulation. Despite this, the regulator uses this self-regulation as a meta-regulatory toolkit under the risk-based regulation to achieve the regulatory aims. However, the lack of true internalization of ERM based self-regulation is likely to raise the risk of regulatory failure of risk-based regulation to achieve the regulatory goals. Risk-based regulation is an evolving strategy in the regulatory regime. Therefore, care should be taken while using ERM as a regulatory toolkit before relying on it substantially. Originality/value The paper provides empirical insights about the challenges for effective use of ERM as a meta regulatory toolkit that might be useful practically both to the regulators and regulated firms.","author":[{"dropping-particle":"","family":"Moniruzzaman","given":"Mohammad","non-dropping-particle":"","parse-names":false,"suffix":""}],"container-title":"Asian Journal of Economics and Banking","id":"ITEM-1","issue":"1","issued":{"date-parts":[["2022"]]},"page":"103-121","title":"Risk of regulatory failure of “risk-based regulation” while using enterprise risk management as a meta-regulatory toolkit","type":"article-journal","volume":"6"},"uris":["http://www.mendeley.com/documents/?uuid=5edcedfa-a8a5-4c3e-a981-0f87e65b4462"]}],"mendeley":{"formattedCitation":"[12]","plainTextFormattedCitation":"[12]","previouslyFormattedCitation":"[12]"},"properties":{"noteIndex":0},"schema":"https://github.com/citation-style-language/schema/raw/master/csl-citation.json"}</w:instrText>
      </w:r>
      <w:r w:rsidR="00A064AC">
        <w:rPr>
          <w:rFonts w:ascii="Times New Roman" w:eastAsia="Times New Roman" w:hAnsi="Times New Roman"/>
        </w:rPr>
        <w:fldChar w:fldCharType="separate"/>
      </w:r>
      <w:r w:rsidR="00A064AC" w:rsidRPr="00A064AC">
        <w:rPr>
          <w:rFonts w:ascii="Times New Roman" w:eastAsia="Times New Roman" w:hAnsi="Times New Roman"/>
          <w:noProof/>
        </w:rPr>
        <w:t>[12]</w:t>
      </w:r>
      <w:r w:rsidR="00A064AC">
        <w:rPr>
          <w:rFonts w:ascii="Times New Roman" w:eastAsia="Times New Roman" w:hAnsi="Times New Roman"/>
        </w:rPr>
        <w:fldChar w:fldCharType="end"/>
      </w:r>
      <w:r w:rsidR="00114618">
        <w:rPr>
          <w:rFonts w:ascii="Times New Roman" w:eastAsia="Times New Roman" w:hAnsi="Times New Roman"/>
        </w:rPr>
        <w:t>.</w:t>
      </w:r>
    </w:p>
    <w:p w14:paraId="2E88FF78" w14:textId="26DA2191" w:rsidR="002D1AFA" w:rsidRPr="002D1AFA" w:rsidRDefault="002D1AFA" w:rsidP="002D1AFA">
      <w:pPr>
        <w:spacing w:after="0" w:line="240" w:lineRule="auto"/>
        <w:ind w:left="-2" w:firstLineChars="0" w:firstLine="569"/>
        <w:jc w:val="both"/>
        <w:rPr>
          <w:rFonts w:ascii="Times New Roman" w:eastAsia="Times New Roman" w:hAnsi="Times New Roman"/>
        </w:rPr>
      </w:pPr>
      <w:r w:rsidRPr="002D1AFA">
        <w:rPr>
          <w:rFonts w:ascii="Times New Roman" w:eastAsia="Times New Roman" w:hAnsi="Times New Roman"/>
        </w:rPr>
        <w:t>Based on this framework, three hypotheses are proposed: enhancing inspector capacity will improve inspection effectiveness by 25% (H1); implementing a risk-based inspection system will increase detention rates by up to 15% (H2); and strengthening inter-agency coordination will reduce inspection duplication by 30% (H3). These hypotheses are tested through both quantitative and qualitative data analyses</w:t>
      </w:r>
      <w:r w:rsidR="00232EBB">
        <w:rPr>
          <w:rFonts w:ascii="Times New Roman" w:eastAsia="Times New Roman" w:hAnsi="Times New Roman"/>
        </w:rPr>
        <w:t xml:space="preserve"> </w:t>
      </w:r>
      <w:r w:rsidR="00232EBB">
        <w:rPr>
          <w:rFonts w:ascii="Times New Roman" w:eastAsia="Times New Roman" w:hAnsi="Times New Roman"/>
        </w:rPr>
        <w:fldChar w:fldCharType="begin" w:fldLock="1"/>
      </w:r>
      <w:r w:rsidR="00232EBB">
        <w:rPr>
          <w:rFonts w:ascii="Times New Roman" w:eastAsia="Times New Roman" w:hAnsi="Times New Roman"/>
        </w:rPr>
        <w:instrText>ADDIN CSL_CITATION {"citationItems":[{"id":"ITEM-1","itemData":{"DOI":"10.48181/jelts.v5i1.14600","ISSN":"26230003","abstract":"The two dichotomous theories of positivism and interpretivism, respectively, underpin quantitative and qualitative methods to social research. Despite the fact that there are many other research paradigms, positivism and interpretivism are more commonly used in social research than other paradigms. These paradigms appear to be at odds not just in philosophical ideas, but also on a practical level, particularly in relation to research findings that are significant to educational policy-making. In this sense, there are still heated discussions about the research method that is more useful and transferrable to policy development. This study will look at the benefits and drawbacks of using qualitative and quantitative methodologies in educational policy research, specifically in the setting of English as a foreign language (EFL) in elementary school. The research begins with a philosophical introduction to social research, followed by a look at paradigmatic contestations between the two views, as well as their strengths and limits. The discussion continues with an explanation of current EFL policy developments, followed by a comparison of papers from respective quantitative and qualitative approaches, an assessment of the dominant research approach in EFL policy, and the ethical difficulties that must be addressed. The findings of this study show that no single approach can adequately address all facets of social processes. Each approach is tailored to certain goals and focuses, and neither can be used in place of the other. As a result, the most important consideration in deciding which technique to use in social research is the nature of the topics that will be explored.","author":[{"dropping-particle":"","family":"Japar Sidik","given":"Ezis","non-dropping-particle":"","parse-names":false,"suffix":""},{"dropping-particle":"","family":"Baihaqi","given":"Akhmad","non-dropping-particle":"","parse-names":false,"suffix":""},{"dropping-particle":"","family":"Wahyu Utomo","given":"Dhafid","non-dropping-particle":"","parse-names":false,"suffix":""}],"container-title":"Journal of English Language Teaching and Cultural Studies","id":"ITEM-1","issue":"1","issued":{"date-parts":[["2022"]]},"page":"60-76","title":"Comparative Evaluation of the Qualitative and Quantitative Research on English as a Foreign Language (EFL) Policy at Primary Education in Indonesia and Other EFL Contexts","type":"article-journal","volume":"5"},"uris":["http://www.mendeley.com/documents/?uuid=752e91a5-b677-4abb-a5d4-c4419b7c5900"]}],"mendeley":{"formattedCitation":"[13]","plainTextFormattedCitation":"[13]"},"properties":{"noteIndex":0},"schema":"https://github.com/citation-style-language/schema/raw/master/csl-citation.json"}</w:instrText>
      </w:r>
      <w:r w:rsidR="00232EBB">
        <w:rPr>
          <w:rFonts w:ascii="Times New Roman" w:eastAsia="Times New Roman" w:hAnsi="Times New Roman"/>
        </w:rPr>
        <w:fldChar w:fldCharType="separate"/>
      </w:r>
      <w:r w:rsidR="00232EBB" w:rsidRPr="00232EBB">
        <w:rPr>
          <w:rFonts w:ascii="Times New Roman" w:eastAsia="Times New Roman" w:hAnsi="Times New Roman"/>
          <w:noProof/>
        </w:rPr>
        <w:t>[13]</w:t>
      </w:r>
      <w:r w:rsidR="00232EBB">
        <w:rPr>
          <w:rFonts w:ascii="Times New Roman" w:eastAsia="Times New Roman" w:hAnsi="Times New Roman"/>
        </w:rPr>
        <w:fldChar w:fldCharType="end"/>
      </w:r>
      <w:r w:rsidR="00114618">
        <w:rPr>
          <w:rFonts w:ascii="Times New Roman" w:eastAsia="Times New Roman" w:hAnsi="Times New Roman"/>
        </w:rPr>
        <w:t>.</w:t>
      </w:r>
    </w:p>
    <w:p w14:paraId="5F3D8B90" w14:textId="73BDB7B4" w:rsidR="002D1AFA" w:rsidRDefault="002D1AFA" w:rsidP="002D1AFA">
      <w:pPr>
        <w:spacing w:after="0" w:line="240" w:lineRule="auto"/>
        <w:ind w:left="-2" w:firstLineChars="0" w:firstLine="569"/>
        <w:jc w:val="both"/>
        <w:rPr>
          <w:rFonts w:ascii="Times New Roman" w:eastAsia="Times New Roman" w:hAnsi="Times New Roman"/>
        </w:rPr>
      </w:pPr>
      <w:r w:rsidRPr="002D1AFA">
        <w:rPr>
          <w:rFonts w:ascii="Times New Roman" w:eastAsia="Times New Roman" w:hAnsi="Times New Roman"/>
        </w:rPr>
        <w:lastRenderedPageBreak/>
        <w:t xml:space="preserve">This study aims to contribute in three primary ways: (1) offering a comprehensive mapping of PSC implementation in Indonesia; (2) developing a model for improving PSC effectiveness in developing countries; and (3) providing evidence-based policy recommendations to enhance national PSC systems and Indonesia’s role within the Tokyo MOU. The findings are relevant to academics, practitioners, and policymakers in the maritime sector </w:t>
      </w:r>
      <w:r w:rsidR="006242FB" w:rsidRPr="006242FB">
        <w:rPr>
          <w:rFonts w:ascii="Times New Roman" w:eastAsia="Times New Roman" w:hAnsi="Times New Roman"/>
        </w:rPr>
        <w:fldChar w:fldCharType="begin" w:fldLock="1"/>
      </w:r>
      <w:r w:rsidR="00232EBB">
        <w:rPr>
          <w:rFonts w:ascii="Times New Roman" w:eastAsia="Times New Roman" w:hAnsi="Times New Roman"/>
        </w:rPr>
        <w:instrText>ADDIN CSL_CITATION {"citationItems":[{"id":"ITEM-1","itemData":{"author":[{"dropping-particle":"","family":"Global Maritime Review","given":"","non-dropping-particle":"","parse-names":false,"suffix":""}],"id":"ITEM-1","issued":{"date-parts":[["2023"]]},"title":"Global Maritime Review","type":"article"},"uris":["http://www.mendeley.com/documents/?uuid=b2230115-6fa1-4092-b989-ea4ad44b8bcd"]}],"mendeley":{"formattedCitation":"[14]","plainTextFormattedCitation":"[14]","previouslyFormattedCitation":"[13]"},"properties":{"noteIndex":0},"schema":"https://github.com/citation-style-language/schema/raw/master/csl-citation.json"}</w:instrText>
      </w:r>
      <w:r w:rsidR="006242FB" w:rsidRPr="006242FB">
        <w:rPr>
          <w:rFonts w:ascii="Times New Roman" w:eastAsia="Times New Roman" w:hAnsi="Times New Roman"/>
        </w:rPr>
        <w:fldChar w:fldCharType="separate"/>
      </w:r>
      <w:r w:rsidR="00232EBB" w:rsidRPr="00232EBB">
        <w:rPr>
          <w:rFonts w:ascii="Times New Roman" w:eastAsia="Times New Roman" w:hAnsi="Times New Roman"/>
          <w:noProof/>
        </w:rPr>
        <w:t>[14]</w:t>
      </w:r>
      <w:r w:rsidR="006242FB" w:rsidRPr="006242FB">
        <w:rPr>
          <w:rFonts w:ascii="Times New Roman" w:eastAsia="Times New Roman" w:hAnsi="Times New Roman"/>
        </w:rPr>
        <w:fldChar w:fldCharType="end"/>
      </w:r>
      <w:r w:rsidR="006242FB">
        <w:rPr>
          <w:rFonts w:ascii="Times New Roman" w:eastAsia="Times New Roman" w:hAnsi="Times New Roman"/>
        </w:rPr>
        <w:t>.</w:t>
      </w:r>
    </w:p>
    <w:p w14:paraId="5F5F0EEB" w14:textId="77777777" w:rsidR="00743292" w:rsidRDefault="00743292" w:rsidP="00743292">
      <w:pPr>
        <w:pStyle w:val="Heading1"/>
        <w:numPr>
          <w:ilvl w:val="0"/>
          <w:numId w:val="0"/>
        </w:numPr>
        <w:spacing w:after="0"/>
      </w:pPr>
    </w:p>
    <w:p w14:paraId="014FC226" w14:textId="76D096DB" w:rsidR="00743292" w:rsidRDefault="00743292" w:rsidP="00743292">
      <w:pPr>
        <w:pStyle w:val="Heading1"/>
        <w:numPr>
          <w:ilvl w:val="0"/>
          <w:numId w:val="0"/>
        </w:numPr>
        <w:spacing w:after="0"/>
      </w:pPr>
      <w:r>
        <w:t xml:space="preserve">METHOD </w:t>
      </w:r>
    </w:p>
    <w:p w14:paraId="4F7E545F" w14:textId="77777777" w:rsidR="002D1AFA" w:rsidRPr="002D1AFA" w:rsidRDefault="002D1AFA" w:rsidP="002D1AFA">
      <w:pPr>
        <w:spacing w:after="0" w:line="240" w:lineRule="auto"/>
        <w:ind w:left="-2" w:firstLineChars="257" w:firstLine="565"/>
        <w:jc w:val="both"/>
        <w:rPr>
          <w:rFonts w:ascii="Times New Roman" w:eastAsia="Times New Roman" w:hAnsi="Times New Roman"/>
        </w:rPr>
      </w:pPr>
      <w:r w:rsidRPr="002D1AFA">
        <w:rPr>
          <w:rFonts w:ascii="Times New Roman" w:eastAsia="Times New Roman" w:hAnsi="Times New Roman"/>
        </w:rPr>
        <w:t>This study employs a mixed-methods approach, integrating both quantitative and qualitative analyses to evaluate PSC implementation in Indonesia under the Tokyo MOU standards.</w:t>
      </w:r>
    </w:p>
    <w:p w14:paraId="3C779D80" w14:textId="2F354077" w:rsidR="002D1AFA" w:rsidRPr="002D1AFA" w:rsidRDefault="002D1AFA" w:rsidP="002D1AFA">
      <w:pPr>
        <w:spacing w:after="0" w:line="240" w:lineRule="auto"/>
        <w:ind w:left="-2" w:firstLineChars="257" w:firstLine="565"/>
        <w:jc w:val="both"/>
        <w:rPr>
          <w:rFonts w:ascii="Times New Roman" w:eastAsia="Times New Roman" w:hAnsi="Times New Roman"/>
        </w:rPr>
      </w:pPr>
      <w:r w:rsidRPr="002D1AFA">
        <w:rPr>
          <w:rFonts w:ascii="Times New Roman" w:eastAsia="Times New Roman" w:hAnsi="Times New Roman"/>
        </w:rPr>
        <w:t>A sequential explanatory design was adopted, comprising: quantitative analysis of PSC inspection data, qualitative exploration via in-depth interviews, and synthesis of findings for a comprehensive conclusion. This approach allows for a deep understanding of inspection patterns alongside real-world operational contexts.</w:t>
      </w:r>
    </w:p>
    <w:p w14:paraId="1F648EF3" w14:textId="77777777" w:rsidR="002D1AFA" w:rsidRPr="002D1AFA" w:rsidRDefault="002D1AFA" w:rsidP="002D1AFA">
      <w:pPr>
        <w:spacing w:after="0" w:line="240" w:lineRule="auto"/>
        <w:ind w:left="-2" w:firstLineChars="257" w:firstLine="565"/>
        <w:jc w:val="both"/>
        <w:rPr>
          <w:rFonts w:ascii="Times New Roman" w:eastAsia="Times New Roman" w:hAnsi="Times New Roman"/>
        </w:rPr>
      </w:pPr>
      <w:r w:rsidRPr="002D1AFA">
        <w:rPr>
          <w:rFonts w:ascii="Times New Roman" w:eastAsia="Times New Roman" w:hAnsi="Times New Roman"/>
        </w:rPr>
        <w:t>Data were sourced from the Asia-Pacific Computerized Information System (APCIS) Tokyo MOU database (2018–2022), annual Tokyo MOU reports (2018–2022), and policy documents from Indonesia’s Directorate General of Sea Transportation. The methodology ensures valid, reliable, and policy-relevant outcomes.</w:t>
      </w:r>
    </w:p>
    <w:p w14:paraId="6FCCB7DF" w14:textId="77777777" w:rsidR="002D1AFA" w:rsidRPr="002D1AFA" w:rsidRDefault="002D1AFA" w:rsidP="002D1AFA">
      <w:pPr>
        <w:spacing w:after="0" w:line="240" w:lineRule="auto"/>
        <w:ind w:leftChars="258" w:left="850" w:hangingChars="128" w:hanging="282"/>
        <w:jc w:val="both"/>
        <w:rPr>
          <w:rFonts w:ascii="Times New Roman" w:eastAsia="Times New Roman" w:hAnsi="Times New Roman"/>
        </w:rPr>
      </w:pPr>
      <w:r w:rsidRPr="002D1AFA">
        <w:rPr>
          <w:rFonts w:ascii="Times New Roman" w:eastAsia="Times New Roman" w:hAnsi="Times New Roman"/>
        </w:rPr>
        <w:t>The research operationalizes the following variables:</w:t>
      </w:r>
    </w:p>
    <w:p w14:paraId="1BB6DDAD" w14:textId="77777777" w:rsidR="002D1AFA" w:rsidRPr="002D1AFA" w:rsidRDefault="002D1AFA" w:rsidP="002D1AFA">
      <w:pPr>
        <w:spacing w:after="0" w:line="240" w:lineRule="auto"/>
        <w:ind w:leftChars="258" w:left="850" w:hangingChars="128" w:hanging="282"/>
        <w:jc w:val="both"/>
        <w:rPr>
          <w:rFonts w:ascii="Times New Roman" w:eastAsia="Times New Roman" w:hAnsi="Times New Roman"/>
        </w:rPr>
      </w:pPr>
      <w:r w:rsidRPr="002D1AFA">
        <w:rPr>
          <w:rFonts w:ascii="Times New Roman" w:eastAsia="Times New Roman" w:hAnsi="Times New Roman"/>
        </w:rPr>
        <w:t>1.</w:t>
      </w:r>
      <w:r w:rsidRPr="002D1AFA">
        <w:rPr>
          <w:rFonts w:ascii="Times New Roman" w:eastAsia="Times New Roman" w:hAnsi="Times New Roman"/>
        </w:rPr>
        <w:tab/>
        <w:t>Independent Variables:</w:t>
      </w:r>
    </w:p>
    <w:p w14:paraId="5162EC78" w14:textId="77777777" w:rsidR="002D1AFA" w:rsidRPr="002D1AFA" w:rsidRDefault="002D1AFA" w:rsidP="002D1AFA">
      <w:pPr>
        <w:spacing w:after="0" w:line="240" w:lineRule="auto"/>
        <w:ind w:leftChars="258" w:left="850" w:hangingChars="128" w:hanging="282"/>
        <w:jc w:val="both"/>
        <w:rPr>
          <w:rFonts w:ascii="Times New Roman" w:eastAsia="Times New Roman" w:hAnsi="Times New Roman"/>
        </w:rPr>
      </w:pPr>
      <w:r w:rsidRPr="002D1AFA">
        <w:rPr>
          <w:rFonts w:ascii="Times New Roman" w:eastAsia="Times New Roman" w:hAnsi="Times New Roman"/>
        </w:rPr>
        <w:t>•</w:t>
      </w:r>
      <w:r w:rsidRPr="002D1AFA">
        <w:rPr>
          <w:rFonts w:ascii="Times New Roman" w:eastAsia="Times New Roman" w:hAnsi="Times New Roman"/>
        </w:rPr>
        <w:tab/>
        <w:t>Inspector capacity (quantity, qualifications, experience)</w:t>
      </w:r>
    </w:p>
    <w:p w14:paraId="5B16A164" w14:textId="77777777" w:rsidR="002D1AFA" w:rsidRPr="002D1AFA" w:rsidRDefault="002D1AFA" w:rsidP="002D1AFA">
      <w:pPr>
        <w:spacing w:after="0" w:line="240" w:lineRule="auto"/>
        <w:ind w:leftChars="258" w:left="850" w:hangingChars="128" w:hanging="282"/>
        <w:jc w:val="both"/>
        <w:rPr>
          <w:rFonts w:ascii="Times New Roman" w:eastAsia="Times New Roman" w:hAnsi="Times New Roman"/>
        </w:rPr>
      </w:pPr>
      <w:r w:rsidRPr="002D1AFA">
        <w:rPr>
          <w:rFonts w:ascii="Times New Roman" w:eastAsia="Times New Roman" w:hAnsi="Times New Roman"/>
        </w:rPr>
        <w:t>•</w:t>
      </w:r>
      <w:r w:rsidRPr="002D1AFA">
        <w:rPr>
          <w:rFonts w:ascii="Times New Roman" w:eastAsia="Times New Roman" w:hAnsi="Times New Roman"/>
        </w:rPr>
        <w:tab/>
        <w:t>Inspection system (conventional vs. risk-based)</w:t>
      </w:r>
    </w:p>
    <w:p w14:paraId="0E3A6574" w14:textId="77777777" w:rsidR="002D1AFA" w:rsidRPr="002D1AFA" w:rsidRDefault="002D1AFA" w:rsidP="002D1AFA">
      <w:pPr>
        <w:spacing w:after="0" w:line="240" w:lineRule="auto"/>
        <w:ind w:leftChars="258" w:left="850" w:hangingChars="128" w:hanging="282"/>
        <w:jc w:val="both"/>
        <w:rPr>
          <w:rFonts w:ascii="Times New Roman" w:eastAsia="Times New Roman" w:hAnsi="Times New Roman"/>
        </w:rPr>
      </w:pPr>
      <w:r w:rsidRPr="002D1AFA">
        <w:rPr>
          <w:rFonts w:ascii="Times New Roman" w:eastAsia="Times New Roman" w:hAnsi="Times New Roman"/>
        </w:rPr>
        <w:t>•</w:t>
      </w:r>
      <w:r w:rsidRPr="002D1AFA">
        <w:rPr>
          <w:rFonts w:ascii="Times New Roman" w:eastAsia="Times New Roman" w:hAnsi="Times New Roman"/>
        </w:rPr>
        <w:tab/>
        <w:t>Supporting infrastructure</w:t>
      </w:r>
    </w:p>
    <w:p w14:paraId="7152CABC" w14:textId="77777777" w:rsidR="002D1AFA" w:rsidRPr="002D1AFA" w:rsidRDefault="002D1AFA" w:rsidP="002D1AFA">
      <w:pPr>
        <w:spacing w:after="0" w:line="240" w:lineRule="auto"/>
        <w:ind w:leftChars="258" w:left="850" w:hangingChars="128" w:hanging="282"/>
        <w:jc w:val="both"/>
        <w:rPr>
          <w:rFonts w:ascii="Times New Roman" w:eastAsia="Times New Roman" w:hAnsi="Times New Roman"/>
        </w:rPr>
      </w:pPr>
      <w:r w:rsidRPr="002D1AFA">
        <w:rPr>
          <w:rFonts w:ascii="Times New Roman" w:eastAsia="Times New Roman" w:hAnsi="Times New Roman"/>
        </w:rPr>
        <w:t>2.</w:t>
      </w:r>
      <w:r w:rsidRPr="002D1AFA">
        <w:rPr>
          <w:rFonts w:ascii="Times New Roman" w:eastAsia="Times New Roman" w:hAnsi="Times New Roman"/>
        </w:rPr>
        <w:tab/>
        <w:t>Dependent Variables:</w:t>
      </w:r>
    </w:p>
    <w:p w14:paraId="103885F6" w14:textId="77777777" w:rsidR="002D1AFA" w:rsidRPr="002D1AFA" w:rsidRDefault="002D1AFA" w:rsidP="002D1AFA">
      <w:pPr>
        <w:spacing w:after="0" w:line="240" w:lineRule="auto"/>
        <w:ind w:leftChars="258" w:left="850" w:hangingChars="128" w:hanging="282"/>
        <w:jc w:val="both"/>
        <w:rPr>
          <w:rFonts w:ascii="Times New Roman" w:eastAsia="Times New Roman" w:hAnsi="Times New Roman"/>
        </w:rPr>
      </w:pPr>
      <w:r w:rsidRPr="002D1AFA">
        <w:rPr>
          <w:rFonts w:ascii="Times New Roman" w:eastAsia="Times New Roman" w:hAnsi="Times New Roman"/>
        </w:rPr>
        <w:t>•</w:t>
      </w:r>
      <w:r w:rsidRPr="002D1AFA">
        <w:rPr>
          <w:rFonts w:ascii="Times New Roman" w:eastAsia="Times New Roman" w:hAnsi="Times New Roman"/>
        </w:rPr>
        <w:tab/>
        <w:t>Inspection effectiveness (detention rate, inspection coverage)</w:t>
      </w:r>
    </w:p>
    <w:p w14:paraId="6377E4FD" w14:textId="77777777" w:rsidR="002D1AFA" w:rsidRPr="002D1AFA" w:rsidRDefault="002D1AFA" w:rsidP="002D1AFA">
      <w:pPr>
        <w:spacing w:after="0" w:line="240" w:lineRule="auto"/>
        <w:ind w:leftChars="258" w:left="850" w:hangingChars="128" w:hanging="282"/>
        <w:jc w:val="both"/>
        <w:rPr>
          <w:rFonts w:ascii="Times New Roman" w:eastAsia="Times New Roman" w:hAnsi="Times New Roman"/>
        </w:rPr>
      </w:pPr>
      <w:r w:rsidRPr="002D1AFA">
        <w:rPr>
          <w:rFonts w:ascii="Times New Roman" w:eastAsia="Times New Roman" w:hAnsi="Times New Roman"/>
        </w:rPr>
        <w:t>•</w:t>
      </w:r>
      <w:r w:rsidRPr="002D1AFA">
        <w:rPr>
          <w:rFonts w:ascii="Times New Roman" w:eastAsia="Times New Roman" w:hAnsi="Times New Roman"/>
        </w:rPr>
        <w:tab/>
        <w:t>Quality of inspection findings (type and severity of deficiencies)</w:t>
      </w:r>
    </w:p>
    <w:p w14:paraId="0998A7B6" w14:textId="77777777" w:rsidR="002D1AFA" w:rsidRPr="002D1AFA" w:rsidRDefault="002D1AFA" w:rsidP="002D1AFA">
      <w:pPr>
        <w:spacing w:after="0" w:line="240" w:lineRule="auto"/>
        <w:ind w:leftChars="258" w:left="850" w:hangingChars="128" w:hanging="282"/>
        <w:jc w:val="both"/>
        <w:rPr>
          <w:rFonts w:ascii="Times New Roman" w:eastAsia="Times New Roman" w:hAnsi="Times New Roman"/>
        </w:rPr>
      </w:pPr>
      <w:r w:rsidRPr="002D1AFA">
        <w:rPr>
          <w:rFonts w:ascii="Times New Roman" w:eastAsia="Times New Roman" w:hAnsi="Times New Roman"/>
        </w:rPr>
        <w:t>3.</w:t>
      </w:r>
      <w:r w:rsidRPr="002D1AFA">
        <w:rPr>
          <w:rFonts w:ascii="Times New Roman" w:eastAsia="Times New Roman" w:hAnsi="Times New Roman"/>
        </w:rPr>
        <w:tab/>
        <w:t>Moderating Variables:</w:t>
      </w:r>
    </w:p>
    <w:p w14:paraId="4066B6E0" w14:textId="77777777" w:rsidR="002D1AFA" w:rsidRPr="002D1AFA" w:rsidRDefault="002D1AFA" w:rsidP="002D1AFA">
      <w:pPr>
        <w:spacing w:after="0" w:line="240" w:lineRule="auto"/>
        <w:ind w:leftChars="258" w:left="850" w:hangingChars="128" w:hanging="282"/>
        <w:jc w:val="both"/>
        <w:rPr>
          <w:rFonts w:ascii="Times New Roman" w:eastAsia="Times New Roman" w:hAnsi="Times New Roman"/>
        </w:rPr>
      </w:pPr>
      <w:r w:rsidRPr="002D1AFA">
        <w:rPr>
          <w:rFonts w:ascii="Times New Roman" w:eastAsia="Times New Roman" w:hAnsi="Times New Roman"/>
        </w:rPr>
        <w:t>•</w:t>
      </w:r>
      <w:r w:rsidRPr="002D1AFA">
        <w:rPr>
          <w:rFonts w:ascii="Times New Roman" w:eastAsia="Times New Roman" w:hAnsi="Times New Roman"/>
        </w:rPr>
        <w:tab/>
        <w:t>Inter-agency coordination</w:t>
      </w:r>
    </w:p>
    <w:p w14:paraId="6BD7CE32" w14:textId="3F828D56" w:rsidR="00743292" w:rsidRDefault="002D1AFA" w:rsidP="002D1AFA">
      <w:pPr>
        <w:spacing w:after="0" w:line="240" w:lineRule="auto"/>
        <w:ind w:leftChars="258" w:left="850" w:hangingChars="128" w:hanging="282"/>
        <w:jc w:val="both"/>
        <w:rPr>
          <w:rFonts w:ascii="Times New Roman" w:eastAsia="Times New Roman" w:hAnsi="Times New Roman"/>
          <w:b/>
          <w:i/>
        </w:rPr>
      </w:pPr>
      <w:r w:rsidRPr="002D1AFA">
        <w:rPr>
          <w:rFonts w:ascii="Times New Roman" w:eastAsia="Times New Roman" w:hAnsi="Times New Roman"/>
        </w:rPr>
        <w:t>•</w:t>
      </w:r>
      <w:r w:rsidRPr="002D1AFA">
        <w:rPr>
          <w:rFonts w:ascii="Times New Roman" w:eastAsia="Times New Roman" w:hAnsi="Times New Roman"/>
        </w:rPr>
        <w:tab/>
        <w:t>Supporting regulations</w:t>
      </w:r>
      <w:r w:rsidR="00743292">
        <w:rPr>
          <w:rFonts w:ascii="Times New Roman" w:eastAsia="Times New Roman" w:hAnsi="Times New Roman"/>
        </w:rPr>
        <w:t xml:space="preserve"> </w:t>
      </w:r>
      <w:r>
        <w:rPr>
          <w:rFonts w:ascii="Times New Roman" w:eastAsia="Times New Roman" w:hAnsi="Times New Roman"/>
          <w:b/>
          <w:i/>
        </w:rPr>
        <w:t xml:space="preserve"> </w:t>
      </w:r>
    </w:p>
    <w:p w14:paraId="2275CCD9" w14:textId="77777777" w:rsidR="00743292" w:rsidRDefault="00743292" w:rsidP="00743292">
      <w:pPr>
        <w:pStyle w:val="Heading1"/>
        <w:numPr>
          <w:ilvl w:val="0"/>
          <w:numId w:val="0"/>
        </w:numPr>
        <w:spacing w:after="0"/>
      </w:pPr>
    </w:p>
    <w:p w14:paraId="510E3C51" w14:textId="445198C8" w:rsidR="00743292" w:rsidRDefault="00743292" w:rsidP="00743292">
      <w:pPr>
        <w:pStyle w:val="Heading1"/>
        <w:numPr>
          <w:ilvl w:val="0"/>
          <w:numId w:val="0"/>
        </w:numPr>
        <w:spacing w:after="0"/>
      </w:pPr>
      <w:r>
        <w:t xml:space="preserve">RESULTS </w:t>
      </w:r>
    </w:p>
    <w:p w14:paraId="09E3B5E8" w14:textId="580775A8" w:rsidR="00D14574" w:rsidRDefault="002D1AFA" w:rsidP="00D14574">
      <w:pPr>
        <w:pBdr>
          <w:between w:val="nil"/>
        </w:pBdr>
        <w:spacing w:after="0" w:line="240" w:lineRule="auto"/>
        <w:ind w:left="-2" w:firstLineChars="257" w:firstLine="565"/>
        <w:jc w:val="both"/>
        <w:rPr>
          <w:rFonts w:ascii="Times New Roman" w:eastAsia="Times New Roman" w:hAnsi="Times New Roman"/>
          <w:color w:val="000000"/>
        </w:rPr>
      </w:pPr>
      <w:r w:rsidRPr="002D1AFA">
        <w:rPr>
          <w:rFonts w:ascii="Times New Roman" w:eastAsia="Times New Roman" w:hAnsi="Times New Roman"/>
          <w:color w:val="000000"/>
        </w:rPr>
        <w:t xml:space="preserve">Five-year data indicate a significant increase in PSC inspections in Indonesia, averaging 1,542 inspections annually with 8.2% growth per year </w:t>
      </w:r>
      <w:r w:rsidR="00D56278">
        <w:rPr>
          <w:rFonts w:ascii="Times New Roman" w:eastAsia="Times New Roman" w:hAnsi="Times New Roman"/>
          <w:color w:val="000000"/>
        </w:rPr>
        <w:fldChar w:fldCharType="begin" w:fldLock="1"/>
      </w:r>
      <w:r w:rsidR="00232EBB">
        <w:rPr>
          <w:rFonts w:ascii="Times New Roman" w:eastAsia="Times New Roman" w:hAnsi="Times New Roman"/>
          <w:color w:val="000000"/>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Kata","author":[{"dropping-particle":"","family":"DGST","given":"","non-dropping-particle":"","parse-names":false,"suffix":""}],"id":"ITEM-1","issued":{"date-parts":[["2023"]]},"number-of-pages":"1-23","title":"Laporan Kinerja Instansi Pemerintah Direktorat Jenderal Perhubungan Laut","type":"report"},"uris":["http://www.mendeley.com/documents/?uuid=3995ee1b-c6da-4ddc-ab8a-4cd121c54592"]}],"mendeley":{"formattedCitation":"[15]","plainTextFormattedCitation":"[15]","previouslyFormattedCitation":"[14]"},"properties":{"noteIndex":0},"schema":"https://github.com/citation-style-language/schema/raw/master/csl-citation.json"}</w:instrText>
      </w:r>
      <w:r w:rsidR="00D56278">
        <w:rPr>
          <w:rFonts w:ascii="Times New Roman" w:eastAsia="Times New Roman" w:hAnsi="Times New Roman"/>
          <w:color w:val="000000"/>
        </w:rPr>
        <w:fldChar w:fldCharType="separate"/>
      </w:r>
      <w:r w:rsidR="00232EBB" w:rsidRPr="00232EBB">
        <w:rPr>
          <w:rFonts w:ascii="Times New Roman" w:eastAsia="Times New Roman" w:hAnsi="Times New Roman"/>
          <w:noProof/>
          <w:color w:val="000000"/>
        </w:rPr>
        <w:t>[15]</w:t>
      </w:r>
      <w:r w:rsidR="00D56278">
        <w:rPr>
          <w:rFonts w:ascii="Times New Roman" w:eastAsia="Times New Roman" w:hAnsi="Times New Roman"/>
          <w:color w:val="000000"/>
        </w:rPr>
        <w:fldChar w:fldCharType="end"/>
      </w:r>
      <w:r w:rsidRPr="002D1AFA">
        <w:rPr>
          <w:rFonts w:ascii="Times New Roman" w:eastAsia="Times New Roman" w:hAnsi="Times New Roman"/>
          <w:color w:val="000000"/>
        </w:rPr>
        <w:t xml:space="preserve">. Nevertheless, inspection coverage remains at 35–40% of total foreign vessel arrivals, below the Tokyo MOU regional average of 70% </w:t>
      </w:r>
      <w:r w:rsidR="00D56278">
        <w:rPr>
          <w:rFonts w:ascii="Times New Roman" w:eastAsia="Times New Roman" w:hAnsi="Times New Roman"/>
          <w:color w:val="000000"/>
        </w:rPr>
        <w:fldChar w:fldCharType="begin" w:fldLock="1"/>
      </w:r>
      <w:r w:rsidR="00D56278">
        <w:rPr>
          <w:rFonts w:ascii="Times New Roman" w:eastAsia="Times New Roman" w:hAnsi="Times New Roman"/>
          <w:color w:val="000000"/>
        </w:rPr>
        <w:instrText>ADDIN CSL_CITATION {"citationItems":[{"id":"ITEM-1","itemData":{"abstract":"The Tokyo MOU maintains a good trend of development and achievement of PSC activities. In 2011, member Authorities of the Tokyo MOU carried out a total of 28,627 inspections, which is an increase of 11% over the previous year. In addition, the regional inspection rate has been also increased from 66% to 68%. In collaboration with the Paris MOU, the Tokyo MOU successfully conducted the concentrated inspection campaign (CIC) on structural safety and the Load Lines. The Tokyo MOU continues its efforts to improve the internal system and to enhance the external relationship.","author":[{"dropping-particle":"","family":"Tokyo MOU","given":"","non-dropping-particle":"","parse-names":false,"suffix":""}],"id":"ITEM-1","issued":{"date-parts":[["2022"]]},"title":"Annual Report on Port State Control in the Asia-Pacific Region","type":"article-journal"},"uris":["http://www.mendeley.com/documents/?uuid=b1aae27d-ef37-4e21-bae5-d8ad7f504f44"]}],"mendeley":{"formattedCitation":"[6]","plainTextFormattedCitation":"[6]","previouslyFormattedCitation":"[6]"},"properties":{"noteIndex":0},"schema":"https://github.com/citation-style-language/schema/raw/master/csl-citation.json"}</w:instrText>
      </w:r>
      <w:r w:rsidR="00D56278">
        <w:rPr>
          <w:rFonts w:ascii="Times New Roman" w:eastAsia="Times New Roman" w:hAnsi="Times New Roman"/>
          <w:color w:val="000000"/>
        </w:rPr>
        <w:fldChar w:fldCharType="separate"/>
      </w:r>
      <w:r w:rsidR="00D56278" w:rsidRPr="00D56278">
        <w:rPr>
          <w:rFonts w:ascii="Times New Roman" w:eastAsia="Times New Roman" w:hAnsi="Times New Roman"/>
          <w:noProof/>
          <w:color w:val="000000"/>
        </w:rPr>
        <w:t>[6]</w:t>
      </w:r>
      <w:r w:rsidR="00D56278">
        <w:rPr>
          <w:rFonts w:ascii="Times New Roman" w:eastAsia="Times New Roman" w:hAnsi="Times New Roman"/>
          <w:color w:val="000000"/>
        </w:rPr>
        <w:fldChar w:fldCharType="end"/>
      </w:r>
      <w:r w:rsidRPr="002D1AFA">
        <w:rPr>
          <w:rFonts w:ascii="Times New Roman" w:eastAsia="Times New Roman" w:hAnsi="Times New Roman"/>
          <w:color w:val="000000"/>
        </w:rPr>
        <w:t>. These findings align who discuss PSC challenges in resource-constrained developing countries.</w:t>
      </w:r>
      <w:r w:rsidR="00D14574">
        <w:rPr>
          <w:rFonts w:ascii="Times New Roman" w:eastAsia="Times New Roman" w:hAnsi="Times New Roman"/>
          <w:color w:val="000000"/>
        </w:rPr>
        <w:t xml:space="preserve"> </w:t>
      </w:r>
    </w:p>
    <w:p w14:paraId="409A0F09" w14:textId="243C1C1F" w:rsidR="00816CF0" w:rsidRDefault="00D14574" w:rsidP="00D14574">
      <w:pPr>
        <w:pBdr>
          <w:between w:val="nil"/>
        </w:pBdr>
        <w:spacing w:after="0" w:line="240" w:lineRule="auto"/>
        <w:ind w:left="-2" w:firstLineChars="257" w:firstLine="565"/>
        <w:jc w:val="both"/>
        <w:rPr>
          <w:rFonts w:ascii="Times New Roman" w:eastAsia="Times New Roman" w:hAnsi="Times New Roman"/>
          <w:color w:val="000000"/>
        </w:rPr>
      </w:pPr>
      <w:r w:rsidRPr="00D14574">
        <w:rPr>
          <w:rFonts w:ascii="Times New Roman" w:eastAsia="Times New Roman" w:hAnsi="Times New Roman"/>
          <w:color w:val="000000"/>
        </w:rPr>
        <w:t xml:space="preserve">Trends in Detentions and Deficiencies on average, 58 vessels are detained annually (5.2% of inspections). Bulk carriers account for the highest detentions (35%), followed by container ships (28%) and tankers (20%) </w:t>
      </w:r>
      <w:r w:rsidR="00816CF0" w:rsidRPr="00816CF0">
        <w:rPr>
          <w:rFonts w:ascii="Times New Roman" w:eastAsia="Times New Roman" w:hAnsi="Times New Roman"/>
        </w:rPr>
        <w:fldChar w:fldCharType="begin" w:fldLock="1"/>
      </w:r>
      <w:r w:rsidR="00232EBB">
        <w:rPr>
          <w:rFonts w:ascii="Times New Roman" w:eastAsia="Times New Roman" w:hAnsi="Times New Roman"/>
        </w:rPr>
        <w:instrText>ADDIN CSL_CITATION {"citationItems":[{"id":"ITEM-1","itemData":{"author":[{"dropping-particle":"","family":"MSA","given":"","non-dropping-particle":"","parse-names":false,"suffix":""}],"container-title":"European Maritime Safety Agency","id":"ITEM-1","issued":{"date-parts":[["2024"]]},"title":"Maritime Safety Agency Facts and Figure","type":"report"},"uris":["http://www.mendeley.com/documents/?uuid=ac6bb4f0-17b5-415c-bbf2-ecff565dfeef"]}],"mendeley":{"formattedCitation":"[16]","plainTextFormattedCitation":"[16]","previouslyFormattedCitation":"[15]"},"properties":{"noteIndex":0},"schema":"https://github.com/citation-style-language/schema/raw/master/csl-citation.json"}</w:instrText>
      </w:r>
      <w:r w:rsidR="00816CF0" w:rsidRPr="00816CF0">
        <w:rPr>
          <w:rFonts w:ascii="Times New Roman" w:eastAsia="Times New Roman" w:hAnsi="Times New Roman"/>
        </w:rPr>
        <w:fldChar w:fldCharType="separate"/>
      </w:r>
      <w:r w:rsidR="00232EBB" w:rsidRPr="00232EBB">
        <w:rPr>
          <w:rFonts w:ascii="Times New Roman" w:eastAsia="Times New Roman" w:hAnsi="Times New Roman"/>
          <w:noProof/>
        </w:rPr>
        <w:t>[16]</w:t>
      </w:r>
      <w:r w:rsidR="00816CF0" w:rsidRPr="00816CF0">
        <w:rPr>
          <w:rFonts w:ascii="Times New Roman" w:eastAsia="Times New Roman" w:hAnsi="Times New Roman"/>
        </w:rPr>
        <w:fldChar w:fldCharType="end"/>
      </w:r>
      <w:r w:rsidRPr="00816CF0">
        <w:rPr>
          <w:rFonts w:ascii="Times New Roman" w:eastAsia="Times New Roman" w:hAnsi="Times New Roman"/>
        </w:rPr>
        <w:t>.</w:t>
      </w:r>
      <w:r w:rsidRPr="00D14574">
        <w:rPr>
          <w:rFonts w:ascii="Times New Roman" w:eastAsia="Times New Roman" w:hAnsi="Times New Roman"/>
          <w:color w:val="000000"/>
        </w:rPr>
        <w:t xml:space="preserve"> </w:t>
      </w:r>
    </w:p>
    <w:p w14:paraId="32A34889" w14:textId="20A5BC21" w:rsidR="00816CF0" w:rsidRDefault="00816CF0" w:rsidP="00D14574">
      <w:pPr>
        <w:pBdr>
          <w:between w:val="nil"/>
        </w:pBdr>
        <w:spacing w:after="0" w:line="240" w:lineRule="auto"/>
        <w:ind w:left="-2" w:firstLineChars="257" w:firstLine="565"/>
        <w:jc w:val="both"/>
        <w:rPr>
          <w:rFonts w:ascii="Times New Roman" w:eastAsia="Times New Roman" w:hAnsi="Times New Roman"/>
          <w:color w:val="000000"/>
        </w:rPr>
      </w:pPr>
      <w:r>
        <w:rPr>
          <w:noProof/>
        </w:rPr>
        <w:drawing>
          <wp:inline distT="0" distB="0" distL="0" distR="0" wp14:anchorId="528C4DFD" wp14:editId="502DE677">
            <wp:extent cx="2103348" cy="1570438"/>
            <wp:effectExtent l="0" t="0" r="0" b="0"/>
            <wp:docPr id="1"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ut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9012" cy="1582133"/>
                    </a:xfrm>
                    <a:prstGeom prst="rect">
                      <a:avLst/>
                    </a:prstGeom>
                    <a:noFill/>
                    <a:ln>
                      <a:noFill/>
                    </a:ln>
                  </pic:spPr>
                </pic:pic>
              </a:graphicData>
            </a:graphic>
          </wp:inline>
        </w:drawing>
      </w:r>
    </w:p>
    <w:p w14:paraId="45724F76" w14:textId="6426BF78" w:rsidR="00816CF0" w:rsidRDefault="00816CF0" w:rsidP="00816CF0">
      <w:pPr>
        <w:spacing w:after="0" w:line="240" w:lineRule="auto"/>
        <w:ind w:left="0" w:hanging="2"/>
        <w:jc w:val="center"/>
        <w:rPr>
          <w:rFonts w:ascii="Times New Roman" w:eastAsia="Times New Roman" w:hAnsi="Times New Roman"/>
        </w:rPr>
      </w:pPr>
      <w:r>
        <w:rPr>
          <w:rFonts w:ascii="Times New Roman" w:eastAsia="Times New Roman" w:hAnsi="Times New Roman"/>
        </w:rPr>
        <w:t xml:space="preserve">Fig 1. Average Number of Detention Annualy </w:t>
      </w:r>
    </w:p>
    <w:p w14:paraId="656447B8" w14:textId="77777777" w:rsidR="00816CF0" w:rsidRDefault="00816CF0" w:rsidP="00816CF0">
      <w:pPr>
        <w:pBdr>
          <w:between w:val="nil"/>
        </w:pBdr>
        <w:spacing w:after="0" w:line="240" w:lineRule="auto"/>
        <w:ind w:leftChars="0" w:left="0" w:firstLineChars="0" w:firstLine="0"/>
        <w:jc w:val="both"/>
        <w:rPr>
          <w:rFonts w:ascii="Times New Roman" w:eastAsia="Times New Roman" w:hAnsi="Times New Roman"/>
          <w:color w:val="000000"/>
        </w:rPr>
      </w:pPr>
    </w:p>
    <w:p w14:paraId="6280B5D1" w14:textId="4A1E1FF2" w:rsidR="00D14574" w:rsidRDefault="00D14574" w:rsidP="00D14574">
      <w:pPr>
        <w:pBdr>
          <w:between w:val="nil"/>
        </w:pBdr>
        <w:spacing w:after="0" w:line="240" w:lineRule="auto"/>
        <w:ind w:left="-2" w:firstLineChars="257" w:firstLine="565"/>
        <w:jc w:val="both"/>
        <w:rPr>
          <w:rFonts w:ascii="Times New Roman" w:eastAsia="Times New Roman" w:hAnsi="Times New Roman"/>
          <w:color w:val="FF0000"/>
        </w:rPr>
      </w:pPr>
      <w:r w:rsidRPr="00D14574">
        <w:rPr>
          <w:rFonts w:ascii="Times New Roman" w:eastAsia="Times New Roman" w:hAnsi="Times New Roman"/>
          <w:color w:val="000000"/>
        </w:rPr>
        <w:t xml:space="preserve">The main deficiencies are: Fire safety (31%) – mostly related to fire extinguishers and detection systems </w:t>
      </w:r>
      <w:r w:rsidR="00D56278">
        <w:rPr>
          <w:rFonts w:ascii="Times New Roman" w:eastAsia="Times New Roman" w:hAnsi="Times New Roman"/>
          <w:color w:val="000000"/>
        </w:rPr>
        <w:fldChar w:fldCharType="begin" w:fldLock="1"/>
      </w:r>
      <w:r w:rsidR="00D56278">
        <w:rPr>
          <w:rFonts w:ascii="Times New Roman" w:eastAsia="Times New Roman" w:hAnsi="Times New Roman"/>
          <w:color w:val="000000"/>
        </w:rPr>
        <w:instrText>ADDIN CSL_CITATION {"citationItems":[{"id":"ITEM-1","itemData":{"author":[{"dropping-particle":"","family":"IMO","given":"","non-dropping-particle":"","parse-names":false,"suffix":""}],"id":"ITEM-1","issue":"March","issued":{"date-parts":[["2023"]]},"title":"Procedures for Port State Control, 2023. Paper A33/Res.1185. IMO-London","type":"article-journal","volume":"1155"},"uris":["http://www.mendeley.com/documents/?uuid=5dedd150-5050-4cbb-a35b-95684db92ebc"]}],"mendeley":{"formattedCitation":"[2]","plainTextFormattedCitation":"[2]","previouslyFormattedCitation":"[2]"},"properties":{"noteIndex":0},"schema":"https://github.com/citation-style-language/schema/raw/master/csl-citation.json"}</w:instrText>
      </w:r>
      <w:r w:rsidR="00D56278">
        <w:rPr>
          <w:rFonts w:ascii="Times New Roman" w:eastAsia="Times New Roman" w:hAnsi="Times New Roman"/>
          <w:color w:val="000000"/>
        </w:rPr>
        <w:fldChar w:fldCharType="separate"/>
      </w:r>
      <w:r w:rsidR="00D56278" w:rsidRPr="00D56278">
        <w:rPr>
          <w:rFonts w:ascii="Times New Roman" w:eastAsia="Times New Roman" w:hAnsi="Times New Roman"/>
          <w:noProof/>
          <w:color w:val="000000"/>
        </w:rPr>
        <w:t>[2]</w:t>
      </w:r>
      <w:r w:rsidR="00D56278">
        <w:rPr>
          <w:rFonts w:ascii="Times New Roman" w:eastAsia="Times New Roman" w:hAnsi="Times New Roman"/>
          <w:color w:val="000000"/>
        </w:rPr>
        <w:fldChar w:fldCharType="end"/>
      </w:r>
      <w:r w:rsidRPr="00D14574">
        <w:rPr>
          <w:rFonts w:ascii="Times New Roman" w:eastAsia="Times New Roman" w:hAnsi="Times New Roman"/>
          <w:color w:val="000000"/>
        </w:rPr>
        <w:t xml:space="preserve"> Propulsion and auxiliary machinery (25%) – issues with main engine maintenance </w:t>
      </w:r>
      <w:r w:rsidR="00D56278">
        <w:rPr>
          <w:rFonts w:ascii="Times New Roman" w:eastAsia="Times New Roman" w:hAnsi="Times New Roman"/>
          <w:color w:val="000000"/>
        </w:rPr>
        <w:fldChar w:fldCharType="begin" w:fldLock="1"/>
      </w:r>
      <w:r w:rsidR="00232EBB">
        <w:rPr>
          <w:rFonts w:ascii="Times New Roman" w:eastAsia="Times New Roman" w:hAnsi="Times New Roman"/>
          <w:color w:val="000000"/>
        </w:rPr>
        <w:instrText>ADDIN CSL_CITATION {"citationItems":[{"id":"ITEM-1","itemData":{"author":[{"dropping-particle":"","family":"Yamamoto","given":"H.","non-dropping-particle":"","parse-names":false,"suffix":""},{"dropping-particle":"","family":"Tanaka","given":"R.","non-dropping-particle":"","parse-names":false,"suffix":""}],"container-title":"Marine Engineering","id":"ITEM-1","issue":"3","issued":{"date-parts":[["2024"]]},"page":"201-215","title":"Machinery Deficiencies in Bulk Carriers","type":"article-journal","volume":"39"},"uris":["http://www.mendeley.com/documents/?uuid=f7a8ebed-5957-4891-bfb3-c63a7275ca5a"]}],"mendeley":{"formattedCitation":"[17]","plainTextFormattedCitation":"[17]","previouslyFormattedCitation":"[16]"},"properties":{"noteIndex":0},"schema":"https://github.com/citation-style-language/schema/raw/master/csl-citation.json"}</w:instrText>
      </w:r>
      <w:r w:rsidR="00D56278">
        <w:rPr>
          <w:rFonts w:ascii="Times New Roman" w:eastAsia="Times New Roman" w:hAnsi="Times New Roman"/>
          <w:color w:val="000000"/>
        </w:rPr>
        <w:fldChar w:fldCharType="separate"/>
      </w:r>
      <w:r w:rsidR="00232EBB" w:rsidRPr="00232EBB">
        <w:rPr>
          <w:rFonts w:ascii="Times New Roman" w:eastAsia="Times New Roman" w:hAnsi="Times New Roman"/>
          <w:noProof/>
          <w:color w:val="000000"/>
        </w:rPr>
        <w:t>[17]</w:t>
      </w:r>
      <w:r w:rsidR="00D56278">
        <w:rPr>
          <w:rFonts w:ascii="Times New Roman" w:eastAsia="Times New Roman" w:hAnsi="Times New Roman"/>
          <w:color w:val="000000"/>
        </w:rPr>
        <w:fldChar w:fldCharType="end"/>
      </w:r>
      <w:r w:rsidRPr="00D14574">
        <w:rPr>
          <w:rFonts w:ascii="Times New Roman" w:eastAsia="Times New Roman" w:hAnsi="Times New Roman"/>
          <w:color w:val="000000"/>
        </w:rPr>
        <w:t xml:space="preserve"> Navigational safety (18%) – problems with navigation equipment </w:t>
      </w:r>
      <w:r w:rsidR="00F15AA9" w:rsidRPr="00F15AA9">
        <w:rPr>
          <w:rFonts w:ascii="Times New Roman" w:eastAsia="Times New Roman" w:hAnsi="Times New Roman"/>
        </w:rPr>
        <w:fldChar w:fldCharType="begin" w:fldLock="1"/>
      </w:r>
      <w:r w:rsidR="00232EBB">
        <w:rPr>
          <w:rFonts w:ascii="Times New Roman" w:eastAsia="Times New Roman" w:hAnsi="Times New Roman"/>
        </w:rPr>
        <w:instrText>ADDIN CSL_CITATION {"citationItems":[{"id":"ITEM-1","itemData":{"DOI":"10.3390/jmse10020154","ISSN":"20771312","abstract":"Along with the development of ship navigational equipment, ship operators have to process a larger amount of information than before and be exposed to more alarm sounds. These ships’ bridge environment increases burdens to ship operators. One of the methods proposed to solve this problem is the audible voice alarm method. However, there is a lack of studies that objectively prove the efficacy of the method. Therefore, in this study, a comparative experiment was performed to confirm the effect by applying the method to an electronic chart display and information system (ECDIS), a representative navigation instrument. We analyzed collected data according to a data-driven process and confirmed the difference between a traditional alarm method and the audible voice alarm method by distinguishing groups through clustering.","author":[{"dropping-particle":"","family":"Hwang","given":"Taewoong","non-dropping-particle":"","parse-names":false,"suffix":""},{"dropping-particle":"","family":"Youn","given":"Ik Hyun","non-dropping-particle":"","parse-names":false,"suffix":""},{"dropping-particle":"","family":"Lee","given":"Soyeong","non-dropping-particle":"","parse-names":false,"suffix":""},{"dropping-particle":"","family":"Kim","given":"Inchul","non-dropping-particle":"","parse-names":false,"suffix":""}],"container-title":"Journal of Marine Science and Engineering","id":"ITEM-1","issue":"2","issued":{"date-parts":[["2022"]]},"title":"Efficiency Comparison between Audible and Buzzle Alarms of Electronic Chart Display and Information System Alarm under the Simulated Environment","type":"article-journal","volume":"10"},"uris":["http://www.mendeley.com/documents/?uuid=3b29e794-0cf0-4992-b213-0f65872146a0"]}],"mendeley":{"formattedCitation":"[18]","plainTextFormattedCitation":"[18]","previouslyFormattedCitation":"[17]"},"properties":{"noteIndex":0},"schema":"https://github.com/citation-style-language/schema/raw/master/csl-citation.json"}</w:instrText>
      </w:r>
      <w:r w:rsidR="00F15AA9" w:rsidRPr="00F15AA9">
        <w:rPr>
          <w:rFonts w:ascii="Times New Roman" w:eastAsia="Times New Roman" w:hAnsi="Times New Roman"/>
        </w:rPr>
        <w:fldChar w:fldCharType="separate"/>
      </w:r>
      <w:r w:rsidR="00232EBB" w:rsidRPr="00232EBB">
        <w:rPr>
          <w:rFonts w:ascii="Times New Roman" w:eastAsia="Times New Roman" w:hAnsi="Times New Roman"/>
          <w:noProof/>
        </w:rPr>
        <w:t>[18]</w:t>
      </w:r>
      <w:r w:rsidR="00F15AA9" w:rsidRPr="00F15AA9">
        <w:rPr>
          <w:rFonts w:ascii="Times New Roman" w:eastAsia="Times New Roman" w:hAnsi="Times New Roman"/>
        </w:rPr>
        <w:fldChar w:fldCharType="end"/>
      </w:r>
      <w:r w:rsidR="00F15AA9">
        <w:rPr>
          <w:rFonts w:ascii="Times New Roman" w:eastAsia="Times New Roman" w:hAnsi="Times New Roman"/>
        </w:rPr>
        <w:t>.</w:t>
      </w:r>
    </w:p>
    <w:p w14:paraId="12A36EA9" w14:textId="77777777" w:rsidR="00816CF0" w:rsidRDefault="00816CF0" w:rsidP="00D14574">
      <w:pPr>
        <w:pBdr>
          <w:between w:val="nil"/>
        </w:pBdr>
        <w:spacing w:after="0" w:line="240" w:lineRule="auto"/>
        <w:ind w:left="-2" w:firstLineChars="257" w:firstLine="565"/>
        <w:jc w:val="both"/>
        <w:rPr>
          <w:rFonts w:ascii="Times New Roman" w:eastAsia="Times New Roman" w:hAnsi="Times New Roman"/>
          <w:color w:val="FF0000"/>
        </w:rPr>
      </w:pPr>
    </w:p>
    <w:p w14:paraId="478EA9CC" w14:textId="3C6A0034" w:rsidR="00816CF0" w:rsidRDefault="00816CF0" w:rsidP="00D14574">
      <w:pPr>
        <w:pBdr>
          <w:between w:val="nil"/>
        </w:pBdr>
        <w:spacing w:after="0" w:line="240" w:lineRule="auto"/>
        <w:ind w:left="-2" w:firstLineChars="257" w:firstLine="565"/>
        <w:jc w:val="both"/>
        <w:rPr>
          <w:rFonts w:ascii="Times New Roman" w:eastAsia="Times New Roman" w:hAnsi="Times New Roman"/>
          <w:color w:val="000000"/>
        </w:rPr>
      </w:pPr>
      <w:r>
        <w:rPr>
          <w:noProof/>
        </w:rPr>
        <w:drawing>
          <wp:inline distT="0" distB="0" distL="0" distR="0" wp14:anchorId="2A08B678" wp14:editId="3D0A5364">
            <wp:extent cx="1973952" cy="1309729"/>
            <wp:effectExtent l="0" t="0" r="7620" b="5080"/>
            <wp:docPr id="2" name="Picture 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put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4424" cy="1316677"/>
                    </a:xfrm>
                    <a:prstGeom prst="rect">
                      <a:avLst/>
                    </a:prstGeom>
                    <a:noFill/>
                    <a:ln>
                      <a:noFill/>
                    </a:ln>
                  </pic:spPr>
                </pic:pic>
              </a:graphicData>
            </a:graphic>
          </wp:inline>
        </w:drawing>
      </w:r>
    </w:p>
    <w:p w14:paraId="4CF74CC1" w14:textId="3FA877D7" w:rsidR="00816CF0" w:rsidRDefault="00816CF0" w:rsidP="00816CF0">
      <w:pPr>
        <w:spacing w:after="0" w:line="240" w:lineRule="auto"/>
        <w:ind w:left="0" w:hanging="2"/>
        <w:jc w:val="center"/>
        <w:rPr>
          <w:rFonts w:ascii="Times New Roman" w:eastAsia="Times New Roman" w:hAnsi="Times New Roman"/>
        </w:rPr>
      </w:pPr>
      <w:r>
        <w:rPr>
          <w:rFonts w:ascii="Times New Roman" w:eastAsia="Times New Roman" w:hAnsi="Times New Roman"/>
        </w:rPr>
        <w:t xml:space="preserve">Fig 2. Trend of Deficiencies </w:t>
      </w:r>
    </w:p>
    <w:p w14:paraId="528B8197" w14:textId="77777777" w:rsidR="00816CF0" w:rsidRPr="00D14574" w:rsidRDefault="00816CF0" w:rsidP="00D14574">
      <w:pPr>
        <w:pBdr>
          <w:between w:val="nil"/>
        </w:pBdr>
        <w:spacing w:after="0" w:line="240" w:lineRule="auto"/>
        <w:ind w:left="-2" w:firstLineChars="257" w:firstLine="565"/>
        <w:jc w:val="both"/>
        <w:rPr>
          <w:rFonts w:ascii="Times New Roman" w:eastAsia="Times New Roman" w:hAnsi="Times New Roman"/>
          <w:color w:val="000000"/>
        </w:rPr>
      </w:pPr>
    </w:p>
    <w:p w14:paraId="7ECBFE38" w14:textId="6B8D9BE4" w:rsidR="00D14574" w:rsidRPr="00D14574" w:rsidRDefault="00D14574" w:rsidP="00D14574">
      <w:pPr>
        <w:pBdr>
          <w:between w:val="nil"/>
        </w:pBdr>
        <w:spacing w:after="0" w:line="240" w:lineRule="auto"/>
        <w:ind w:left="-2" w:firstLineChars="257" w:firstLine="565"/>
        <w:jc w:val="both"/>
        <w:rPr>
          <w:rFonts w:ascii="Times New Roman" w:eastAsia="Times New Roman" w:hAnsi="Times New Roman"/>
          <w:color w:val="000000"/>
        </w:rPr>
      </w:pPr>
      <w:r w:rsidRPr="00D14574">
        <w:rPr>
          <w:rFonts w:ascii="Times New Roman" w:eastAsia="Times New Roman" w:hAnsi="Times New Roman"/>
          <w:color w:val="000000"/>
        </w:rPr>
        <w:t xml:space="preserve">Flag State Analysis Panama-flagged vessels (flag of convenience) account for 28% of detentions, followed by Liberia (15%) and the Marshall Islands (12%) </w:t>
      </w:r>
      <w:r w:rsidR="00D56278">
        <w:rPr>
          <w:rFonts w:ascii="Times New Roman" w:eastAsia="Times New Roman" w:hAnsi="Times New Roman"/>
          <w:color w:val="000000"/>
        </w:rPr>
        <w:fldChar w:fldCharType="begin" w:fldLock="1"/>
      </w:r>
      <w:r w:rsidR="00D56278">
        <w:rPr>
          <w:rFonts w:ascii="Times New Roman" w:eastAsia="Times New Roman" w:hAnsi="Times New Roman"/>
          <w:color w:val="000000"/>
        </w:rPr>
        <w:instrText>ADDIN CSL_CITATION {"citationItems":[{"id":"ITEM-1","itemData":{"DOI":"10.18356/9789213584569c006","ISBN":"9789210028868","abstract":"The Review of Maritime Transport has been published annually since 1968. The flagship report provides an analysis of structural and cyclical changes affecting seaborne trade, ports and shipping, as well as an extensive collection of statistics (http://stats.unctad.org/Maritime). Around 80% of the volume of international trade in goods is carried by sea, and the percentage is even higher for most developing countries.","author":[{"dropping-particle":"","family":"UNCTAD","given":"","non-dropping-particle":"","parse-names":false,"suffix":""}],"id":"ITEM-1","issued":{"date-parts":[["2022"]]},"number-of-pages":"1-26","title":"International Maritime Trade","type":"book"},"uris":["http://www.mendeley.com/documents/?uuid=f5ff9776-6fce-45fa-ae6a-f3565ded917d"]}],"mendeley":{"formattedCitation":"[1]","plainTextFormattedCitation":"[1]","previouslyFormattedCitation":"[1]"},"properties":{"noteIndex":0},"schema":"https://github.com/citation-style-language/schema/raw/master/csl-citation.json"}</w:instrText>
      </w:r>
      <w:r w:rsidR="00D56278">
        <w:rPr>
          <w:rFonts w:ascii="Times New Roman" w:eastAsia="Times New Roman" w:hAnsi="Times New Roman"/>
          <w:color w:val="000000"/>
        </w:rPr>
        <w:fldChar w:fldCharType="separate"/>
      </w:r>
      <w:r w:rsidR="00D56278" w:rsidRPr="00D56278">
        <w:rPr>
          <w:rFonts w:ascii="Times New Roman" w:eastAsia="Times New Roman" w:hAnsi="Times New Roman"/>
          <w:noProof/>
          <w:color w:val="000000"/>
        </w:rPr>
        <w:t>[1]</w:t>
      </w:r>
      <w:r w:rsidR="00D56278">
        <w:rPr>
          <w:rFonts w:ascii="Times New Roman" w:eastAsia="Times New Roman" w:hAnsi="Times New Roman"/>
          <w:color w:val="000000"/>
        </w:rPr>
        <w:fldChar w:fldCharType="end"/>
      </w:r>
      <w:r w:rsidRPr="00D14574">
        <w:rPr>
          <w:rFonts w:ascii="Times New Roman" w:eastAsia="Times New Roman" w:hAnsi="Times New Roman"/>
          <w:color w:val="000000"/>
        </w:rPr>
        <w:t>. T</w:t>
      </w:r>
      <w:r w:rsidRPr="00D14574">
        <w:rPr>
          <w:rFonts w:ascii="Times New Roman" w:eastAsia="Times New Roman" w:hAnsi="Times New Roman"/>
          <w:color w:val="000000"/>
        </w:rPr>
        <w:lastRenderedPageBreak/>
        <w:t>hese findings support Anderson et al. (2024), who highlight a strong correlation between flag of convenience and non-compliance with maritime regulations</w:t>
      </w:r>
      <w:r w:rsidR="00D56278">
        <w:rPr>
          <w:rFonts w:ascii="Times New Roman" w:eastAsia="Times New Roman" w:hAnsi="Times New Roman"/>
          <w:color w:val="000000"/>
        </w:rPr>
        <w:t xml:space="preserve"> </w:t>
      </w:r>
      <w:r w:rsidR="00D56278">
        <w:rPr>
          <w:rFonts w:ascii="Times New Roman" w:eastAsia="Times New Roman" w:hAnsi="Times New Roman"/>
          <w:color w:val="000000"/>
        </w:rPr>
        <w:fldChar w:fldCharType="begin" w:fldLock="1"/>
      </w:r>
      <w:r w:rsidR="00232EBB">
        <w:rPr>
          <w:rFonts w:ascii="Times New Roman" w:eastAsia="Times New Roman" w:hAnsi="Times New Roman"/>
          <w:color w:val="000000"/>
        </w:rPr>
        <w:instrText>ADDIN CSL_CITATION {"citationItems":[{"id":"ITEM-1","itemData":{"author":[{"dropping-particle":"","family":"Anderson","given":"P.","non-dropping-particle":"","parse-names":false,"suffix":""}],"container-title":"Ocean Policy","id":"ITEM-1","issued":{"date-parts":[["2024"]]},"page":"15(2), 45-62.","title":"Flag State Performance in Global Maritime Governance. Ocean Policy","type":"article-journal"},"uris":["http://www.mendeley.com/documents/?uuid=79dd430f-3404-42ae-a004-486303a820c0"]}],"mendeley":{"formattedCitation":"[19]","plainTextFormattedCitation":"[19]","previouslyFormattedCitation":"[18]"},"properties":{"noteIndex":0},"schema":"https://github.com/citation-style-language/schema/raw/master/csl-citation.json"}</w:instrText>
      </w:r>
      <w:r w:rsidR="00D56278">
        <w:rPr>
          <w:rFonts w:ascii="Times New Roman" w:eastAsia="Times New Roman" w:hAnsi="Times New Roman"/>
          <w:color w:val="000000"/>
        </w:rPr>
        <w:fldChar w:fldCharType="separate"/>
      </w:r>
      <w:r w:rsidR="00232EBB" w:rsidRPr="00232EBB">
        <w:rPr>
          <w:rFonts w:ascii="Times New Roman" w:eastAsia="Times New Roman" w:hAnsi="Times New Roman"/>
          <w:noProof/>
          <w:color w:val="000000"/>
        </w:rPr>
        <w:t>[19]</w:t>
      </w:r>
      <w:r w:rsidR="00D56278">
        <w:rPr>
          <w:rFonts w:ascii="Times New Roman" w:eastAsia="Times New Roman" w:hAnsi="Times New Roman"/>
          <w:color w:val="000000"/>
        </w:rPr>
        <w:fldChar w:fldCharType="end"/>
      </w:r>
      <w:r w:rsidRPr="00D14574">
        <w:rPr>
          <w:rFonts w:ascii="Times New Roman" w:eastAsia="Times New Roman" w:hAnsi="Times New Roman"/>
          <w:color w:val="000000"/>
        </w:rPr>
        <w:t>.</w:t>
      </w:r>
    </w:p>
    <w:p w14:paraId="72E4AEBD" w14:textId="053C8C49" w:rsidR="00D14574" w:rsidRPr="00D14574" w:rsidRDefault="00D14574" w:rsidP="00D14574">
      <w:pPr>
        <w:pBdr>
          <w:between w:val="nil"/>
        </w:pBdr>
        <w:spacing w:after="0" w:line="240" w:lineRule="auto"/>
        <w:ind w:left="-2" w:firstLineChars="257" w:firstLine="565"/>
        <w:jc w:val="both"/>
        <w:rPr>
          <w:rFonts w:ascii="Times New Roman" w:eastAsia="Times New Roman" w:hAnsi="Times New Roman"/>
          <w:color w:val="000000"/>
        </w:rPr>
      </w:pPr>
      <w:r w:rsidRPr="00D14574">
        <w:rPr>
          <w:rFonts w:ascii="Times New Roman" w:eastAsia="Times New Roman" w:hAnsi="Times New Roman"/>
          <w:color w:val="000000"/>
        </w:rPr>
        <w:t xml:space="preserve">Risk-Based Inspection Implementation Policy document analysis reveals only 40% of inspections fully applied a risk-based approach, highlighting a gap compared to international best practices </w:t>
      </w:r>
      <w:r w:rsidR="00D56278">
        <w:rPr>
          <w:rFonts w:ascii="Times New Roman" w:eastAsia="Times New Roman" w:hAnsi="Times New Roman"/>
          <w:color w:val="000000"/>
        </w:rPr>
        <w:fldChar w:fldCharType="begin" w:fldLock="1"/>
      </w:r>
      <w:r w:rsidR="00232EBB">
        <w:rPr>
          <w:rFonts w:ascii="Times New Roman" w:eastAsia="Times New Roman" w:hAnsi="Times New Roman"/>
          <w:color w:val="000000"/>
        </w:rPr>
        <w:instrText>ADDIN CSL_CITATION {"citationItems":[{"id":"ITEM-1","itemData":{"author":[{"dropping-particle":"","family":"Tokyo MOU","given":"","non-dropping-particle":"","parse-names":false,"suffix":""}],"id":"ITEM-1","issued":{"date-parts":[["2024"]]},"number-of-pages":"21-24","title":"Tokyo MOU Port State Control Committee held the 35th Meeting in Incheon, Republic of Korea","type":"report"},"uris":["http://www.mendeley.com/documents/?uuid=0eb7ecd1-6c5b-47f6-83b4-863b6bac6c34"]}],"mendeley":{"formattedCitation":"[20]","plainTextFormattedCitation":"[20]","previouslyFormattedCitation":"[19]"},"properties":{"noteIndex":0},"schema":"https://github.com/citation-style-language/schema/raw/master/csl-citation.json"}</w:instrText>
      </w:r>
      <w:r w:rsidR="00D56278">
        <w:rPr>
          <w:rFonts w:ascii="Times New Roman" w:eastAsia="Times New Roman" w:hAnsi="Times New Roman"/>
          <w:color w:val="000000"/>
        </w:rPr>
        <w:fldChar w:fldCharType="separate"/>
      </w:r>
      <w:r w:rsidR="00232EBB" w:rsidRPr="00232EBB">
        <w:rPr>
          <w:rFonts w:ascii="Times New Roman" w:eastAsia="Times New Roman" w:hAnsi="Times New Roman"/>
          <w:noProof/>
          <w:color w:val="000000"/>
        </w:rPr>
        <w:t>[20]</w:t>
      </w:r>
      <w:r w:rsidR="00D56278">
        <w:rPr>
          <w:rFonts w:ascii="Times New Roman" w:eastAsia="Times New Roman" w:hAnsi="Times New Roman"/>
          <w:color w:val="000000"/>
        </w:rPr>
        <w:fldChar w:fldCharType="end"/>
      </w:r>
      <w:r w:rsidR="00D56278">
        <w:rPr>
          <w:rFonts w:ascii="Times New Roman" w:eastAsia="Times New Roman" w:hAnsi="Times New Roman"/>
          <w:color w:val="000000"/>
        </w:rPr>
        <w:t>.</w:t>
      </w:r>
    </w:p>
    <w:p w14:paraId="4A10875D" w14:textId="77777777" w:rsidR="00D14574" w:rsidRPr="00D14574" w:rsidRDefault="00D14574" w:rsidP="00D14574">
      <w:pPr>
        <w:pBdr>
          <w:between w:val="nil"/>
        </w:pBdr>
        <w:spacing w:after="0" w:line="240" w:lineRule="auto"/>
        <w:ind w:left="-2" w:firstLineChars="257" w:firstLine="565"/>
        <w:jc w:val="both"/>
        <w:rPr>
          <w:rFonts w:ascii="Times New Roman" w:eastAsia="Times New Roman" w:hAnsi="Times New Roman"/>
          <w:color w:val="000000"/>
        </w:rPr>
      </w:pPr>
      <w:r w:rsidRPr="00D14574">
        <w:rPr>
          <w:rFonts w:ascii="Times New Roman" w:eastAsia="Times New Roman" w:hAnsi="Times New Roman"/>
          <w:color w:val="000000"/>
        </w:rPr>
        <w:t>Inspector Capacity and Performance</w:t>
      </w:r>
    </w:p>
    <w:p w14:paraId="71305B43" w14:textId="762E627B" w:rsidR="002D1AFA" w:rsidRDefault="00D14574" w:rsidP="00D14574">
      <w:pPr>
        <w:pBdr>
          <w:between w:val="nil"/>
        </w:pBdr>
        <w:spacing w:after="0" w:line="240" w:lineRule="auto"/>
        <w:ind w:left="-2" w:firstLineChars="257" w:firstLine="565"/>
        <w:jc w:val="both"/>
        <w:rPr>
          <w:rFonts w:ascii="Times New Roman" w:eastAsia="Times New Roman" w:hAnsi="Times New Roman"/>
          <w:color w:val="000000"/>
        </w:rPr>
      </w:pPr>
      <w:r w:rsidRPr="00D14574">
        <w:rPr>
          <w:rFonts w:ascii="Times New Roman" w:eastAsia="Times New Roman" w:hAnsi="Times New Roman"/>
          <w:color w:val="000000"/>
        </w:rPr>
        <w:t xml:space="preserve">Indonesia's inspector-to-ship ratio of 1:150 exceeds the Tokyo MOU standard of 1:100 </w:t>
      </w:r>
      <w:r w:rsidR="00D56278">
        <w:rPr>
          <w:rFonts w:ascii="Times New Roman" w:eastAsia="Times New Roman" w:hAnsi="Times New Roman"/>
          <w:color w:val="000000"/>
        </w:rPr>
        <w:fldChar w:fldCharType="begin" w:fldLock="1"/>
      </w:r>
      <w:r w:rsidR="00232EBB">
        <w:rPr>
          <w:rFonts w:ascii="Times New Roman" w:eastAsia="Times New Roman" w:hAnsi="Times New Roman"/>
          <w:color w:val="000000"/>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Kata","author":[{"dropping-particle":"","family":"DGST","given":"","non-dropping-particle":"","parse-names":false,"suffix":""}],"id":"ITEM-1","issued":{"date-parts":[["2023"]]},"number-of-pages":"1-23","title":"Laporan Kinerja Instansi Pemerintah Direktorat Jenderal Perhubungan Laut","type":"report"},"uris":["http://www.mendeley.com/documents/?uuid=3995ee1b-c6da-4ddc-ab8a-4cd121c54592"]}],"mendeley":{"formattedCitation":"[15]","plainTextFormattedCitation":"[15]","previouslyFormattedCitation":"[14]"},"properties":{"noteIndex":0},"schema":"https://github.com/citation-style-language/schema/raw/master/csl-citation.json"}</w:instrText>
      </w:r>
      <w:r w:rsidR="00D56278">
        <w:rPr>
          <w:rFonts w:ascii="Times New Roman" w:eastAsia="Times New Roman" w:hAnsi="Times New Roman"/>
          <w:color w:val="000000"/>
        </w:rPr>
        <w:fldChar w:fldCharType="separate"/>
      </w:r>
      <w:r w:rsidR="00232EBB" w:rsidRPr="00232EBB">
        <w:rPr>
          <w:rFonts w:ascii="Times New Roman" w:eastAsia="Times New Roman" w:hAnsi="Times New Roman"/>
          <w:noProof/>
          <w:color w:val="000000"/>
        </w:rPr>
        <w:t>[15]</w:t>
      </w:r>
      <w:r w:rsidR="00D56278">
        <w:rPr>
          <w:rFonts w:ascii="Times New Roman" w:eastAsia="Times New Roman" w:hAnsi="Times New Roman"/>
          <w:color w:val="000000"/>
        </w:rPr>
        <w:fldChar w:fldCharType="end"/>
      </w:r>
      <w:r w:rsidRPr="00D14574">
        <w:rPr>
          <w:rFonts w:ascii="Times New Roman" w:eastAsia="Times New Roman" w:hAnsi="Times New Roman"/>
          <w:color w:val="000000"/>
        </w:rPr>
        <w:t xml:space="preserve">. The </w:t>
      </w:r>
      <w:r w:rsidRPr="00F15AA9">
        <w:rPr>
          <w:rFonts w:ascii="Times New Roman" w:eastAsia="Times New Roman" w:hAnsi="Times New Roman"/>
        </w:rPr>
        <w:t xml:space="preserve">Maritime Human Resources Development Center (2024) </w:t>
      </w:r>
      <w:r w:rsidRPr="00D14574">
        <w:rPr>
          <w:rFonts w:ascii="Times New Roman" w:eastAsia="Times New Roman" w:hAnsi="Times New Roman"/>
          <w:color w:val="000000"/>
        </w:rPr>
        <w:t>recommends increasing inspector staffing by at least 30% to meet optimal standards</w:t>
      </w:r>
      <w:r w:rsidR="00F15AA9">
        <w:rPr>
          <w:rFonts w:ascii="Times New Roman" w:eastAsia="Times New Roman" w:hAnsi="Times New Roman"/>
          <w:color w:val="000000"/>
        </w:rPr>
        <w:t xml:space="preserve"> </w:t>
      </w:r>
      <w:r w:rsidR="00F15AA9">
        <w:rPr>
          <w:rFonts w:ascii="Times New Roman" w:eastAsia="Times New Roman" w:hAnsi="Times New Roman"/>
          <w:color w:val="000000"/>
        </w:rPr>
        <w:fldChar w:fldCharType="begin" w:fldLock="1"/>
      </w:r>
      <w:r w:rsidR="00232EBB">
        <w:rPr>
          <w:rFonts w:ascii="Times New Roman" w:eastAsia="Times New Roman" w:hAnsi="Times New Roman"/>
          <w:color w:val="000000"/>
        </w:rPr>
        <w:instrText>ADDIN CSL_CITATION {"citationItems":[{"id":"ITEM-1","itemData":{"author":[{"dropping-particle":"","family":"Maritime Human Resources Development Center","given":"","non-dropping-particle":"","parse-names":false,"suffix":""}],"id":"ITEM-1","issued":{"date-parts":[["2024"]]},"title":"Maritime Human Resources Development Center","type":"article"},"uris":["http://www.mendeley.com/documents/?uuid=6b6a3bc5-aab0-4282-a351-a8fc58113be3"]}],"mendeley":{"formattedCitation":"[21]","plainTextFormattedCitation":"[21]","previouslyFormattedCitation":"[20]"},"properties":{"noteIndex":0},"schema":"https://github.com/citation-style-language/schema/raw/master/csl-citation.json"}</w:instrText>
      </w:r>
      <w:r w:rsidR="00F15AA9">
        <w:rPr>
          <w:rFonts w:ascii="Times New Roman" w:eastAsia="Times New Roman" w:hAnsi="Times New Roman"/>
          <w:color w:val="000000"/>
        </w:rPr>
        <w:fldChar w:fldCharType="separate"/>
      </w:r>
      <w:r w:rsidR="00232EBB" w:rsidRPr="00232EBB">
        <w:rPr>
          <w:rFonts w:ascii="Times New Roman" w:eastAsia="Times New Roman" w:hAnsi="Times New Roman"/>
          <w:noProof/>
          <w:color w:val="000000"/>
        </w:rPr>
        <w:t>[21]</w:t>
      </w:r>
      <w:r w:rsidR="00F15AA9">
        <w:rPr>
          <w:rFonts w:ascii="Times New Roman" w:eastAsia="Times New Roman" w:hAnsi="Times New Roman"/>
          <w:color w:val="000000"/>
        </w:rPr>
        <w:fldChar w:fldCharType="end"/>
      </w:r>
      <w:r w:rsidRPr="00D14574">
        <w:rPr>
          <w:rFonts w:ascii="Times New Roman" w:eastAsia="Times New Roman" w:hAnsi="Times New Roman"/>
          <w:color w:val="000000"/>
        </w:rPr>
        <w:t>.</w:t>
      </w:r>
    </w:p>
    <w:p w14:paraId="52944FC4" w14:textId="77777777" w:rsidR="00D14574" w:rsidRDefault="00D14574" w:rsidP="00D14574">
      <w:pPr>
        <w:pBdr>
          <w:between w:val="nil"/>
        </w:pBdr>
        <w:spacing w:after="0" w:line="240" w:lineRule="auto"/>
        <w:ind w:left="-2" w:firstLineChars="257" w:firstLine="565"/>
        <w:jc w:val="both"/>
        <w:rPr>
          <w:rFonts w:ascii="Times New Roman" w:eastAsia="Times New Roman" w:hAnsi="Times New Roman"/>
          <w:color w:val="000000"/>
        </w:rPr>
      </w:pPr>
    </w:p>
    <w:p w14:paraId="38D629CD" w14:textId="2B1C0A28" w:rsidR="00D14574" w:rsidRDefault="00D14574" w:rsidP="00D14574">
      <w:pPr>
        <w:pStyle w:val="Heading1"/>
        <w:numPr>
          <w:ilvl w:val="0"/>
          <w:numId w:val="0"/>
        </w:numPr>
        <w:spacing w:after="0"/>
      </w:pPr>
      <w:r>
        <w:t>CONCLUSION</w:t>
      </w:r>
    </w:p>
    <w:p w14:paraId="3C4B8F4A" w14:textId="77777777" w:rsidR="00D14574" w:rsidRPr="00D14574" w:rsidRDefault="00D14574" w:rsidP="00D14574">
      <w:pPr>
        <w:pBdr>
          <w:between w:val="nil"/>
        </w:pBdr>
        <w:spacing w:after="0" w:line="240" w:lineRule="auto"/>
        <w:ind w:left="-2" w:firstLineChars="257" w:firstLine="565"/>
        <w:jc w:val="both"/>
        <w:rPr>
          <w:rFonts w:ascii="Times New Roman" w:eastAsia="Times New Roman" w:hAnsi="Times New Roman"/>
          <w:color w:val="000000"/>
        </w:rPr>
      </w:pPr>
      <w:r w:rsidRPr="002D1AFA">
        <w:rPr>
          <w:rFonts w:ascii="Times New Roman" w:eastAsia="Times New Roman" w:hAnsi="Times New Roman"/>
          <w:color w:val="000000"/>
        </w:rPr>
        <w:t>Five-year data indicate a significant increase in PSC inspections</w:t>
      </w:r>
      <w:r>
        <w:rPr>
          <w:rFonts w:ascii="Times New Roman" w:eastAsia="Times New Roman" w:hAnsi="Times New Roman"/>
          <w:color w:val="000000"/>
        </w:rPr>
        <w:t xml:space="preserve"> </w:t>
      </w:r>
      <w:r w:rsidRPr="00D14574">
        <w:rPr>
          <w:rFonts w:ascii="Times New Roman" w:eastAsia="Times New Roman" w:hAnsi="Times New Roman"/>
          <w:color w:val="000000"/>
        </w:rPr>
        <w:t>This comprehensive analysis of Indonesia's PSC implementation under the Tokyo MOU (2018–2022) reveals key findings. As a strategically positioned archipelagic state, Indonesia has demonstrated commitment to port state responsibilities. However, significant challenges persist in achieving effective implementation..</w:t>
      </w:r>
    </w:p>
    <w:p w14:paraId="39C4D2F0" w14:textId="77777777" w:rsidR="00D14574" w:rsidRPr="00D14574" w:rsidRDefault="00D14574" w:rsidP="00D14574">
      <w:pPr>
        <w:pBdr>
          <w:between w:val="nil"/>
        </w:pBdr>
        <w:spacing w:after="0" w:line="240" w:lineRule="auto"/>
        <w:ind w:left="-2" w:firstLineChars="257" w:firstLine="565"/>
        <w:jc w:val="both"/>
        <w:rPr>
          <w:rFonts w:ascii="Times New Roman" w:eastAsia="Times New Roman" w:hAnsi="Times New Roman"/>
          <w:color w:val="000000"/>
        </w:rPr>
      </w:pPr>
      <w:r w:rsidRPr="00D14574">
        <w:rPr>
          <w:rFonts w:ascii="Times New Roman" w:eastAsia="Times New Roman" w:hAnsi="Times New Roman"/>
          <w:color w:val="000000"/>
        </w:rPr>
        <w:t>Annually, an average of 58 foreign vessels were detained, with bulk carriers comprising 35% of detentions. Tanjung Priok recorded the highest detention rate (42%), reflecting both shipping intensity and consistent PSC enforcement. Panama-flagged vessels dominated detentions (28%), underscoring the need for stricter oversight.</w:t>
      </w:r>
    </w:p>
    <w:p w14:paraId="4EDD1ED9" w14:textId="77777777" w:rsidR="00D14574" w:rsidRPr="00D14574" w:rsidRDefault="00D14574" w:rsidP="00D14574">
      <w:pPr>
        <w:pBdr>
          <w:between w:val="nil"/>
        </w:pBdr>
        <w:spacing w:after="0" w:line="240" w:lineRule="auto"/>
        <w:ind w:left="-2" w:firstLineChars="257" w:firstLine="565"/>
        <w:jc w:val="both"/>
        <w:rPr>
          <w:rFonts w:ascii="Times New Roman" w:eastAsia="Times New Roman" w:hAnsi="Times New Roman"/>
          <w:color w:val="000000"/>
        </w:rPr>
      </w:pPr>
      <w:r w:rsidRPr="00D14574">
        <w:rPr>
          <w:rFonts w:ascii="Times New Roman" w:eastAsia="Times New Roman" w:hAnsi="Times New Roman"/>
          <w:color w:val="000000"/>
        </w:rPr>
        <w:t>The most common deficiencies were in fire safety (31%) and propulsion systems (25%), reflecting critical maintenance gaps. While consistent with broader regional trends (Tokyo MOU, 2022), these findings point to specific national patterns requiring tailored responses.</w:t>
      </w:r>
    </w:p>
    <w:p w14:paraId="13F5469F" w14:textId="77777777" w:rsidR="00D14574" w:rsidRPr="00D14574" w:rsidRDefault="00D14574" w:rsidP="00D14574">
      <w:pPr>
        <w:pBdr>
          <w:between w:val="nil"/>
        </w:pBdr>
        <w:spacing w:after="0" w:line="240" w:lineRule="auto"/>
        <w:ind w:left="-2" w:firstLineChars="257" w:firstLine="565"/>
        <w:jc w:val="both"/>
        <w:rPr>
          <w:rFonts w:ascii="Times New Roman" w:eastAsia="Times New Roman" w:hAnsi="Times New Roman"/>
          <w:color w:val="000000"/>
        </w:rPr>
      </w:pPr>
      <w:r w:rsidRPr="00D14574">
        <w:rPr>
          <w:rFonts w:ascii="Times New Roman" w:eastAsia="Times New Roman" w:hAnsi="Times New Roman"/>
          <w:color w:val="000000"/>
        </w:rPr>
        <w:t xml:space="preserve">This study offers three key contributions: (1) the first empirical mapping of Indonesia’s PSC implementation in the context of the Tokyo MOU; (2) identification of priority areas to enhance inspection effectiveness; and (3) an evidence-based </w:t>
      </w:r>
      <w:r w:rsidRPr="00D14574">
        <w:rPr>
          <w:rFonts w:ascii="Times New Roman" w:eastAsia="Times New Roman" w:hAnsi="Times New Roman"/>
          <w:color w:val="000000"/>
        </w:rPr>
        <w:t>evaluation framework to inform maritime policy development.</w:t>
      </w:r>
    </w:p>
    <w:p w14:paraId="128CA658" w14:textId="43A308CB" w:rsidR="00D14574" w:rsidRDefault="00D14574" w:rsidP="00D14574">
      <w:pPr>
        <w:pBdr>
          <w:between w:val="nil"/>
        </w:pBdr>
        <w:spacing w:after="0" w:line="240" w:lineRule="auto"/>
        <w:ind w:left="-2" w:firstLineChars="257" w:firstLine="565"/>
        <w:jc w:val="both"/>
        <w:rPr>
          <w:rFonts w:ascii="Times New Roman" w:eastAsia="Times New Roman" w:hAnsi="Times New Roman"/>
          <w:color w:val="000000"/>
        </w:rPr>
      </w:pPr>
      <w:r w:rsidRPr="00D14574">
        <w:rPr>
          <w:rFonts w:ascii="Times New Roman" w:eastAsia="Times New Roman" w:hAnsi="Times New Roman"/>
          <w:color w:val="000000"/>
        </w:rPr>
        <w:t>Policy implications include: enhancing inspector capacity in fire safety and propulsion inspections; developing a risk-based inspection system targeting bulk carriers and flag-of-convenience vessels; and optimizing PSC infrastructure at major ports such as Tanjung Priok.</w:t>
      </w:r>
    </w:p>
    <w:p w14:paraId="22D50D99" w14:textId="77777777" w:rsidR="00D14574" w:rsidRDefault="00D14574" w:rsidP="00D14574">
      <w:pPr>
        <w:pBdr>
          <w:between w:val="nil"/>
        </w:pBdr>
        <w:spacing w:after="0" w:line="240" w:lineRule="auto"/>
        <w:ind w:left="-2" w:firstLineChars="257" w:firstLine="565"/>
        <w:jc w:val="both"/>
        <w:rPr>
          <w:rFonts w:ascii="Times New Roman" w:eastAsia="Times New Roman" w:hAnsi="Times New Roman"/>
          <w:color w:val="000000"/>
        </w:rPr>
      </w:pPr>
    </w:p>
    <w:p w14:paraId="3264BFF3" w14:textId="63E8DCB0" w:rsidR="003F1474" w:rsidRPr="003F1474" w:rsidRDefault="00D14574" w:rsidP="003F1474">
      <w:pPr>
        <w:pStyle w:val="Heading1"/>
        <w:numPr>
          <w:ilvl w:val="0"/>
          <w:numId w:val="0"/>
        </w:numPr>
        <w:spacing w:after="0"/>
      </w:pPr>
      <w:r>
        <w:t>REFERENCES</w:t>
      </w:r>
    </w:p>
    <w:p w14:paraId="70A95FC2" w14:textId="620C7253" w:rsidR="00232EBB" w:rsidRPr="00232EBB" w:rsidRDefault="003F1474"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Pr>
          <w:rFonts w:ascii="Times New Roman" w:eastAsia="Times New Roman" w:hAnsi="Times New Roman"/>
          <w:color w:val="000000"/>
        </w:rPr>
        <w:fldChar w:fldCharType="begin" w:fldLock="1"/>
      </w:r>
      <w:r>
        <w:rPr>
          <w:rFonts w:ascii="Times New Roman" w:eastAsia="Times New Roman" w:hAnsi="Times New Roman"/>
          <w:color w:val="000000"/>
        </w:rPr>
        <w:instrText xml:space="preserve">ADDIN Mendeley Bibliography CSL_BIBLIOGRAPHY </w:instrText>
      </w:r>
      <w:r>
        <w:rPr>
          <w:rFonts w:ascii="Times New Roman" w:eastAsia="Times New Roman" w:hAnsi="Times New Roman"/>
          <w:color w:val="000000"/>
        </w:rPr>
        <w:fldChar w:fldCharType="separate"/>
      </w:r>
      <w:r w:rsidR="00232EBB" w:rsidRPr="00232EBB">
        <w:rPr>
          <w:rFonts w:ascii="Times New Roman" w:hAnsi="Times New Roman"/>
          <w:noProof/>
        </w:rPr>
        <w:t>[1]</w:t>
      </w:r>
      <w:r w:rsidR="00232EBB" w:rsidRPr="00232EBB">
        <w:rPr>
          <w:rFonts w:ascii="Times New Roman" w:hAnsi="Times New Roman"/>
          <w:noProof/>
        </w:rPr>
        <w:tab/>
        <w:t xml:space="preserve">UNCTAD, </w:t>
      </w:r>
      <w:r w:rsidR="00232EBB" w:rsidRPr="00232EBB">
        <w:rPr>
          <w:rFonts w:ascii="Times New Roman" w:hAnsi="Times New Roman"/>
          <w:i/>
          <w:iCs/>
          <w:noProof/>
        </w:rPr>
        <w:t>International Maritime Trade</w:t>
      </w:r>
      <w:r w:rsidR="00232EBB" w:rsidRPr="00232EBB">
        <w:rPr>
          <w:rFonts w:ascii="Times New Roman" w:hAnsi="Times New Roman"/>
          <w:noProof/>
        </w:rPr>
        <w:t>. 2022. doi: 10.18356/9789213584569c006.</w:t>
      </w:r>
    </w:p>
    <w:p w14:paraId="2CCB7B88"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[2]</w:t>
      </w:r>
      <w:r w:rsidRPr="00232EBB">
        <w:rPr>
          <w:rFonts w:ascii="Times New Roman" w:hAnsi="Times New Roman"/>
          <w:noProof/>
        </w:rPr>
        <w:tab/>
        <w:t>IMO, “Procedures for Port State Control, 2023. Paper A33/Res.1185. IMO-London,” vol. 1155, no. March, 2023.</w:t>
      </w:r>
    </w:p>
    <w:p w14:paraId="154ED32C"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[3]</w:t>
      </w:r>
      <w:r w:rsidRPr="00232EBB">
        <w:rPr>
          <w:rFonts w:ascii="Times New Roman" w:hAnsi="Times New Roman"/>
          <w:noProof/>
        </w:rPr>
        <w:tab/>
        <w:t xml:space="preserve">T. Hansen, “Port State Control Efficiency in Developing Maritime Nations,” </w:t>
      </w:r>
      <w:r w:rsidRPr="00232EBB">
        <w:rPr>
          <w:rFonts w:ascii="Times New Roman" w:hAnsi="Times New Roman"/>
          <w:i/>
          <w:iCs/>
          <w:noProof/>
        </w:rPr>
        <w:t>Marit. Policy</w:t>
      </w:r>
      <w:r w:rsidRPr="00232EBB">
        <w:rPr>
          <w:rFonts w:ascii="Times New Roman" w:hAnsi="Times New Roman"/>
          <w:noProof/>
        </w:rPr>
        <w:t>, 2023.</w:t>
      </w:r>
    </w:p>
    <w:p w14:paraId="0C07EC65"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[4]</w:t>
      </w:r>
      <w:r w:rsidRPr="00232EBB">
        <w:rPr>
          <w:rFonts w:ascii="Times New Roman" w:hAnsi="Times New Roman"/>
          <w:noProof/>
        </w:rPr>
        <w:tab/>
        <w:t xml:space="preserve">O. Özçayır, </w:t>
      </w:r>
      <w:r w:rsidRPr="00232EBB">
        <w:rPr>
          <w:rFonts w:ascii="Times New Roman" w:hAnsi="Times New Roman"/>
          <w:i/>
          <w:iCs/>
          <w:noProof/>
        </w:rPr>
        <w:t>Port State Control</w:t>
      </w:r>
      <w:r w:rsidRPr="00232EBB">
        <w:rPr>
          <w:rFonts w:ascii="Times New Roman" w:hAnsi="Times New Roman"/>
          <w:noProof/>
        </w:rPr>
        <w:t>. Informa Law from Routledge, 2020.</w:t>
      </w:r>
    </w:p>
    <w:p w14:paraId="27049504"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[5]</w:t>
      </w:r>
      <w:r w:rsidRPr="00232EBB">
        <w:rPr>
          <w:rFonts w:ascii="Times New Roman" w:hAnsi="Times New Roman"/>
          <w:noProof/>
        </w:rPr>
        <w:tab/>
        <w:t xml:space="preserve">R. Johnson and S. Lee, “Gaps in Flag State Implementation: A Global Analysis,” </w:t>
      </w:r>
      <w:r w:rsidRPr="00232EBB">
        <w:rPr>
          <w:rFonts w:ascii="Times New Roman" w:hAnsi="Times New Roman"/>
          <w:i/>
          <w:iCs/>
          <w:noProof/>
        </w:rPr>
        <w:t>IMO Press</w:t>
      </w:r>
      <w:r w:rsidRPr="00232EBB">
        <w:rPr>
          <w:rFonts w:ascii="Times New Roman" w:hAnsi="Times New Roman"/>
          <w:noProof/>
        </w:rPr>
        <w:t>, 2023.</w:t>
      </w:r>
    </w:p>
    <w:p w14:paraId="75D58860"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[6]</w:t>
      </w:r>
      <w:r w:rsidRPr="00232EBB">
        <w:rPr>
          <w:rFonts w:ascii="Times New Roman" w:hAnsi="Times New Roman"/>
          <w:noProof/>
        </w:rPr>
        <w:tab/>
        <w:t>Tokyo MOU, “Annual Report on Port State Control in the Asia-Pacific Region,” 2022.</w:t>
      </w:r>
    </w:p>
    <w:p w14:paraId="1BDDC77C"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[7]</w:t>
      </w:r>
      <w:r w:rsidRPr="00232EBB">
        <w:rPr>
          <w:rFonts w:ascii="Times New Roman" w:hAnsi="Times New Roman"/>
          <w:noProof/>
        </w:rPr>
        <w:tab/>
        <w:t xml:space="preserve">Y. Wang, Rui-Feng Xu, Q. Lu, W.-J. Li, and K. X. Li, “Risk-Based Port State Control: Lessons from Tokyo MOU,” </w:t>
      </w:r>
      <w:r w:rsidRPr="00232EBB">
        <w:rPr>
          <w:rFonts w:ascii="Times New Roman" w:hAnsi="Times New Roman"/>
          <w:i/>
          <w:iCs/>
          <w:noProof/>
        </w:rPr>
        <w:t>Transp. Res.</w:t>
      </w:r>
      <w:r w:rsidRPr="00232EBB">
        <w:rPr>
          <w:rFonts w:ascii="Times New Roman" w:hAnsi="Times New Roman"/>
          <w:noProof/>
        </w:rPr>
        <w:t>, 2023.</w:t>
      </w:r>
    </w:p>
    <w:p w14:paraId="263A9639"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[8]</w:t>
      </w:r>
      <w:r w:rsidRPr="00232EBB">
        <w:rPr>
          <w:rFonts w:ascii="Times New Roman" w:hAnsi="Times New Roman"/>
          <w:noProof/>
        </w:rPr>
        <w:tab/>
        <w:t>Maritime Affairs Journal, “Maritime Affairs Journal,” 2023.</w:t>
      </w:r>
    </w:p>
    <w:p w14:paraId="30A1C8B2"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[9]</w:t>
      </w:r>
      <w:r w:rsidRPr="00232EBB">
        <w:rPr>
          <w:rFonts w:ascii="Times New Roman" w:hAnsi="Times New Roman"/>
          <w:noProof/>
        </w:rPr>
        <w:tab/>
        <w:t xml:space="preserve">L. Chen and W. Zhang, “AI Applications in Port State Control,” </w:t>
      </w:r>
      <w:r w:rsidRPr="00232EBB">
        <w:rPr>
          <w:rFonts w:ascii="Times New Roman" w:hAnsi="Times New Roman"/>
          <w:i/>
          <w:iCs/>
          <w:noProof/>
        </w:rPr>
        <w:t>J. Marit. Technol.</w:t>
      </w:r>
      <w:r w:rsidRPr="00232EBB">
        <w:rPr>
          <w:rFonts w:ascii="Times New Roman" w:hAnsi="Times New Roman"/>
          <w:noProof/>
        </w:rPr>
        <w:t>, no. 8(1), pp. 112-128., 2024.</w:t>
      </w:r>
    </w:p>
    <w:p w14:paraId="499D3326"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[10]</w:t>
      </w:r>
      <w:r w:rsidRPr="00232EBB">
        <w:rPr>
          <w:rFonts w:ascii="Times New Roman" w:hAnsi="Times New Roman"/>
          <w:noProof/>
        </w:rPr>
        <w:tab/>
        <w:t xml:space="preserve">J. Chen, Y. Zhao, and T. Zhang, “Policies for Potentially Inundated Island Nations for the Retention of Marine Resources and Rights of Associated Under-Water Features and Exclusive Economic Zones,” </w:t>
      </w:r>
      <w:r w:rsidRPr="00232EBB">
        <w:rPr>
          <w:rFonts w:ascii="Times New Roman" w:hAnsi="Times New Roman"/>
          <w:i/>
          <w:iCs/>
          <w:noProof/>
        </w:rPr>
        <w:t>Ocean Coast. Manag.</w:t>
      </w:r>
      <w:r w:rsidRPr="00232EBB">
        <w:rPr>
          <w:rFonts w:ascii="Times New Roman" w:hAnsi="Times New Roman"/>
          <w:noProof/>
        </w:rPr>
        <w:t>, 2023.</w:t>
      </w:r>
    </w:p>
    <w:p w14:paraId="2EC01485"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[11]</w:t>
      </w:r>
      <w:r w:rsidRPr="00232EBB">
        <w:rPr>
          <w:rFonts w:ascii="Times New Roman" w:hAnsi="Times New Roman"/>
          <w:noProof/>
        </w:rPr>
        <w:tab/>
        <w:t xml:space="preserve">M. Moniruzzaman, “Enterprise risk management in designing meta-regulation under risk-based regulatory strategy: An empirical evidence from financial regulation,” </w:t>
      </w:r>
      <w:r w:rsidRPr="00232EBB">
        <w:rPr>
          <w:rFonts w:ascii="Times New Roman" w:hAnsi="Times New Roman"/>
          <w:i/>
          <w:iCs/>
          <w:noProof/>
        </w:rPr>
        <w:t xml:space="preserve">Glob. J. Manag. </w:t>
      </w:r>
      <w:r w:rsidRPr="00232EBB">
        <w:rPr>
          <w:rFonts w:ascii="Times New Roman" w:hAnsi="Times New Roman"/>
          <w:i/>
          <w:iCs/>
          <w:noProof/>
        </w:rPr>
        <w:lastRenderedPageBreak/>
        <w:t>Bus. Res. A Adm. Manag.</w:t>
      </w:r>
      <w:r w:rsidRPr="00232EBB">
        <w:rPr>
          <w:rFonts w:ascii="Times New Roman" w:hAnsi="Times New Roman"/>
          <w:noProof/>
        </w:rPr>
        <w:t>, vol. 23, no. 2, 2023.</w:t>
      </w:r>
    </w:p>
    <w:p w14:paraId="19DFF262"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[12]</w:t>
      </w:r>
      <w:r w:rsidRPr="00232EBB">
        <w:rPr>
          <w:rFonts w:ascii="Times New Roman" w:hAnsi="Times New Roman"/>
          <w:noProof/>
        </w:rPr>
        <w:tab/>
        <w:t xml:space="preserve">M. Moniruzzaman, “Risk of regulatory failure of ‘risk-based regulation’ while using enterprise risk management as a meta-regulatory toolkit,” </w:t>
      </w:r>
      <w:r w:rsidRPr="00232EBB">
        <w:rPr>
          <w:rFonts w:ascii="Times New Roman" w:hAnsi="Times New Roman"/>
          <w:i/>
          <w:iCs/>
          <w:noProof/>
        </w:rPr>
        <w:t>Asian J. Econ. Bank.</w:t>
      </w:r>
      <w:r w:rsidRPr="00232EBB">
        <w:rPr>
          <w:rFonts w:ascii="Times New Roman" w:hAnsi="Times New Roman"/>
          <w:noProof/>
        </w:rPr>
        <w:t>, vol. 6, no. 1, pp. 103–121, 2022, doi: 10.1108/ajeb-05-2021-0067.</w:t>
      </w:r>
    </w:p>
    <w:p w14:paraId="3F6258B1"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[13]</w:t>
      </w:r>
      <w:r w:rsidRPr="00232EBB">
        <w:rPr>
          <w:rFonts w:ascii="Times New Roman" w:hAnsi="Times New Roman"/>
          <w:noProof/>
        </w:rPr>
        <w:tab/>
        <w:t xml:space="preserve">E. Japar Sidik, A. Baihaqi, and D. Wahyu Utomo, “Comparative Evaluation of the Qualitative and Quantitative Research on English as a Foreign Language (EFL) Policy at Primary Education in Indonesia and Other EFL Contexts,” </w:t>
      </w:r>
      <w:r w:rsidRPr="00232EBB">
        <w:rPr>
          <w:rFonts w:ascii="Times New Roman" w:hAnsi="Times New Roman"/>
          <w:i/>
          <w:iCs/>
          <w:noProof/>
        </w:rPr>
        <w:t>J. English Lang. Teach. Cult. Stud.</w:t>
      </w:r>
      <w:r w:rsidRPr="00232EBB">
        <w:rPr>
          <w:rFonts w:ascii="Times New Roman" w:hAnsi="Times New Roman"/>
          <w:noProof/>
        </w:rPr>
        <w:t>, vol. 5, no. 1, pp. 60–76, 2022, doi: 10.48181/jelts.v5i1.14600.</w:t>
      </w:r>
    </w:p>
    <w:p w14:paraId="3AF155E5"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[14]</w:t>
      </w:r>
      <w:r w:rsidRPr="00232EBB">
        <w:rPr>
          <w:rFonts w:ascii="Times New Roman" w:hAnsi="Times New Roman"/>
          <w:noProof/>
        </w:rPr>
        <w:tab/>
        <w:t>Global Maritime Review, “Global Maritime Review,” 2023.</w:t>
      </w:r>
    </w:p>
    <w:p w14:paraId="5778F2A1"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[15]</w:t>
      </w:r>
      <w:r w:rsidRPr="00232EBB">
        <w:rPr>
          <w:rFonts w:ascii="Times New Roman" w:hAnsi="Times New Roman"/>
          <w:noProof/>
        </w:rPr>
        <w:tab/>
        <w:t>DGST, “Laporan Kinerja Instansi Pemerintah Direktorat Jenderal Perhubungan Laut,” 2023.</w:t>
      </w:r>
    </w:p>
    <w:p w14:paraId="5600EC6B"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[16]</w:t>
      </w:r>
      <w:r w:rsidRPr="00232EBB">
        <w:rPr>
          <w:rFonts w:ascii="Times New Roman" w:hAnsi="Times New Roman"/>
          <w:noProof/>
        </w:rPr>
        <w:tab/>
        <w:t>MSA, “Maritime Safety Agency Facts and Figure,” 2024.</w:t>
      </w:r>
    </w:p>
    <w:p w14:paraId="7C7AAE38"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[17]</w:t>
      </w:r>
      <w:r w:rsidRPr="00232EBB">
        <w:rPr>
          <w:rFonts w:ascii="Times New Roman" w:hAnsi="Times New Roman"/>
          <w:noProof/>
        </w:rPr>
        <w:tab/>
        <w:t xml:space="preserve">H. Yamamoto and R. Tanaka, “Machinery Deficiencies in Bulk Carriers,” </w:t>
      </w:r>
      <w:r w:rsidRPr="00232EBB">
        <w:rPr>
          <w:rFonts w:ascii="Times New Roman" w:hAnsi="Times New Roman"/>
          <w:i/>
          <w:iCs/>
          <w:noProof/>
        </w:rPr>
        <w:t>Mar. Eng.</w:t>
      </w:r>
      <w:r w:rsidRPr="00232EBB">
        <w:rPr>
          <w:rFonts w:ascii="Times New Roman" w:hAnsi="Times New Roman"/>
          <w:noProof/>
        </w:rPr>
        <w:t>, vol. 39, no. 3, pp. 201–215, 2024.</w:t>
      </w:r>
    </w:p>
    <w:p w14:paraId="097A8306"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[18]</w:t>
      </w:r>
      <w:r w:rsidRPr="00232EBB">
        <w:rPr>
          <w:rFonts w:ascii="Times New Roman" w:hAnsi="Times New Roman"/>
          <w:noProof/>
        </w:rPr>
        <w:tab/>
        <w:t xml:space="preserve">T. Hwang, I. H. Youn, S. Lee, and I. Kim, “Efficiency Comparison between Audible and Buzzle Alarms of Electronic Chart Display and Information System Alarm under the Simulated Environment,” </w:t>
      </w:r>
      <w:r w:rsidRPr="00232EBB">
        <w:rPr>
          <w:rFonts w:ascii="Times New Roman" w:hAnsi="Times New Roman"/>
          <w:i/>
          <w:iCs/>
          <w:noProof/>
        </w:rPr>
        <w:t>J. Mar. Sci. Eng.</w:t>
      </w:r>
      <w:r w:rsidRPr="00232EBB">
        <w:rPr>
          <w:rFonts w:ascii="Times New Roman" w:hAnsi="Times New Roman"/>
          <w:noProof/>
        </w:rPr>
        <w:t>, vol. 10, no. 2, 2022, doi: 10.3390/jmse10020154.</w:t>
      </w:r>
    </w:p>
    <w:p w14:paraId="3C012737"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[19]</w:t>
      </w:r>
      <w:r w:rsidRPr="00232EBB">
        <w:rPr>
          <w:rFonts w:ascii="Times New Roman" w:hAnsi="Times New Roman"/>
          <w:noProof/>
        </w:rPr>
        <w:tab/>
        <w:t xml:space="preserve">P. Anderson, “Flag State Performance in Global Maritime Governance. Ocean Policy,” </w:t>
      </w:r>
      <w:r w:rsidRPr="00232EBB">
        <w:rPr>
          <w:rFonts w:ascii="Times New Roman" w:hAnsi="Times New Roman"/>
          <w:i/>
          <w:iCs/>
          <w:noProof/>
        </w:rPr>
        <w:t>Ocean Policy</w:t>
      </w:r>
      <w:r w:rsidRPr="00232EBB">
        <w:rPr>
          <w:rFonts w:ascii="Times New Roman" w:hAnsi="Times New Roman"/>
          <w:noProof/>
        </w:rPr>
        <w:t>, pp. 15(2), 45-62., 2024.</w:t>
      </w:r>
    </w:p>
    <w:p w14:paraId="134A3F00"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[20]</w:t>
      </w:r>
      <w:r w:rsidRPr="00232EBB">
        <w:rPr>
          <w:rFonts w:ascii="Times New Roman" w:hAnsi="Times New Roman"/>
          <w:noProof/>
        </w:rPr>
        <w:tab/>
        <w:t>Tokyo MOU, “Tokyo MOU Port State Control Committee held the 35th Meeting in Incheon, Republic of Korea,” 2024.</w:t>
      </w:r>
    </w:p>
    <w:p w14:paraId="225FAA8F" w14:textId="77777777" w:rsidR="00232EBB" w:rsidRPr="00232EBB" w:rsidRDefault="00232EBB" w:rsidP="00204202">
      <w:pPr>
        <w:widowControl w:val="0"/>
        <w:autoSpaceDE w:val="0"/>
        <w:autoSpaceDN w:val="0"/>
        <w:adjustRightInd w:val="0"/>
        <w:spacing w:after="0" w:line="240" w:lineRule="auto"/>
        <w:ind w:leftChars="0" w:left="567" w:firstLineChars="0" w:hanging="567"/>
        <w:jc w:val="both"/>
        <w:rPr>
          <w:rFonts w:ascii="Times New Roman" w:hAnsi="Times New Roman"/>
          <w:noProof/>
        </w:rPr>
      </w:pPr>
      <w:r w:rsidRPr="00232EBB">
        <w:rPr>
          <w:rFonts w:ascii="Times New Roman" w:hAnsi="Times New Roman"/>
          <w:noProof/>
        </w:rPr>
        <w:t>[21]</w:t>
      </w:r>
      <w:r w:rsidRPr="00232EBB">
        <w:rPr>
          <w:rFonts w:ascii="Times New Roman" w:hAnsi="Times New Roman"/>
          <w:noProof/>
        </w:rPr>
        <w:tab/>
        <w:t>Maritime Human Resources Development Center, “Maritime Human Resources Development Center,” 2024.</w:t>
      </w:r>
    </w:p>
    <w:p w14:paraId="0DA3995E" w14:textId="6CE6735F" w:rsidR="003F1474" w:rsidRPr="002D1AFA" w:rsidRDefault="003F1474" w:rsidP="00204202">
      <w:pPr>
        <w:pBdr>
          <w:between w:val="nil"/>
        </w:pBdr>
        <w:spacing w:after="0" w:line="240" w:lineRule="auto"/>
        <w:ind w:leftChars="0" w:left="567" w:firstLineChars="0" w:hanging="567"/>
        <w:jc w:val="both"/>
        <w:rPr>
          <w:rFonts w:ascii="Times New Roman" w:eastAsia="Times New Roman" w:hAnsi="Times New Roman"/>
          <w:color w:val="000000"/>
        </w:rPr>
      </w:pPr>
      <w:r>
        <w:rPr>
          <w:rFonts w:ascii="Times New Roman" w:eastAsia="Times New Roman" w:hAnsi="Times New Roman"/>
          <w:color w:val="000000"/>
        </w:rPr>
        <w:fldChar w:fldCharType="end"/>
      </w:r>
    </w:p>
    <w:p w14:paraId="368762D3" w14:textId="77777777" w:rsidR="0092119C" w:rsidRDefault="0092119C" w:rsidP="00D14574">
      <w:pPr>
        <w:spacing w:after="0" w:line="240" w:lineRule="auto"/>
        <w:ind w:leftChars="0" w:left="0" w:firstLineChars="0" w:firstLine="0"/>
        <w:jc w:val="both"/>
        <w:rPr>
          <w:rFonts w:ascii="Times New Roman" w:eastAsia="Times New Roman" w:hAnsi="Times New Roman"/>
        </w:rPr>
      </w:pPr>
    </w:p>
    <w:sectPr w:rsidR="0092119C" w:rsidSect="00D14574">
      <w:type w:val="continuous"/>
      <w:pgSz w:w="11906" w:h="16838"/>
      <w:pgMar w:top="1134" w:right="1134" w:bottom="1134" w:left="1134" w:header="709" w:footer="709" w:gutter="0"/>
      <w:cols w:num="2"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1232F4" w14:textId="77777777" w:rsidR="00A67940" w:rsidRDefault="00A67940">
      <w:pPr>
        <w:spacing w:after="0" w:line="240" w:lineRule="auto"/>
        <w:ind w:left="0" w:hanging="2"/>
      </w:pPr>
      <w:r>
        <w:separator/>
      </w:r>
    </w:p>
  </w:endnote>
  <w:endnote w:type="continuationSeparator" w:id="0">
    <w:p w14:paraId="5AEF948F" w14:textId="77777777" w:rsidR="00A67940" w:rsidRDefault="00A6794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BB65CBF-AD0D-49A4-A25D-7D9A39446700}"/>
    <w:embedBold r:id="rId2" w:fontKey="{63646BEF-671C-4033-B44F-9DA262E83541}"/>
    <w:embedItalic r:id="rId3" w:fontKey="{82143BC7-29F3-47E4-B547-6DA3818E2271}"/>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embedRegular r:id="rId4" w:fontKey="{5C7DD254-1716-482B-8444-17460B5FBD8B}"/>
  </w:font>
  <w:font w:name="Consolas">
    <w:panose1 w:val="020B0609020204030204"/>
    <w:charset w:val="00"/>
    <w:family w:val="modern"/>
    <w:pitch w:val="fixed"/>
    <w:sig w:usb0="E00006FF" w:usb1="0000FCFF" w:usb2="00000001" w:usb3="00000000" w:csb0="0000019F" w:csb1="00000000"/>
    <w:embedRegular r:id="rId5" w:fontKey="{56511FC1-EF05-434F-8915-5EE17F9901BE}"/>
  </w:font>
  <w:font w:name="Georgia">
    <w:panose1 w:val="02040502050405020303"/>
    <w:charset w:val="00"/>
    <w:family w:val="roman"/>
    <w:pitch w:val="variable"/>
    <w:sig w:usb0="00000287" w:usb1="00000000" w:usb2="00000000" w:usb3="00000000" w:csb0="0000009F" w:csb1="00000000"/>
    <w:embedRegular r:id="rId6" w:fontKey="{AFC988DD-67CF-4418-A694-CB16426B8A26}"/>
    <w:embedItalic r:id="rId7" w:fontKey="{404D63B7-18A8-486E-B48D-3BA27F70A77D}"/>
  </w:font>
  <w:font w:name="Segoe UI">
    <w:panose1 w:val="020B0502040204020203"/>
    <w:charset w:val="00"/>
    <w:family w:val="swiss"/>
    <w:pitch w:val="variable"/>
    <w:sig w:usb0="E4002EFF" w:usb1="C000E47F" w:usb2="00000009" w:usb3="00000000" w:csb0="000001FF" w:csb1="00000000"/>
    <w:embedRegular r:id="rId8" w:fontKey="{7E397C85-C46B-4EF2-8856-A86887544A58}"/>
    <w:embedBold r:id="rId9" w:fontKey="{8AEF5B10-66DD-4278-9A1C-4D9710653258}"/>
  </w:font>
  <w:font w:name="Cambria">
    <w:panose1 w:val="02040503050406030204"/>
    <w:charset w:val="00"/>
    <w:family w:val="roman"/>
    <w:pitch w:val="variable"/>
    <w:sig w:usb0="E00006FF" w:usb1="420024FF" w:usb2="02000000" w:usb3="00000000" w:csb0="0000019F" w:csb1="00000000"/>
    <w:embedRegular r:id="rId10" w:fontKey="{2AD4CF06-AC9F-4EEB-B770-F89C4C9114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AFF3E" w14:textId="77777777" w:rsidR="0092119C" w:rsidRDefault="00000000">
    <w:pPr>
      <w:pBdr>
        <w:top w:val="nil"/>
        <w:left w:val="nil"/>
        <w:bottom w:val="nil"/>
        <w:right w:val="nil"/>
        <w:between w:val="nil"/>
      </w:pBdr>
      <w:tabs>
        <w:tab w:val="center" w:pos="4513"/>
        <w:tab w:val="right" w:pos="9026"/>
        <w:tab w:val="center" w:pos="4513"/>
        <w:tab w:val="right" w:pos="9639"/>
      </w:tabs>
      <w:spacing w:after="0" w:line="240" w:lineRule="auto"/>
      <w:ind w:left="0" w:hanging="2"/>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METEOR, Vol. XX, No. XX Month 20XX</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E1332E">
      <w:rPr>
        <w:rFonts w:ascii="Times New Roman" w:eastAsia="Times New Roman" w:hAnsi="Times New Roman"/>
        <w:noProof/>
        <w:color w:val="000000"/>
        <w:sz w:val="24"/>
        <w:szCs w:val="24"/>
      </w:rPr>
      <w:t>1</w:t>
    </w:r>
    <w:r>
      <w:rPr>
        <w:rFonts w:ascii="Times New Roman" w:eastAsia="Times New Roman" w:hAnsi="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082AF" w14:textId="77777777" w:rsidR="00A67940" w:rsidRDefault="00A67940">
      <w:pPr>
        <w:spacing w:after="0" w:line="240" w:lineRule="auto"/>
        <w:ind w:left="0" w:hanging="2"/>
      </w:pPr>
      <w:r>
        <w:separator/>
      </w:r>
    </w:p>
  </w:footnote>
  <w:footnote w:type="continuationSeparator" w:id="0">
    <w:p w14:paraId="497C8802" w14:textId="77777777" w:rsidR="00A67940" w:rsidRDefault="00A67940">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7DEE2F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5044709" o:spid="_x0000_i1025" type="#_x0000_t75" style="width:74.5pt;height:25pt;visibility:visible;mso-wrap-style:square">
            <v:imagedata r:id="rId1" o:title=""/>
          </v:shape>
        </w:pict>
      </mc:Choice>
      <mc:Fallback>
        <w:drawing>
          <wp:inline distT="0" distB="0" distL="0" distR="0" wp14:anchorId="4593506B" wp14:editId="3F80F602">
            <wp:extent cx="946150" cy="317500"/>
            <wp:effectExtent l="0" t="0" r="0" b="0"/>
            <wp:docPr id="1295044709" name="Picture 129504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6150" cy="317500"/>
                    </a:xfrm>
                    <a:prstGeom prst="rect">
                      <a:avLst/>
                    </a:prstGeom>
                    <a:noFill/>
                    <a:ln>
                      <a:noFill/>
                    </a:ln>
                  </pic:spPr>
                </pic:pic>
              </a:graphicData>
            </a:graphic>
          </wp:inline>
        </w:drawing>
      </mc:Fallback>
    </mc:AlternateContent>
  </w:numPicBullet>
  <w:abstractNum w:abstractNumId="0" w15:restartNumberingAfterBreak="0">
    <w:nsid w:val="38042C79"/>
    <w:multiLevelType w:val="multilevel"/>
    <w:tmpl w:val="95A2F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6600650"/>
    <w:multiLevelType w:val="multilevel"/>
    <w:tmpl w:val="D4CE756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46521328">
    <w:abstractNumId w:val="1"/>
  </w:num>
  <w:num w:numId="2" w16cid:durableId="5625707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3804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19C"/>
    <w:rsid w:val="00006CAE"/>
    <w:rsid w:val="000854EA"/>
    <w:rsid w:val="000F3EFA"/>
    <w:rsid w:val="00114618"/>
    <w:rsid w:val="00133550"/>
    <w:rsid w:val="00151106"/>
    <w:rsid w:val="00155D35"/>
    <w:rsid w:val="0017299C"/>
    <w:rsid w:val="001B0D27"/>
    <w:rsid w:val="00204202"/>
    <w:rsid w:val="00232EBB"/>
    <w:rsid w:val="002D1AFA"/>
    <w:rsid w:val="002E7B46"/>
    <w:rsid w:val="00314A74"/>
    <w:rsid w:val="0034768B"/>
    <w:rsid w:val="003669A7"/>
    <w:rsid w:val="003D7005"/>
    <w:rsid w:val="003F1474"/>
    <w:rsid w:val="00483E99"/>
    <w:rsid w:val="00576418"/>
    <w:rsid w:val="005B26B6"/>
    <w:rsid w:val="006242FB"/>
    <w:rsid w:val="00657F49"/>
    <w:rsid w:val="006F16E4"/>
    <w:rsid w:val="00743292"/>
    <w:rsid w:val="00744799"/>
    <w:rsid w:val="007E4084"/>
    <w:rsid w:val="00816CF0"/>
    <w:rsid w:val="008609A5"/>
    <w:rsid w:val="0092119C"/>
    <w:rsid w:val="009B21B9"/>
    <w:rsid w:val="00A064AC"/>
    <w:rsid w:val="00A67940"/>
    <w:rsid w:val="00B11ED5"/>
    <w:rsid w:val="00B342DA"/>
    <w:rsid w:val="00C4783F"/>
    <w:rsid w:val="00C57E28"/>
    <w:rsid w:val="00CA749C"/>
    <w:rsid w:val="00D14574"/>
    <w:rsid w:val="00D53E19"/>
    <w:rsid w:val="00D56278"/>
    <w:rsid w:val="00E00D49"/>
    <w:rsid w:val="00E1332E"/>
    <w:rsid w:val="00ED2667"/>
    <w:rsid w:val="00EE3D5D"/>
    <w:rsid w:val="00F15AA9"/>
    <w:rsid w:val="00F27544"/>
    <w:rsid w:val="00FA28EF"/>
    <w:rsid w:val="00FC1AD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4BAA5"/>
  <w15:docId w15:val="{DD36861F-66EE-4DAD-A3D8-25123094C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zh-CN"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CF0"/>
    <w:pPr>
      <w:suppressAutoHyphens/>
      <w:ind w:leftChars="-1" w:left="-1" w:hangingChars="1" w:hanging="1"/>
      <w:textDirection w:val="btLr"/>
      <w:textAlignment w:val="top"/>
      <w:outlineLvl w:val="0"/>
    </w:pPr>
    <w:rPr>
      <w:rFonts w:cs="Times New Roman"/>
      <w:position w:val="-1"/>
      <w:lang w:val="id-ID" w:eastAsia="en-US"/>
    </w:rPr>
  </w:style>
  <w:style w:type="paragraph" w:styleId="Heading1">
    <w:name w:val="heading 1"/>
    <w:basedOn w:val="Normal"/>
    <w:next w:val="Normal"/>
    <w:uiPriority w:val="9"/>
    <w:qFormat/>
    <w:pPr>
      <w:keepNext/>
      <w:numPr>
        <w:numId w:val="1"/>
      </w:numPr>
      <w:suppressAutoHyphens w:val="0"/>
      <w:spacing w:after="115" w:line="240" w:lineRule="auto"/>
      <w:ind w:left="-1" w:hanging="1"/>
    </w:pPr>
    <w:rPr>
      <w:rFonts w:ascii="Times New Roman" w:eastAsia="Times New Roman" w:hAnsi="Times New Roman"/>
      <w:b/>
      <w:smallCaps/>
      <w:szCs w:val="20"/>
      <w:lang w:eastAsia="zh-CN"/>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uiPriority w:val="9"/>
    <w:rPr>
      <w:rFonts w:ascii="Times New Roman" w:eastAsia="Times New Roman" w:hAnsi="Times New Roman"/>
      <w:b/>
      <w:smallCaps/>
      <w:w w:val="100"/>
      <w:position w:val="-1"/>
      <w:sz w:val="22"/>
      <w:effect w:val="none"/>
      <w:vertAlign w:val="baseline"/>
      <w:cs w:val="0"/>
      <w:em w:val="none"/>
      <w:lang w:val="id-ID" w:eastAsia="zh-CN"/>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rPr>
  </w:style>
  <w:style w:type="paragraph" w:styleId="HTMLPreformatted">
    <w:name w:val="HTML Preformatted"/>
    <w:basedOn w:val="Normal"/>
    <w:qFormat/>
    <w:pPr>
      <w:spacing w:after="0" w:line="240" w:lineRule="auto"/>
    </w:pPr>
    <w:rPr>
      <w:rFonts w:ascii="Consolas" w:hAnsi="Consolas"/>
      <w:sz w:val="20"/>
      <w:szCs w:val="20"/>
    </w:rPr>
  </w:style>
  <w:style w:type="character" w:customStyle="1" w:styleId="HTMLPreformattedChar">
    <w:name w:val="HTML Preformatted Char"/>
    <w:rPr>
      <w:rFonts w:ascii="Consolas" w:hAnsi="Consolas"/>
      <w:w w:val="100"/>
      <w:position w:val="-1"/>
      <w:sz w:val="20"/>
      <w:szCs w:val="20"/>
      <w:effect w:val="none"/>
      <w:vertAlign w:val="baseline"/>
      <w:cs w:val="0"/>
      <w:em w:val="none"/>
    </w:rPr>
  </w:style>
  <w:style w:type="character" w:styleId="Hyperlink">
    <w:name w:val="Hyperlink"/>
    <w:uiPriority w:val="99"/>
    <w:qFormat/>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contextualSpacing/>
    </w:pPr>
  </w:style>
  <w:style w:type="character" w:customStyle="1" w:styleId="shorttext">
    <w:name w:val="short_text"/>
    <w:rPr>
      <w:w w:val="100"/>
      <w:position w:val="-1"/>
      <w:effect w:val="none"/>
      <w:vertAlign w:val="baseline"/>
      <w:cs w:val="0"/>
      <w:em w:val="none"/>
    </w:rPr>
  </w:style>
  <w:style w:type="table" w:customStyle="1" w:styleId="PlainTable21">
    <w:name w:val="Plain Table 21"/>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7E7E7E"/>
        <w:bottom w:val="single" w:sz="4" w:space="0" w:color="7E7E7E"/>
      </w:tblBorders>
    </w:tblPr>
  </w:style>
  <w:style w:type="character" w:styleId="Mention">
    <w:name w:val="Mention"/>
    <w:qFormat/>
    <w:rPr>
      <w:color w:val="2B579A"/>
      <w:w w:val="100"/>
      <w:position w:val="-1"/>
      <w:effect w:val="none"/>
      <w:shd w:val="clear" w:color="auto" w:fill="E6E6E6"/>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JSKReferenceItem">
    <w:name w:val="JSK Reference Item"/>
    <w:basedOn w:val="Normal"/>
    <w:pPr>
      <w:tabs>
        <w:tab w:val="left" w:pos="432"/>
        <w:tab w:val="num" w:pos="720"/>
      </w:tabs>
      <w:suppressAutoHyphens w:val="0"/>
      <w:spacing w:after="0" w:line="240" w:lineRule="auto"/>
      <w:jc w:val="both"/>
    </w:pPr>
    <w:rPr>
      <w:rFonts w:ascii="Times New Roman" w:eastAsia="Times New Roman" w:hAnsi="Times New Roman"/>
      <w:sz w:val="16"/>
      <w:szCs w:val="24"/>
      <w:lang w:eastAsia="zh-CN"/>
    </w:rPr>
  </w:style>
  <w:style w:type="paragraph" w:styleId="Bibliography">
    <w:name w:val="Bibliography"/>
    <w:basedOn w:val="Normal"/>
    <w:next w:val="Normal"/>
    <w:qFormat/>
    <w:pPr>
      <w:spacing w:after="160" w:line="256" w:lineRule="auto"/>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 w:type="paragraph" w:styleId="TOCHeading">
    <w:name w:val="TOC Heading"/>
    <w:basedOn w:val="Heading1"/>
    <w:next w:val="Normal"/>
    <w:uiPriority w:val="39"/>
    <w:unhideWhenUsed/>
    <w:qFormat/>
    <w:rsid w:val="00743292"/>
    <w:pPr>
      <w:keepLines/>
      <w:numPr>
        <w:numId w:val="0"/>
      </w:numPr>
      <w:spacing w:before="240" w:after="0" w:line="259" w:lineRule="auto"/>
      <w:textDirection w:val="lrTb"/>
      <w:textAlignment w:val="auto"/>
      <w:outlineLvl w:val="9"/>
    </w:pPr>
    <w:rPr>
      <w:rFonts w:asciiTheme="majorHAnsi" w:eastAsiaTheme="majorEastAsia" w:hAnsiTheme="majorHAnsi" w:cstheme="majorBidi"/>
      <w:b w:val="0"/>
      <w:smallCaps w:val="0"/>
      <w:color w:val="365F91" w:themeColor="accent1" w:themeShade="BF"/>
      <w:position w:val="0"/>
      <w:sz w:val="32"/>
      <w:szCs w:val="32"/>
      <w:lang w:val="en-US" w:eastAsia="en-US"/>
    </w:rPr>
  </w:style>
  <w:style w:type="paragraph" w:styleId="TOC1">
    <w:name w:val="toc 1"/>
    <w:basedOn w:val="Normal"/>
    <w:next w:val="Normal"/>
    <w:autoRedefine/>
    <w:uiPriority w:val="39"/>
    <w:unhideWhenUsed/>
    <w:rsid w:val="00743292"/>
    <w:pPr>
      <w:spacing w:after="100"/>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40868">
      <w:bodyDiv w:val="1"/>
      <w:marLeft w:val="0"/>
      <w:marRight w:val="0"/>
      <w:marTop w:val="0"/>
      <w:marBottom w:val="0"/>
      <w:divBdr>
        <w:top w:val="none" w:sz="0" w:space="0" w:color="auto"/>
        <w:left w:val="none" w:sz="0" w:space="0" w:color="auto"/>
        <w:bottom w:val="none" w:sz="0" w:space="0" w:color="auto"/>
        <w:right w:val="none" w:sz="0" w:space="0" w:color="auto"/>
      </w:divBdr>
    </w:div>
    <w:div w:id="1681420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PEnQsj4AGCs37DaRn+dkE7ccXQ==">CgMxLjAyCGguZ2pkZ3hzOAByITF2RHRodGZ6VnFnZFdnMHdaQUI3dDR6YmNsWGYzdEc2OA==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D9B43D-250D-4235-8A0F-8DBFC132C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7176</Words>
  <Characters>40907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femmy schouten</cp:lastModifiedBy>
  <cp:revision>4</cp:revision>
  <dcterms:created xsi:type="dcterms:W3CDTF">2025-06-13T10:37:00Z</dcterms:created>
  <dcterms:modified xsi:type="dcterms:W3CDTF">2025-06-16T04:19:00Z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c26d4ed2-6649-3c98-b1bc-f01e14c1205e</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1033-12.2.0.16909</vt:lpwstr>
  </property>
  <property fmtid="{D5CDD505-2E9C-101B-9397-08002B2CF9AE}" pid="26" name="ICV">
    <vt:lpwstr>A5F6502890384A6EA7908DF100A197EA_13</vt:lpwstr>
  </property>
</Properties>
</file>