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247C" w:rsidRPr="002D518D" w:rsidRDefault="0075247C">
      <w:pPr>
        <w:spacing w:after="0" w:line="240" w:lineRule="auto"/>
        <w:jc w:val="center"/>
        <w:rPr>
          <w:rFonts w:ascii="Times New Roman" w:hAnsi="Times New Roman"/>
          <w:color w:val="FF0000"/>
          <w:lang w:val="en-US"/>
        </w:rPr>
      </w:pPr>
      <w:r w:rsidRPr="002D518D">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08"/>
        <w:gridCol w:w="1860"/>
        <w:gridCol w:w="7530"/>
        <w:gridCol w:w="141"/>
      </w:tblGrid>
      <w:tr w:rsidR="0075247C" w:rsidRPr="002D518D" w:rsidTr="004F1CA8">
        <w:trPr>
          <w:trHeight w:val="1321"/>
          <w:jc w:val="center"/>
        </w:trPr>
        <w:tc>
          <w:tcPr>
            <w:tcW w:w="1968" w:type="dxa"/>
            <w:gridSpan w:val="2"/>
            <w:tcBorders>
              <w:bottom w:val="single" w:sz="4" w:space="0" w:color="7E7E7E"/>
            </w:tcBorders>
            <w:shd w:val="clear" w:color="auto" w:fill="D8D8D8"/>
            <w:vAlign w:val="center"/>
          </w:tcPr>
          <w:p w:rsidR="0075247C" w:rsidRPr="002D518D" w:rsidRDefault="002D518D"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2D518D">
              <w:rPr>
                <w:rFonts w:ascii="Times New Roman" w:hAnsi="Times New Roman"/>
                <w:b/>
                <w:bCs/>
                <w:noProof/>
                <w:lang w:val="en-ID" w:eastAsia="en-ID"/>
              </w:rPr>
              <w:drawing>
                <wp:inline distT="0" distB="0" distL="0" distR="0">
                  <wp:extent cx="1112520" cy="88392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883920"/>
                          </a:xfrm>
                          <a:prstGeom prst="rect">
                            <a:avLst/>
                          </a:prstGeom>
                          <a:noFill/>
                          <a:ln>
                            <a:noFill/>
                          </a:ln>
                        </pic:spPr>
                      </pic:pic>
                    </a:graphicData>
                  </a:graphic>
                </wp:inline>
              </w:drawing>
            </w:r>
          </w:p>
        </w:tc>
        <w:tc>
          <w:tcPr>
            <w:tcW w:w="7671" w:type="dxa"/>
            <w:gridSpan w:val="2"/>
            <w:tcBorders>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2D518D">
              <w:rPr>
                <w:rFonts w:ascii="Times New Roman" w:eastAsia="Calibri" w:hAnsi="Times New Roman"/>
                <w:bCs/>
                <w:i/>
                <w:color w:val="1F497D"/>
                <w:sz w:val="66"/>
                <w:szCs w:val="66"/>
                <w:lang w:val="en-US"/>
              </w:rPr>
              <w:t>METEOR STIP MARUNDA</w:t>
            </w:r>
          </w:p>
        </w:tc>
      </w:tr>
      <w:tr w:rsidR="0075247C" w:rsidRPr="002D518D" w:rsidTr="004F1CA8">
        <w:trPr>
          <w:trHeight w:val="273"/>
          <w:jc w:val="center"/>
        </w:trPr>
        <w:tc>
          <w:tcPr>
            <w:tcW w:w="1968" w:type="dxa"/>
            <w:gridSpan w:val="2"/>
            <w:tcBorders>
              <w:top w:val="single" w:sz="4" w:space="0" w:color="7E7E7E"/>
              <w:bottom w:val="single" w:sz="4" w:space="0" w:color="7E7E7E"/>
            </w:tcBorders>
            <w:shd w:val="clear" w:color="auto" w:fill="D8D8D8"/>
          </w:tcPr>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2D518D">
              <w:rPr>
                <w:rFonts w:ascii="Times New Roman" w:hAnsi="Times New Roman"/>
                <w:bCs/>
                <w:sz w:val="16"/>
                <w:szCs w:val="16"/>
                <w:lang w:val="en-US" w:eastAsia="id-ID"/>
              </w:rPr>
              <w:t>p</w:t>
            </w:r>
            <w:r w:rsidRPr="002D518D">
              <w:rPr>
                <w:rFonts w:ascii="Times New Roman" w:hAnsi="Times New Roman"/>
                <w:bCs/>
                <w:sz w:val="16"/>
                <w:szCs w:val="16"/>
                <w:lang w:eastAsia="id-ID"/>
              </w:rPr>
              <w:t>ISSN</w:t>
            </w:r>
            <w:r w:rsidRPr="002D518D">
              <w:rPr>
                <w:rFonts w:ascii="Times New Roman" w:hAnsi="Times New Roman"/>
                <w:bCs/>
                <w:sz w:val="16"/>
                <w:szCs w:val="16"/>
                <w:lang w:val="en-US" w:eastAsia="id-ID"/>
              </w:rPr>
              <w:t xml:space="preserve">  </w:t>
            </w:r>
            <w:r w:rsidRPr="002D518D">
              <w:rPr>
                <w:rFonts w:ascii="Times New Roman" w:hAnsi="Times New Roman"/>
                <w:bCs/>
                <w:sz w:val="16"/>
                <w:szCs w:val="16"/>
                <w:lang w:eastAsia="id-ID"/>
              </w:rPr>
              <w:t xml:space="preserve"> </w:t>
            </w:r>
            <w:r w:rsidRPr="002D518D">
              <w:rPr>
                <w:rFonts w:ascii="Times New Roman" w:hAnsi="Times New Roman"/>
                <w:bCs/>
                <w:sz w:val="16"/>
                <w:szCs w:val="16"/>
                <w:lang w:val="en-US" w:eastAsia="id-ID"/>
              </w:rPr>
              <w:t xml:space="preserve"> </w:t>
            </w:r>
            <w:r w:rsidRPr="002D518D">
              <w:rPr>
                <w:rFonts w:ascii="Times New Roman" w:hAnsi="Times New Roman"/>
                <w:bCs/>
                <w:sz w:val="16"/>
                <w:szCs w:val="16"/>
                <w:lang w:eastAsia="id-ID"/>
              </w:rPr>
              <w:t>: 1</w:t>
            </w:r>
            <w:r w:rsidRPr="002D518D">
              <w:rPr>
                <w:rFonts w:ascii="Times New Roman" w:hAnsi="Times New Roman"/>
                <w:bCs/>
                <w:sz w:val="16"/>
                <w:szCs w:val="16"/>
                <w:lang w:val="en-US" w:eastAsia="id-ID"/>
              </w:rPr>
              <w:t>979 – 4746</w:t>
            </w:r>
          </w:p>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proofErr w:type="spellStart"/>
            <w:r w:rsidRPr="002D518D">
              <w:rPr>
                <w:rFonts w:ascii="Times New Roman" w:hAnsi="Times New Roman"/>
                <w:bCs/>
                <w:sz w:val="16"/>
                <w:szCs w:val="16"/>
                <w:lang w:val="en-US" w:eastAsia="id-ID"/>
              </w:rPr>
              <w:t>eISSN</w:t>
            </w:r>
            <w:proofErr w:type="spellEnd"/>
            <w:r w:rsidRPr="002D518D">
              <w:rPr>
                <w:rFonts w:ascii="Times New Roman" w:hAnsi="Times New Roman"/>
                <w:bCs/>
                <w:sz w:val="16"/>
                <w:szCs w:val="16"/>
                <w:lang w:val="en-US" w:eastAsia="id-ID"/>
              </w:rPr>
              <w:t xml:space="preserve">    :  2685 - 4775</w:t>
            </w:r>
          </w:p>
        </w:tc>
        <w:tc>
          <w:tcPr>
            <w:tcW w:w="7671" w:type="dxa"/>
            <w:gridSpan w:val="2"/>
            <w:tcBorders>
              <w:top w:val="single" w:sz="4" w:space="0" w:color="7E7E7E"/>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2D518D">
              <w:rPr>
                <w:rFonts w:ascii="Times New Roman" w:eastAsia="Calibri" w:hAnsi="Times New Roman"/>
                <w:b/>
                <w:i/>
                <w:color w:val="1F497D"/>
                <w:sz w:val="24"/>
                <w:szCs w:val="24"/>
                <w:lang w:val="en-US"/>
              </w:rPr>
              <w:t>Maritime Institute of Jakarta</w:t>
            </w:r>
          </w:p>
        </w:tc>
      </w:tr>
      <w:bookmarkEnd w:id="0"/>
      <w:tr w:rsidR="0075247C" w:rsidRPr="002D518D" w:rsidTr="004F1CA8">
        <w:tblPrEx>
          <w:jc w:val="left"/>
          <w:tblBorders>
            <w:top w:val="single" w:sz="4" w:space="0" w:color="auto"/>
            <w:bottom w:val="single" w:sz="4" w:space="0" w:color="7E7E7E"/>
            <w:insideH w:val="single" w:sz="4" w:space="0" w:color="7E7E7E"/>
            <w:insideV w:val="single" w:sz="4" w:space="0" w:color="7E7E7E"/>
          </w:tblBorders>
        </w:tblPrEx>
        <w:trPr>
          <w:gridBefore w:val="1"/>
          <w:gridAfter w:val="1"/>
          <w:wBefore w:w="108" w:type="dxa"/>
          <w:wAfter w:w="141" w:type="dxa"/>
        </w:trPr>
        <w:tc>
          <w:tcPr>
            <w:tcW w:w="9390" w:type="dxa"/>
            <w:gridSpan w:val="2"/>
            <w:tcBorders>
              <w:top w:val="single" w:sz="24" w:space="0" w:color="auto"/>
              <w:bottom w:val="single" w:sz="8" w:space="0" w:color="auto"/>
            </w:tcBorders>
            <w:shd w:val="clear" w:color="auto" w:fill="auto"/>
          </w:tcPr>
          <w:p w:rsidR="0075247C" w:rsidRPr="002D518D" w:rsidRDefault="0075247C" w:rsidP="00B621A6">
            <w:pPr>
              <w:autoSpaceDE w:val="0"/>
              <w:autoSpaceDN w:val="0"/>
              <w:adjustRightInd w:val="0"/>
              <w:spacing w:after="0" w:line="240" w:lineRule="auto"/>
              <w:jc w:val="center"/>
              <w:rPr>
                <w:rFonts w:ascii="Times New Roman" w:eastAsia="Calibri" w:hAnsi="Times New Roman"/>
                <w:bCs/>
              </w:rPr>
            </w:pPr>
          </w:p>
          <w:p w:rsidR="005A211F" w:rsidRPr="002D518D" w:rsidRDefault="00EF52DF" w:rsidP="005A211F">
            <w:pPr>
              <w:spacing w:after="0" w:line="240" w:lineRule="auto"/>
              <w:jc w:val="center"/>
              <w:rPr>
                <w:rFonts w:ascii="Times New Roman" w:eastAsia="Calibri" w:hAnsi="Times New Roman"/>
                <w:b/>
                <w:bCs/>
                <w:sz w:val="28"/>
                <w:szCs w:val="28"/>
                <w:lang w:val="en-US"/>
              </w:rPr>
            </w:pPr>
            <w:r w:rsidRPr="00EF52DF">
              <w:rPr>
                <w:rFonts w:ascii="Times New Roman" w:eastAsia="Calibri" w:hAnsi="Times New Roman"/>
                <w:b/>
                <w:bCs/>
                <w:sz w:val="28"/>
                <w:szCs w:val="28"/>
                <w:lang w:val="en-US"/>
              </w:rPr>
              <w:t>Effectiveness Analysis of Indonesia's Port State Control Inspection Under Tokyo MOU: A Mixed-Methods Approach</w:t>
            </w:r>
          </w:p>
          <w:p w:rsidR="0075247C" w:rsidRPr="00EF52DF" w:rsidRDefault="0075247C" w:rsidP="00B621A6">
            <w:pPr>
              <w:autoSpaceDE w:val="0"/>
              <w:autoSpaceDN w:val="0"/>
              <w:adjustRightInd w:val="0"/>
              <w:spacing w:after="0" w:line="240" w:lineRule="auto"/>
              <w:jc w:val="center"/>
              <w:rPr>
                <w:rFonts w:ascii="Times New Roman" w:eastAsia="Calibri" w:hAnsi="Times New Roman"/>
                <w:b/>
              </w:rPr>
            </w:pPr>
          </w:p>
          <w:p w:rsidR="005A211F" w:rsidRPr="00EF52DF" w:rsidRDefault="005A211F" w:rsidP="00B621A6">
            <w:pPr>
              <w:autoSpaceDE w:val="0"/>
              <w:autoSpaceDN w:val="0"/>
              <w:adjustRightInd w:val="0"/>
              <w:spacing w:after="0" w:line="240" w:lineRule="auto"/>
              <w:jc w:val="center"/>
              <w:rPr>
                <w:rFonts w:ascii="Times New Roman" w:eastAsia="Calibri" w:hAnsi="Times New Roman"/>
                <w:i/>
                <w:iCs/>
                <w:lang w:val="en-US"/>
              </w:rPr>
            </w:pPr>
            <w:r w:rsidRPr="00EF52DF">
              <w:rPr>
                <w:rFonts w:ascii="Times New Roman" w:eastAsia="Calibri" w:hAnsi="Times New Roman"/>
                <w:i/>
                <w:iCs/>
                <w:vertAlign w:val="superscript"/>
                <w:lang w:val="en-US"/>
              </w:rPr>
              <w:t>1</w:t>
            </w:r>
            <w:r w:rsidR="00EF52DF" w:rsidRPr="00EF52DF">
              <w:rPr>
                <w:rFonts w:ascii="Times New Roman" w:eastAsia="Calibri" w:hAnsi="Times New Roman"/>
                <w:i/>
                <w:iCs/>
                <w:vertAlign w:val="superscript"/>
                <w:lang w:val="en-US"/>
              </w:rPr>
              <w:t>*</w:t>
            </w:r>
            <w:r w:rsidR="00EF52DF" w:rsidRPr="00EF52DF">
              <w:rPr>
                <w:i/>
                <w:iCs/>
              </w:rPr>
              <w:t xml:space="preserve"> </w:t>
            </w:r>
            <w:r w:rsidR="00EF52DF" w:rsidRPr="00EF52DF">
              <w:rPr>
                <w:rFonts w:ascii="Times New Roman" w:eastAsia="Calibri" w:hAnsi="Times New Roman"/>
                <w:i/>
                <w:iCs/>
              </w:rPr>
              <w:t>Femmy Sofie Schouten</w:t>
            </w:r>
            <w:r w:rsidR="0075247C" w:rsidRPr="00EF52DF">
              <w:rPr>
                <w:rFonts w:ascii="Times New Roman" w:eastAsia="Calibri" w:hAnsi="Times New Roman"/>
                <w:i/>
                <w:iCs/>
                <w:lang w:val="en-US"/>
              </w:rPr>
              <w:t>,</w:t>
            </w:r>
            <w:r w:rsidRPr="00EF52DF">
              <w:rPr>
                <w:rFonts w:ascii="Times New Roman" w:eastAsia="Calibri" w:hAnsi="Times New Roman"/>
                <w:i/>
                <w:iCs/>
                <w:vertAlign w:val="superscript"/>
              </w:rPr>
              <w:t>1</w:t>
            </w:r>
            <w:r w:rsidR="00EF52DF" w:rsidRPr="00EF52DF">
              <w:rPr>
                <w:i/>
                <w:iCs/>
              </w:rPr>
              <w:t xml:space="preserve"> </w:t>
            </w:r>
            <w:r w:rsidR="00EF52DF" w:rsidRPr="00EF52DF">
              <w:rPr>
                <w:rFonts w:ascii="Times New Roman" w:eastAsia="Calibri" w:hAnsi="Times New Roman"/>
                <w:i/>
                <w:iCs/>
                <w:lang w:val="en-US"/>
              </w:rPr>
              <w:t xml:space="preserve">M. Adil </w:t>
            </w:r>
            <w:proofErr w:type="spellStart"/>
            <w:r w:rsidR="00EF52DF" w:rsidRPr="00EF52DF">
              <w:rPr>
                <w:rFonts w:ascii="Times New Roman" w:eastAsia="Calibri" w:hAnsi="Times New Roman"/>
                <w:i/>
                <w:iCs/>
                <w:lang w:val="en-US"/>
              </w:rPr>
              <w:t>Wanadi</w:t>
            </w:r>
            <w:proofErr w:type="spellEnd"/>
            <w:r w:rsidR="0075247C" w:rsidRPr="00EF52DF">
              <w:rPr>
                <w:rFonts w:ascii="Times New Roman" w:eastAsia="Calibri" w:hAnsi="Times New Roman"/>
                <w:i/>
                <w:iCs/>
                <w:lang w:val="en-US"/>
              </w:rPr>
              <w:t xml:space="preserve">, </w:t>
            </w:r>
            <w:r w:rsidRPr="00EF52DF">
              <w:rPr>
                <w:rFonts w:ascii="Times New Roman" w:eastAsia="Calibri" w:hAnsi="Times New Roman"/>
                <w:i/>
                <w:iCs/>
                <w:vertAlign w:val="superscript"/>
                <w:lang w:val="en-US"/>
              </w:rPr>
              <w:t>1</w:t>
            </w:r>
            <w:r w:rsidR="00EF52DF" w:rsidRPr="00EF52DF">
              <w:rPr>
                <w:i/>
                <w:iCs/>
              </w:rPr>
              <w:t xml:space="preserve"> </w:t>
            </w:r>
            <w:r w:rsidR="00EF52DF" w:rsidRPr="00EF52DF">
              <w:rPr>
                <w:rFonts w:ascii="Times New Roman" w:eastAsia="Calibri" w:hAnsi="Times New Roman"/>
                <w:i/>
                <w:iCs/>
              </w:rPr>
              <w:t>Wisnu Wardana Kusuma</w:t>
            </w:r>
            <w:r w:rsidRPr="00EF52DF">
              <w:rPr>
                <w:rFonts w:ascii="Times New Roman" w:eastAsia="Calibri" w:hAnsi="Times New Roman"/>
                <w:i/>
                <w:iCs/>
                <w:lang w:val="en-US"/>
              </w:rPr>
              <w:t>,</w:t>
            </w:r>
            <w:r w:rsidRPr="00EF52DF">
              <w:rPr>
                <w:rFonts w:ascii="Times New Roman" w:eastAsia="Calibri" w:hAnsi="Times New Roman"/>
                <w:i/>
                <w:iCs/>
                <w:vertAlign w:val="superscript"/>
              </w:rPr>
              <w:t>1</w:t>
            </w:r>
            <w:r w:rsidR="00EF52DF" w:rsidRPr="00EF52DF">
              <w:rPr>
                <w:i/>
                <w:iCs/>
              </w:rPr>
              <w:t xml:space="preserve"> </w:t>
            </w:r>
            <w:r w:rsidR="00EF52DF" w:rsidRPr="00EF52DF">
              <w:rPr>
                <w:rFonts w:ascii="Times New Roman" w:eastAsia="Calibri" w:hAnsi="Times New Roman"/>
                <w:i/>
                <w:iCs/>
                <w:lang w:val="en-US"/>
              </w:rPr>
              <w:t xml:space="preserve">Agus </w:t>
            </w:r>
            <w:proofErr w:type="spellStart"/>
            <w:r w:rsidR="00EF52DF" w:rsidRPr="00EF52DF">
              <w:rPr>
                <w:rFonts w:ascii="Times New Roman" w:eastAsia="Calibri" w:hAnsi="Times New Roman"/>
                <w:i/>
                <w:iCs/>
                <w:lang w:val="en-US"/>
              </w:rPr>
              <w:t>Pramono</w:t>
            </w:r>
            <w:proofErr w:type="spellEnd"/>
            <w:r w:rsidRPr="00EF52DF">
              <w:rPr>
                <w:rFonts w:ascii="Times New Roman" w:eastAsia="Calibri" w:hAnsi="Times New Roman"/>
                <w:i/>
                <w:iCs/>
                <w:lang w:val="en-US"/>
              </w:rPr>
              <w:t>,</w:t>
            </w:r>
          </w:p>
          <w:p w:rsidR="0075247C" w:rsidRPr="00EF52DF" w:rsidRDefault="005A211F" w:rsidP="00B621A6">
            <w:pPr>
              <w:autoSpaceDE w:val="0"/>
              <w:autoSpaceDN w:val="0"/>
              <w:adjustRightInd w:val="0"/>
              <w:spacing w:after="0" w:line="240" w:lineRule="auto"/>
              <w:jc w:val="center"/>
              <w:rPr>
                <w:rFonts w:ascii="Times New Roman" w:eastAsia="Calibri" w:hAnsi="Times New Roman"/>
                <w:i/>
                <w:iCs/>
                <w:lang w:val="en-US"/>
              </w:rPr>
            </w:pPr>
            <w:r w:rsidRPr="00EF52DF">
              <w:rPr>
                <w:rFonts w:ascii="Times New Roman" w:eastAsia="Calibri" w:hAnsi="Times New Roman"/>
                <w:i/>
                <w:iCs/>
                <w:lang w:val="en-US"/>
              </w:rPr>
              <w:t xml:space="preserve"> </w:t>
            </w:r>
            <w:r w:rsidRPr="00EF52DF">
              <w:rPr>
                <w:rFonts w:ascii="Times New Roman" w:eastAsia="Calibri" w:hAnsi="Times New Roman"/>
                <w:i/>
                <w:iCs/>
                <w:vertAlign w:val="superscript"/>
              </w:rPr>
              <w:t>1</w:t>
            </w:r>
            <w:r w:rsidRPr="00EF52DF">
              <w:rPr>
                <w:rFonts w:ascii="Times New Roman" w:hAnsi="Times New Roman"/>
                <w:i/>
                <w:iCs/>
              </w:rPr>
              <w:t xml:space="preserve"> </w:t>
            </w:r>
            <w:proofErr w:type="spellStart"/>
            <w:r w:rsidR="00EF52DF" w:rsidRPr="00EF52DF">
              <w:rPr>
                <w:rFonts w:ascii="Times New Roman" w:eastAsia="Calibri" w:hAnsi="Times New Roman"/>
                <w:i/>
                <w:iCs/>
                <w:lang w:val="en-US"/>
              </w:rPr>
              <w:t>Dandun</w:t>
            </w:r>
            <w:proofErr w:type="spellEnd"/>
            <w:r w:rsidR="00EF52DF" w:rsidRPr="00EF52DF">
              <w:rPr>
                <w:rFonts w:ascii="Times New Roman" w:eastAsia="Calibri" w:hAnsi="Times New Roman"/>
                <w:i/>
                <w:iCs/>
                <w:lang w:val="en-US"/>
              </w:rPr>
              <w:t xml:space="preserve"> </w:t>
            </w:r>
            <w:proofErr w:type="spellStart"/>
            <w:r w:rsidR="00EF52DF" w:rsidRPr="00EF52DF">
              <w:rPr>
                <w:rFonts w:ascii="Times New Roman" w:eastAsia="Calibri" w:hAnsi="Times New Roman"/>
                <w:i/>
                <w:iCs/>
                <w:lang w:val="en-US"/>
              </w:rPr>
              <w:t>Prakosa</w:t>
            </w:r>
            <w:proofErr w:type="spellEnd"/>
            <w:r w:rsidRPr="00EF52DF">
              <w:rPr>
                <w:rFonts w:ascii="Times New Roman" w:eastAsia="Calibri" w:hAnsi="Times New Roman"/>
                <w:i/>
                <w:iCs/>
                <w:lang w:val="en-US"/>
              </w:rPr>
              <w:t>,</w:t>
            </w:r>
            <w:r w:rsidRPr="00EF52DF">
              <w:rPr>
                <w:rFonts w:ascii="Times New Roman" w:eastAsia="Calibri" w:hAnsi="Times New Roman"/>
                <w:i/>
                <w:iCs/>
                <w:vertAlign w:val="superscript"/>
              </w:rPr>
              <w:t xml:space="preserve"> 1</w:t>
            </w:r>
            <w:r w:rsidRPr="00EF52DF">
              <w:rPr>
                <w:rFonts w:ascii="Times New Roman" w:hAnsi="Times New Roman"/>
                <w:i/>
                <w:iCs/>
              </w:rPr>
              <w:t xml:space="preserve"> </w:t>
            </w:r>
            <w:r w:rsidR="00EF52DF" w:rsidRPr="00EF52DF">
              <w:rPr>
                <w:rFonts w:ascii="Times New Roman" w:eastAsia="Calibri" w:hAnsi="Times New Roman"/>
                <w:i/>
                <w:iCs/>
                <w:lang w:val="en-US"/>
              </w:rPr>
              <w:t xml:space="preserve">Rio </w:t>
            </w:r>
            <w:proofErr w:type="spellStart"/>
            <w:r w:rsidR="00EF52DF" w:rsidRPr="00EF52DF">
              <w:rPr>
                <w:rFonts w:ascii="Times New Roman" w:eastAsia="Calibri" w:hAnsi="Times New Roman"/>
                <w:i/>
                <w:iCs/>
                <w:lang w:val="en-US"/>
              </w:rPr>
              <w:t>Laksamana</w:t>
            </w:r>
            <w:proofErr w:type="spellEnd"/>
          </w:p>
          <w:p w:rsidR="005A211F" w:rsidRPr="00EF52DF" w:rsidRDefault="005A211F" w:rsidP="00B621A6">
            <w:pPr>
              <w:autoSpaceDE w:val="0"/>
              <w:autoSpaceDN w:val="0"/>
              <w:adjustRightInd w:val="0"/>
              <w:spacing w:after="0" w:line="240" w:lineRule="auto"/>
              <w:jc w:val="center"/>
              <w:rPr>
                <w:rFonts w:ascii="Times New Roman" w:eastAsia="Calibri" w:hAnsi="Times New Roman"/>
                <w:i/>
                <w:iCs/>
                <w:vertAlign w:val="superscript"/>
                <w:lang w:val="en-US"/>
              </w:rPr>
            </w:pPr>
          </w:p>
          <w:p w:rsidR="000C4333" w:rsidRPr="00EF52DF" w:rsidRDefault="0075247C" w:rsidP="00B621A6">
            <w:pPr>
              <w:autoSpaceDE w:val="0"/>
              <w:autoSpaceDN w:val="0"/>
              <w:adjustRightInd w:val="0"/>
              <w:spacing w:after="0" w:line="240" w:lineRule="auto"/>
              <w:jc w:val="center"/>
              <w:rPr>
                <w:rFonts w:ascii="Times New Roman" w:eastAsia="Calibri" w:hAnsi="Times New Roman"/>
                <w:i/>
                <w:iCs/>
                <w:lang w:val="en-US"/>
              </w:rPr>
            </w:pPr>
            <w:r w:rsidRPr="00EF52DF">
              <w:rPr>
                <w:rFonts w:ascii="Times New Roman" w:eastAsia="Calibri" w:hAnsi="Times New Roman"/>
                <w:i/>
                <w:iCs/>
                <w:vertAlign w:val="superscript"/>
                <w:lang w:val="en-US"/>
              </w:rPr>
              <w:t>1</w:t>
            </w:r>
            <w:r w:rsidR="00EF52DF" w:rsidRPr="00EF52DF">
              <w:rPr>
                <w:rFonts w:ascii="Times New Roman" w:eastAsia="Calibri" w:hAnsi="Times New Roman"/>
                <w:i/>
                <w:iCs/>
                <w:lang w:val="en-US"/>
              </w:rPr>
              <w:t>Indonesia Land Transportation Polytechnic, Bekasi, Indonesia</w:t>
            </w:r>
          </w:p>
          <w:p w:rsidR="0075247C" w:rsidRPr="00EF52DF" w:rsidRDefault="0075247C" w:rsidP="00B621A6">
            <w:pPr>
              <w:autoSpaceDE w:val="0"/>
              <w:autoSpaceDN w:val="0"/>
              <w:adjustRightInd w:val="0"/>
              <w:spacing w:after="0" w:line="240" w:lineRule="auto"/>
              <w:jc w:val="center"/>
              <w:rPr>
                <w:rFonts w:ascii="Times New Roman" w:hAnsi="Times New Roman"/>
                <w:i/>
                <w:iCs/>
                <w:lang w:val="en-US"/>
              </w:rPr>
            </w:pPr>
          </w:p>
          <w:p w:rsidR="0075247C" w:rsidRPr="002D518D" w:rsidRDefault="00EF52DF" w:rsidP="004F1CA8">
            <w:pPr>
              <w:autoSpaceDE w:val="0"/>
              <w:autoSpaceDN w:val="0"/>
              <w:adjustRightInd w:val="0"/>
              <w:spacing w:after="0" w:line="240" w:lineRule="auto"/>
              <w:jc w:val="center"/>
              <w:rPr>
                <w:rFonts w:ascii="Times New Roman" w:hAnsi="Times New Roman"/>
                <w:bCs/>
                <w:i/>
                <w:iCs/>
                <w:color w:val="000000"/>
              </w:rPr>
            </w:pPr>
            <w:r w:rsidRPr="00EF52DF">
              <w:rPr>
                <w:rFonts w:ascii="Times New Roman" w:hAnsi="Times New Roman"/>
                <w:bCs/>
                <w:i/>
                <w:iCs/>
                <w:lang w:val="en-US"/>
              </w:rPr>
              <w:t>*</w:t>
            </w:r>
            <w:r w:rsidR="0075247C" w:rsidRPr="00EF52DF">
              <w:rPr>
                <w:rFonts w:ascii="Times New Roman" w:hAnsi="Times New Roman"/>
                <w:bCs/>
                <w:i/>
                <w:iCs/>
                <w:lang w:val="en-US"/>
              </w:rPr>
              <w:t xml:space="preserve">email: </w:t>
            </w:r>
            <w:hyperlink r:id="rId9" w:history="1">
              <w:r w:rsidRPr="00EF52DF">
                <w:rPr>
                  <w:rStyle w:val="Hyperlink"/>
                  <w:rFonts w:ascii="Times New Roman" w:hAnsi="Times New Roman"/>
                  <w:bCs/>
                  <w:i/>
                  <w:iCs/>
                  <w:lang w:val="en-US"/>
                </w:rPr>
                <w:t>femmy.schouten@ptdisttd.ac.id</w:t>
              </w:r>
            </w:hyperlink>
            <w:r w:rsidRPr="00EF52DF">
              <w:rPr>
                <w:rFonts w:ascii="Times New Roman" w:hAnsi="Times New Roman"/>
                <w:bCs/>
                <w:i/>
                <w:iCs/>
                <w:lang w:val="en-US"/>
              </w:rPr>
              <w:t xml:space="preserve"> </w:t>
            </w:r>
          </w:p>
        </w:tc>
      </w:tr>
      <w:tr w:rsidR="0075247C" w:rsidRPr="002D518D" w:rsidTr="004F1CA8">
        <w:tblPrEx>
          <w:jc w:val="left"/>
          <w:tblBorders>
            <w:top w:val="single" w:sz="4" w:space="0" w:color="auto"/>
            <w:bottom w:val="single" w:sz="4" w:space="0" w:color="7E7E7E"/>
            <w:insideH w:val="single" w:sz="4" w:space="0" w:color="7E7E7E"/>
            <w:insideV w:val="single" w:sz="4" w:space="0" w:color="7E7E7E"/>
          </w:tblBorders>
        </w:tblPrEx>
        <w:trPr>
          <w:gridBefore w:val="1"/>
          <w:gridAfter w:val="1"/>
          <w:wBefore w:w="108" w:type="dxa"/>
          <w:wAfter w:w="141" w:type="dxa"/>
        </w:trPr>
        <w:tc>
          <w:tcPr>
            <w:tcW w:w="9390" w:type="dxa"/>
            <w:gridSpan w:val="2"/>
            <w:tcBorders>
              <w:top w:val="single" w:sz="8" w:space="0" w:color="auto"/>
              <w:bottom w:val="single" w:sz="8" w:space="0" w:color="auto"/>
            </w:tcBorders>
            <w:shd w:val="clear" w:color="auto" w:fill="auto"/>
          </w:tcPr>
          <w:p w:rsidR="0075247C" w:rsidRPr="002D518D" w:rsidRDefault="0075247C" w:rsidP="00951562">
            <w:pPr>
              <w:autoSpaceDE w:val="0"/>
              <w:autoSpaceDN w:val="0"/>
              <w:adjustRightInd w:val="0"/>
              <w:spacing w:after="0" w:line="240" w:lineRule="auto"/>
              <w:rPr>
                <w:rFonts w:ascii="Times New Roman" w:eastAsia="Calibri" w:hAnsi="Times New Roman"/>
                <w:bCs/>
              </w:rPr>
            </w:pPr>
          </w:p>
          <w:p w:rsidR="0075247C" w:rsidRPr="002D518D" w:rsidRDefault="0075247C" w:rsidP="00951562">
            <w:pPr>
              <w:rPr>
                <w:rFonts w:ascii="Times New Roman" w:hAnsi="Times New Roman"/>
                <w:bCs/>
                <w:color w:val="000000"/>
                <w:sz w:val="20"/>
                <w:szCs w:val="20"/>
              </w:rPr>
            </w:pPr>
            <w:r w:rsidRPr="00951562">
              <w:rPr>
                <w:rFonts w:ascii="Times New Roman" w:hAnsi="Times New Roman"/>
                <w:b/>
                <w:i/>
                <w:iCs/>
                <w:color w:val="000000"/>
                <w:lang w:val="en-US"/>
              </w:rPr>
              <w:t xml:space="preserve">Submitted </w:t>
            </w:r>
            <w:r w:rsidRPr="002D518D">
              <w:rPr>
                <w:rFonts w:ascii="Times New Roman" w:hAnsi="Times New Roman"/>
                <w:bCs/>
                <w:color w:val="000000"/>
                <w:lang w:val="en-US"/>
              </w:rPr>
              <w:t xml:space="preserve">: </w:t>
            </w:r>
            <w:r w:rsidR="00CB3908">
              <w:rPr>
                <w:rFonts w:ascii="Times New Roman" w:hAnsi="Times New Roman"/>
                <w:bCs/>
                <w:color w:val="000000"/>
              </w:rPr>
              <w:t>20</w:t>
            </w:r>
            <w:r w:rsidR="00B621A6" w:rsidRPr="002D518D">
              <w:rPr>
                <w:rFonts w:ascii="Times New Roman" w:hAnsi="Times New Roman"/>
                <w:bCs/>
                <w:color w:val="000000"/>
                <w:lang w:val="en-US"/>
              </w:rPr>
              <w:t>/</w:t>
            </w:r>
            <w:r w:rsidR="007119B1">
              <w:rPr>
                <w:rFonts w:ascii="Times New Roman" w:hAnsi="Times New Roman"/>
                <w:bCs/>
                <w:color w:val="000000"/>
              </w:rPr>
              <w:t>01</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r w:rsidRPr="002D518D">
              <w:rPr>
                <w:rFonts w:ascii="Times New Roman" w:hAnsi="Times New Roman"/>
                <w:bCs/>
                <w:color w:val="000000"/>
                <w:lang w:val="en-US"/>
              </w:rPr>
              <w:t xml:space="preserve">    </w:t>
            </w:r>
            <w:r w:rsidR="00B621A6" w:rsidRPr="00951562">
              <w:rPr>
                <w:rFonts w:ascii="Times New Roman" w:hAnsi="Times New Roman"/>
                <w:b/>
                <w:i/>
                <w:iCs/>
                <w:color w:val="000000"/>
                <w:lang w:val="en-US"/>
              </w:rPr>
              <w:t>R</w:t>
            </w:r>
            <w:r w:rsidRPr="00951562">
              <w:rPr>
                <w:rFonts w:ascii="Times New Roman" w:hAnsi="Times New Roman"/>
                <w:b/>
                <w:i/>
                <w:iCs/>
                <w:color w:val="000000"/>
                <w:lang w:val="en-US"/>
              </w:rPr>
              <w:t>evised</w:t>
            </w:r>
            <w:r w:rsidRPr="002D518D">
              <w:rPr>
                <w:rFonts w:ascii="Times New Roman" w:hAnsi="Times New Roman"/>
                <w:bCs/>
                <w:color w:val="000000"/>
                <w:lang w:val="en-US"/>
              </w:rPr>
              <w:t xml:space="preserve"> :</w:t>
            </w:r>
            <w:r w:rsidR="00B621A6" w:rsidRPr="002D518D">
              <w:rPr>
                <w:rFonts w:ascii="Times New Roman" w:hAnsi="Times New Roman"/>
                <w:bCs/>
                <w:color w:val="000000"/>
                <w:lang w:val="en-US"/>
              </w:rPr>
              <w:t xml:space="preserve"> </w:t>
            </w:r>
            <w:r w:rsidR="00CB3908">
              <w:rPr>
                <w:rFonts w:ascii="Times New Roman" w:hAnsi="Times New Roman"/>
                <w:bCs/>
                <w:color w:val="000000"/>
              </w:rPr>
              <w:t>0</w:t>
            </w:r>
            <w:r w:rsidR="00951562">
              <w:rPr>
                <w:rFonts w:ascii="Times New Roman" w:hAnsi="Times New Roman"/>
                <w:bCs/>
                <w:color w:val="000000"/>
              </w:rPr>
              <w:t>7</w:t>
            </w:r>
            <w:r w:rsidR="00B621A6" w:rsidRPr="002D518D">
              <w:rPr>
                <w:rFonts w:ascii="Times New Roman" w:hAnsi="Times New Roman"/>
                <w:bCs/>
                <w:color w:val="000000"/>
                <w:lang w:val="en-US"/>
              </w:rPr>
              <w:t>/</w:t>
            </w:r>
            <w:r w:rsidR="00951562">
              <w:rPr>
                <w:rFonts w:ascii="Times New Roman" w:hAnsi="Times New Roman"/>
                <w:bCs/>
                <w:color w:val="000000"/>
              </w:rPr>
              <w:t>02</w:t>
            </w:r>
            <w:r w:rsidR="00B621A6" w:rsidRPr="002D518D">
              <w:rPr>
                <w:rFonts w:ascii="Times New Roman" w:hAnsi="Times New Roman"/>
                <w:bCs/>
                <w:color w:val="000000"/>
                <w:lang w:val="en-US"/>
              </w:rPr>
              <w:t>/202</w:t>
            </w:r>
            <w:r w:rsidR="00951562">
              <w:rPr>
                <w:rFonts w:ascii="Times New Roman" w:hAnsi="Times New Roman"/>
                <w:bCs/>
                <w:color w:val="000000"/>
                <w:lang w:val="en-US"/>
              </w:rPr>
              <w:t>5</w:t>
            </w:r>
            <w:r w:rsidRPr="002D518D">
              <w:rPr>
                <w:rFonts w:ascii="Times New Roman" w:hAnsi="Times New Roman"/>
                <w:bCs/>
                <w:color w:val="000000"/>
                <w:lang w:val="en-US"/>
              </w:rPr>
              <w:t xml:space="preserve">    </w:t>
            </w:r>
            <w:r w:rsidR="00951562">
              <w:rPr>
                <w:rFonts w:ascii="Times New Roman" w:hAnsi="Times New Roman"/>
                <w:bCs/>
                <w:color w:val="000000"/>
                <w:lang w:val="en-US"/>
              </w:rPr>
              <w:t xml:space="preserve">  </w:t>
            </w:r>
            <w:r w:rsidRPr="00951562">
              <w:rPr>
                <w:rFonts w:ascii="Times New Roman" w:hAnsi="Times New Roman"/>
                <w:b/>
                <w:i/>
                <w:iCs/>
                <w:color w:val="000000"/>
                <w:lang w:val="en-US"/>
              </w:rPr>
              <w:t>Accepted</w:t>
            </w:r>
            <w:r w:rsidR="00B621A6" w:rsidRPr="002D518D">
              <w:rPr>
                <w:rFonts w:ascii="Times New Roman" w:hAnsi="Times New Roman"/>
                <w:bCs/>
                <w:color w:val="000000"/>
                <w:lang w:val="en-US"/>
              </w:rPr>
              <w:t xml:space="preserve"> </w:t>
            </w:r>
            <w:r w:rsidRPr="002D518D">
              <w:rPr>
                <w:rFonts w:ascii="Times New Roman" w:hAnsi="Times New Roman"/>
                <w:bCs/>
                <w:color w:val="000000"/>
                <w:lang w:val="en-US"/>
              </w:rPr>
              <w:t xml:space="preserve">: </w:t>
            </w:r>
            <w:r w:rsidR="00951562">
              <w:rPr>
                <w:rFonts w:ascii="Times New Roman" w:hAnsi="Times New Roman"/>
                <w:bCs/>
                <w:color w:val="000000"/>
                <w:lang w:val="en-US"/>
              </w:rPr>
              <w:t>07</w:t>
            </w:r>
            <w:r w:rsidR="00B621A6" w:rsidRPr="002D518D">
              <w:rPr>
                <w:rFonts w:ascii="Times New Roman" w:hAnsi="Times New Roman"/>
                <w:bCs/>
                <w:color w:val="000000"/>
                <w:lang w:val="en-US"/>
              </w:rPr>
              <w:t>/</w:t>
            </w:r>
            <w:r w:rsidR="00951562">
              <w:rPr>
                <w:rFonts w:ascii="Times New Roman" w:hAnsi="Times New Roman"/>
                <w:bCs/>
                <w:color w:val="000000"/>
              </w:rPr>
              <w:t>06</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r w:rsidR="00951562" w:rsidRPr="00951562">
              <w:rPr>
                <w:rFonts w:ascii="Times New Roman" w:hAnsi="Times New Roman"/>
                <w:b/>
                <w:i/>
                <w:iCs/>
                <w:color w:val="000000"/>
                <w:lang w:val="en-US"/>
              </w:rPr>
              <w:t>Published</w:t>
            </w:r>
            <w:r w:rsidR="00951562" w:rsidRPr="00951562">
              <w:rPr>
                <w:rFonts w:ascii="Times New Roman" w:hAnsi="Times New Roman"/>
                <w:b/>
                <w:color w:val="000000"/>
                <w:lang w:val="en-US"/>
              </w:rPr>
              <w:t xml:space="preserve"> </w:t>
            </w:r>
            <w:r w:rsidR="00951562" w:rsidRPr="00951562">
              <w:rPr>
                <w:rFonts w:ascii="Times New Roman" w:hAnsi="Times New Roman"/>
                <w:bCs/>
                <w:color w:val="000000"/>
                <w:lang w:val="en-US"/>
              </w:rPr>
              <w:t xml:space="preserve">: </w:t>
            </w:r>
            <w:r w:rsidR="004F1CA8">
              <w:rPr>
                <w:rFonts w:ascii="Times New Roman" w:hAnsi="Times New Roman"/>
                <w:bCs/>
                <w:color w:val="000000"/>
                <w:lang w:val="en-US"/>
              </w:rPr>
              <w:t>30</w:t>
            </w:r>
            <w:r w:rsidR="00951562" w:rsidRPr="00951562">
              <w:rPr>
                <w:rFonts w:ascii="Times New Roman" w:hAnsi="Times New Roman"/>
                <w:bCs/>
                <w:color w:val="000000"/>
                <w:lang w:val="en-US"/>
              </w:rPr>
              <w:t>/</w:t>
            </w:r>
            <w:r w:rsidR="00951562">
              <w:rPr>
                <w:rFonts w:ascii="Times New Roman" w:hAnsi="Times New Roman"/>
                <w:bCs/>
                <w:color w:val="000000"/>
                <w:lang w:val="en-US"/>
              </w:rPr>
              <w:t>06</w:t>
            </w:r>
            <w:r w:rsidR="00951562" w:rsidRPr="00951562">
              <w:rPr>
                <w:rFonts w:ascii="Times New Roman" w:hAnsi="Times New Roman"/>
                <w:bCs/>
                <w:color w:val="000000"/>
                <w:lang w:val="en-US"/>
              </w:rPr>
              <w:t>/202</w:t>
            </w:r>
            <w:r w:rsidR="00951562">
              <w:rPr>
                <w:rFonts w:ascii="Times New Roman" w:hAnsi="Times New Roman"/>
                <w:bCs/>
                <w:color w:val="000000"/>
                <w:lang w:val="en-US"/>
              </w:rPr>
              <w:t>5</w:t>
            </w:r>
          </w:p>
        </w:tc>
      </w:tr>
    </w:tbl>
    <w:p w:rsidR="0075247C" w:rsidRPr="002D518D" w:rsidRDefault="0075247C" w:rsidP="000C4333">
      <w:pPr>
        <w:pStyle w:val="Heading1"/>
        <w:numPr>
          <w:ilvl w:val="0"/>
          <w:numId w:val="0"/>
        </w:numPr>
        <w:jc w:val="center"/>
        <w:rPr>
          <w:i/>
          <w:lang w:val="en-US"/>
        </w:rPr>
      </w:pPr>
      <w:r w:rsidRPr="002D518D">
        <w:rPr>
          <w:i/>
        </w:rPr>
        <w:t>Abstra</w:t>
      </w:r>
      <w:proofErr w:type="spellStart"/>
      <w:r w:rsidRPr="002D518D">
        <w:rPr>
          <w:i/>
          <w:lang w:val="en-US"/>
        </w:rPr>
        <w:t>ct</w:t>
      </w:r>
      <w:proofErr w:type="spellEnd"/>
    </w:p>
    <w:p w:rsidR="0075247C" w:rsidRPr="002D518D" w:rsidRDefault="00EF52DF">
      <w:pPr>
        <w:jc w:val="both"/>
        <w:rPr>
          <w:rFonts w:ascii="Times New Roman" w:eastAsia="Times New Roman" w:hAnsi="Times New Roman"/>
          <w:i/>
          <w:iCs/>
          <w:lang w:val="zh-CN" w:eastAsia="zh-CN"/>
        </w:rPr>
      </w:pPr>
      <w:r w:rsidRPr="00EF52DF">
        <w:rPr>
          <w:rFonts w:ascii="Times New Roman" w:eastAsia="Times New Roman" w:hAnsi="Times New Roman"/>
          <w:i/>
          <w:iCs/>
          <w:lang w:eastAsia="zh-CN"/>
        </w:rPr>
        <w:t>Port State Control (PSC) is a critical mechanism for ensuring maritime safety, environmental protection, and compliance with international shipping regulations. As a member of the Tokyo Memorandum of Understanding (Tokyo MOU), Indonesia conducts PSC inspections to monitor foreign vessels operating in its waters. This study examines the effectiveness of Indonesia’s PSC inspections under the Tokyo MOU framework, analyzing ship detention trends, common deficiencies, and regulatory enforcement challenges. A mixed-methods approach is employed, combining quantitative analysis of PSC inspection and detention data from recent years with qualitative assessments of inspection procedures and regulatory frameworks. Findings indicate that while Indonesia has improved PSC implementation, challenges persist in inspection consistency and resource limitations. The study highlights the need for enhanced coordination among maritime authorities, improved inspector training, and stricter regulatory compliance to optimize inspection effectiveness. The research concludes that a more rigorous and consistent PSC approach will contribute to safer maritime operations and reduced environmental risks. This study contributes to maritime safety literature by providing insights into PSC implementation in a developing maritime nation, along with policy recommendations to strengthen regulatory practices and advance global maritime safety standards.</w:t>
      </w:r>
    </w:p>
    <w:tbl>
      <w:tblPr>
        <w:tblW w:w="9639"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639"/>
      </w:tblGrid>
      <w:tr w:rsidR="0075247C" w:rsidRPr="002D518D">
        <w:tc>
          <w:tcPr>
            <w:tcW w:w="9639" w:type="dxa"/>
            <w:tcBorders>
              <w:bottom w:val="nil"/>
            </w:tcBorders>
          </w:tcPr>
          <w:p w:rsidR="0075247C" w:rsidRPr="002D518D" w:rsidRDefault="0075247C">
            <w:pPr>
              <w:autoSpaceDE w:val="0"/>
              <w:autoSpaceDN w:val="0"/>
              <w:adjustRightInd w:val="0"/>
              <w:jc w:val="center"/>
              <w:rPr>
                <w:rFonts w:ascii="Times New Roman" w:eastAsia="Calibri" w:hAnsi="Times New Roman"/>
                <w:i/>
                <w:iCs/>
              </w:rPr>
            </w:pPr>
            <w:r w:rsidRPr="002D518D">
              <w:rPr>
                <w:rFonts w:ascii="Times New Roman" w:eastAsia="Calibri" w:hAnsi="Times New Roman"/>
                <w:i/>
                <w:lang w:val="en-US"/>
              </w:rPr>
              <w:t xml:space="preserve">Copyright </w:t>
            </w:r>
            <w:r w:rsidRPr="002D518D">
              <w:rPr>
                <w:rFonts w:ascii="Times New Roman" w:eastAsia="Calibri" w:hAnsi="Times New Roman"/>
                <w:i/>
              </w:rPr>
              <w:t>©202</w:t>
            </w:r>
            <w:r w:rsidR="007119B1">
              <w:rPr>
                <w:rFonts w:ascii="Times New Roman" w:eastAsia="Calibri" w:hAnsi="Times New Roman"/>
                <w:i/>
              </w:rPr>
              <w:t>5</w:t>
            </w:r>
            <w:r w:rsidRPr="002D518D">
              <w:rPr>
                <w:rFonts w:ascii="Times New Roman" w:eastAsia="Calibri" w:hAnsi="Times New Roman"/>
                <w:i/>
                <w:lang w:val="en-US"/>
              </w:rPr>
              <w:t xml:space="preserve">, </w:t>
            </w:r>
            <w:r w:rsidRPr="002D518D">
              <w:rPr>
                <w:rFonts w:ascii="Times New Roman" w:eastAsia="Calibri" w:hAnsi="Times New Roman"/>
                <w:b/>
                <w:bCs/>
                <w:i/>
                <w:lang w:val="en-US"/>
              </w:rPr>
              <w:t>METEOR STIP MARUNDA</w:t>
            </w:r>
            <w:r w:rsidRPr="002D518D">
              <w:rPr>
                <w:rFonts w:ascii="Times New Roman" w:eastAsia="Calibri" w:hAnsi="Times New Roman"/>
                <w:lang w:val="en-US"/>
              </w:rPr>
              <w:t xml:space="preserve">, </w:t>
            </w:r>
            <w:proofErr w:type="spellStart"/>
            <w:r w:rsidRPr="002D518D">
              <w:rPr>
                <w:rFonts w:ascii="Times New Roman" w:eastAsia="Calibri" w:hAnsi="Times New Roman"/>
                <w:i/>
                <w:iCs/>
                <w:lang w:val="en-US"/>
              </w:rPr>
              <w:t>pISSN</w:t>
            </w:r>
            <w:proofErr w:type="spellEnd"/>
            <w:r w:rsidRPr="002D518D">
              <w:rPr>
                <w:rFonts w:ascii="Times New Roman" w:eastAsia="Calibri" w:hAnsi="Times New Roman"/>
                <w:i/>
                <w:iCs/>
                <w:lang w:val="en-US"/>
              </w:rPr>
              <w:t>: 1979-4746</w:t>
            </w:r>
            <w:r w:rsidRPr="002D518D">
              <w:rPr>
                <w:rFonts w:ascii="Times New Roman" w:eastAsia="Calibri" w:hAnsi="Times New Roman"/>
                <w:i/>
                <w:iCs/>
              </w:rPr>
              <w:t>, eISSN: 2685-4775</w:t>
            </w:r>
          </w:p>
        </w:tc>
      </w:tr>
      <w:tr w:rsidR="0075247C" w:rsidRPr="002D518D">
        <w:tc>
          <w:tcPr>
            <w:tcW w:w="9639" w:type="dxa"/>
            <w:tcBorders>
              <w:top w:val="nil"/>
              <w:bottom w:val="nil"/>
            </w:tcBorders>
          </w:tcPr>
          <w:p w:rsidR="00EF52DF" w:rsidRDefault="0075247C" w:rsidP="00B621A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2D518D">
              <w:rPr>
                <w:rFonts w:ascii="Times New Roman" w:eastAsia="Calibri" w:hAnsi="Times New Roman"/>
                <w:b/>
                <w:i/>
              </w:rPr>
              <w:t xml:space="preserve">Keywords: </w:t>
            </w:r>
            <w:r w:rsidR="00EF52DF" w:rsidRPr="00EF52DF">
              <w:rPr>
                <w:rFonts w:ascii="Times New Roman" w:eastAsia="Calibri" w:hAnsi="Times New Roman"/>
                <w:bCs/>
                <w:i/>
              </w:rPr>
              <w:t xml:space="preserve">Port Port State Control (PSC), Tokyo MOU, Maritime safet, </w:t>
            </w:r>
          </w:p>
          <w:p w:rsidR="0075247C" w:rsidRPr="002D518D" w:rsidRDefault="00EF52DF" w:rsidP="00B621A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EF52DF">
              <w:rPr>
                <w:rFonts w:ascii="Times New Roman" w:eastAsia="Calibri" w:hAnsi="Times New Roman"/>
                <w:bCs/>
                <w:i/>
              </w:rPr>
              <w:t>Ship detention, Regulatory compliance</w:t>
            </w:r>
          </w:p>
          <w:p w:rsidR="0075247C" w:rsidRPr="002D518D"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75247C" w:rsidRPr="00EF52DF" w:rsidRDefault="0075247C" w:rsidP="00EF52DF">
      <w:pPr>
        <w:autoSpaceDE w:val="0"/>
        <w:autoSpaceDN w:val="0"/>
        <w:adjustRightInd w:val="0"/>
        <w:spacing w:after="0" w:line="240" w:lineRule="auto"/>
        <w:jc w:val="center"/>
        <w:rPr>
          <w:rFonts w:ascii="Times New Roman" w:hAnsi="Times New Roman"/>
          <w:color w:val="000000"/>
          <w:sz w:val="20"/>
          <w:szCs w:val="20"/>
        </w:rPr>
        <w:sectPr w:rsidR="0075247C" w:rsidRPr="00EF52DF" w:rsidSect="00EF52DF">
          <w:footerReference w:type="default" r:id="rId10"/>
          <w:type w:val="continuous"/>
          <w:pgSz w:w="11906" w:h="16838"/>
          <w:pgMar w:top="1134" w:right="1134" w:bottom="1134" w:left="1134" w:header="709" w:footer="709" w:gutter="0"/>
          <w:pgNumType w:start="36"/>
          <w:cols w:space="720"/>
          <w:docGrid w:linePitch="360"/>
        </w:sectPr>
      </w:pPr>
      <w:r w:rsidRPr="002D518D">
        <w:rPr>
          <w:rFonts w:ascii="Times New Roman" w:eastAsia="Calibri" w:hAnsi="Times New Roman"/>
          <w:i/>
          <w:sz w:val="20"/>
          <w:szCs w:val="20"/>
          <w:lang w:val="en-US"/>
        </w:rPr>
        <w:t xml:space="preserve">           </w:t>
      </w:r>
      <w:r w:rsidRPr="002D518D">
        <w:rPr>
          <w:rFonts w:ascii="Times New Roman" w:eastAsia="Calibri" w:hAnsi="Times New Roman"/>
          <w:i/>
          <w:sz w:val="20"/>
          <w:szCs w:val="20"/>
          <w:lang w:val="en-US"/>
        </w:rPr>
        <w:tab/>
      </w:r>
      <w:r w:rsidRPr="002D518D">
        <w:rPr>
          <w:rFonts w:ascii="Times New Roman" w:eastAsia="Calibri" w:hAnsi="Times New Roman"/>
          <w:i/>
          <w:sz w:val="20"/>
          <w:szCs w:val="20"/>
          <w:lang w:val="en-US"/>
        </w:rPr>
        <w:tab/>
      </w:r>
    </w:p>
    <w:p w:rsidR="00EF52DF" w:rsidRPr="00EF52DF" w:rsidRDefault="00EF52DF" w:rsidP="00EF52DF">
      <w:pPr>
        <w:pStyle w:val="Heading1"/>
        <w:numPr>
          <w:ilvl w:val="0"/>
          <w:numId w:val="7"/>
        </w:numPr>
      </w:pPr>
      <w:r w:rsidRPr="00EF52DF">
        <w:t xml:space="preserve">INTRODUCTION </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 xml:space="preserve">Maritime transportation is the backbone of international trade, accounting for over 80% of global trade volume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{"citationItems":[{"id":"ITEM-1","itemData":{"DOI":"10.18356/9789213584569c006","ISBN":"9789210028868","abstract":"The Review of Maritime Transport has been published annually since 1968. The flagship report provides an analysis of structural and cyclical changes affecting seaborne trade, ports and shipping, as well as an extensive collection of statistics (http://stats.unctad.org/Maritime). Around 80% of the volume of international trade in goods is carried by sea, and the percentage is even higher for most developing countries.","author":[{"dropping-particle":"","family":"UNCTAD","given":"","non-dropping-particle":"","parse-names":false,"suffix":""}],"id":"ITEM-1","issued":{"date-parts":[["2022"]]},"number-of-pages":"1-26","title":"International Maritime Trade","type":"book"},"uris":["http://www.mendeley.com/documents/?uuid=f5ff9776-6fce-45fa-ae6a-f3565ded917d"]}],"mendeley":{"formattedCitation":"[1]","plainTextFormattedCitation":"[1]","previouslyFormattedCitation":"[1]"},"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[1]</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 xml:space="preserve">. The growth of this sector is not without operational risks that threaten navigation safety, the marine environment, and crew welfare. The International Maritime Organization (IMO), as a specialized UN agency, has developed regulatory instruments such as SOLAS, MARPOL, and STCW to mitigate these risks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{"citationItems":[{"id":"ITEM-1","itemData":{"author":[{"dropping-particle":"","family":"IMO","given":"","non-dropping-particle":"","parse-names":false,"suffix":""}],"id":"ITEM-1","issue":"March","issued":{"date-parts":[["2023"]]},"title":"Procedures for Port State Control, 2023. Paper A33/Res.1185. IMO-London","type":"article-journal","volume":"1155"},"uris":["http://www.mendeley.com/documents/?uuid=5dedd150-5050-4cbb-a35b-95684db92ebc"]}],"mendeley":{"formattedCitation":"[2]","plainTextFormattedCitation":"[2]","previouslyFormattedCitation":"[2]"},"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[2]</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 xml:space="preserve">. The implementation of these </w:t>
      </w:r>
      <w:r w:rsidRPr="00EF52DF">
        <w:rPr>
          <w:rFonts w:ascii="Times New Roman" w:eastAsia="Times New Roman" w:hAnsi="Times New Roman"/>
          <w:iCs/>
          <w:lang w:eastAsia="zh-CN"/>
        </w:rPr>
        <w:t xml:space="preserve">regulations involves three key oversight mechanisms: flag state control, coastal state control, and port state control—each serving a complementary role in the global maritime surveillance system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{"citationItems":[{"id":"ITEM-1","itemData":{"author":[{"dropping-particle":"","family":"Hansen","given":"T.","non-dropping-particle":"","parse-names":false,"suffix":""}],"container-title":"Maritime Policy","id":"ITEM-1","issued":{"date-parts":[["2023"]]},"title":"Port State Control Efficiency in Developing Maritime Nations","type":"article-journal"},"uris":["http://www.mendeley.com/documents/?uuid=d7030051-a2c3-4728-83e1-ed6ab29c6f06"]}],"mendeley":{"formattedCitation":"[3]","plainTextFormattedCitation":"[3]","previouslyFormattedCitation":"[3]"},"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[3]</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 xml:space="preserve">However, significant gaps exist in the flag state control system. According to IMO data, there is a substantial discrepancy between the number of registered vessels and the supervisory capacity of flag states, especially those known for operating as flags of convenience. Özçayır (2020) found that 30% of flag states failed to meet the IMO’s minimum regulatory </w:t>
      </w:r>
      <w:r w:rsidRPr="00EF52DF">
        <w:rPr>
          <w:rFonts w:ascii="Times New Roman" w:eastAsia="Times New Roman" w:hAnsi="Times New Roman"/>
          <w:iCs/>
          <w:lang w:eastAsia="zh-CN"/>
        </w:rPr>
        <w:lastRenderedPageBreak/>
        <w:t xml:space="preserve">obligations during inspections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{"citationItems":[{"id":"ITEM-1","itemData":{"author":[{"dropping-particle":"","family":"Özçayır","given":"O","non-dropping-particle":"","parse-names":false,"suffix":""}],"id":"ITEM-1","issued":{"date-parts":[["2020"]]},"publisher":"Informa Law from Routledge","title":"Port State Control","type":"book"},"uris":["http://www.mendeley.com/documents/?uuid=e44c8edd-b1b5-4c47-b313-55e70ad89ea1"]}],"mendeley":{"formattedCitation":"[4]","plainTextFormattedCitation":"[4]","previouslyFormattedCitation":"[4]"},"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[4]</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 xml:space="preserve">. This regulatory gap provides opportunities for negligent ship operators to bypass safety standards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author":[{"dropping-particle":"","family":"Johnson","given":"R.","non-dropping-particle":"","parse-names":false,"suffix":""},{"dropping-particle":"","family":"Lee","given":"S.","non-dropping-particle":"","parse-names":false,"suffix":""}],"container-title":"IMO Press","id":"ITEM-1","issued":{"date-parts":[["2023"]]},"title":"Gaps in Flag State Implementation: A Global Analysis","type":"article-journal"},"uris":["http://www.mendeley.com/documents/?uuid=ee7218c5-93d4-4788-be7e-37b66999e5e1"]}],"mendeley":{"formattedCitation":"[5]","plainTextFormattedCitation":"[5]","previouslyFormattedCitation":"[5]"},"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[5]</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 Hence, strengthening Port State Control (PSC) is crucial as a secondary oversight mechanism.</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 xml:space="preserve">The global PSC framework has evolved into regional networks via Memoranda of Understanding (MOUs), such as the Paris MOU and Tokyo MOU. The Tokyo MOU, which covers the Asia-Pacific region, is one of the most active, accounting for 70% of total vessel arrivals being inspected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{"citationItems":[{"id":"ITEM-1","itemData":{"abstract":"The Tokyo MOU maintains a good trend of development and achievement of PSC activities. In 2011, member Authorities of the Tokyo MOU carried out a total of 28,627 inspections, which is an increase of 11% over the previous year. In addition, the regional inspection rate has been also increased from 66% to 68%. In collaboration with the Paris MOU, the Tokyo MOU successfully conducted the concentrated inspection campaign (CIC) on structural safety and the Load Lines. The Tokyo MOU continues its efforts to improve the internal system and to enhance the external relationship.","author":[{"dropping-particle":"","family":"Tokyo MOU","given":"","non-dropping-particle":"","parse-names":false,"suffix":""}],"id":"ITEM-1","issued":{"date-parts":[["2022"]]},"title":"Annual Report on Port State Control in the Asia-Pacific Region","type":"article-journal"},"uris":["http://www.mendeley.com/documents/?uuid=b1aae27d-ef37-4e21-bae5-d8ad7f504f44"]}],"mendeley":{"formattedCitation":"[6]","plainTextFormattedCitation":"[6]","previouslyFormattedCitation":"[6]"},"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[6]</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 xml:space="preserve">. This system applies a black-white-grey list to assess flag state performance and uses a targeted inspection regime for high-risk vessels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{"citationItems":[{"id":"ITEM-1","itemData":{"author":[{"dropping-particle":"","family":"Wang","given":"Y.","non-dropping-particle":"","parse-names":false,"suffix":""},{"dropping-particle":"","family":"Rui-Feng Xu","given":"","non-dropping-particle":"","parse-names":false,"suffix":""},{"dropping-particle":"","family":"Lu","given":"Qin","non-dropping-particle":"","parse-names":false,"suffix":""},{"dropping-particle":"","family":"Li","given":"Wen-Jie","non-dropping-particle":"","parse-names":false,"suffix":""},{"dropping-particle":"","family":"Li","given":"K.X.","non-dropping-particle":"","parse-names":false,"suffix":""}],"container-title":"Transport Research","id":"ITEM-1","issued":{"date-parts":[["2023"]]},"title":"Risk-Based Port State Control: Lessons from Tokyo MOU","type":"article-journal"},"uris":["http://www.mendeley.com/documents/?uuid=4999a0ed-bbd1-44ee-a240-ace593dd9057"]}],"mendeley":{"formattedCitation":"[7]","plainTextFormattedCitation":"[7]","previouslyFormattedCitation":"[7]"},"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[7]</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 Nevertheless, its implementation effectiveness varies significantly across member states, particularly in developing countries.</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Indonesia, a member of the Tokyo MOU since 1993, has implemented PSC through the Directorate General of Sea Transportation. Major ports such as Tanjung Priok and Tanjung Perak serve as focal points for PSC activities. In 2022, Indonesia conducted 1,542 PSC inspections, with a detention rate of 5.2%, exceeding the regional average. However, the inspection coverage remains relatively low—around 35% of total foreign vessel arrivals—highlighting challenges in PSC implementation.</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 xml:space="preserve">Previous studies have identified four main challenges in PSC implementation in Indonesia: limited inspector capacity (with a ratio of 1 inspector for every 150 ships annually)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{"citationItems":[{"id":"ITEM-1","itemData":{"author":[{"dropping-particle":"","family":"Maritime Affairs Journal","given":"","non-dropping-particle":"","parse-names":false,"suffix":""}],"id":"ITEM-1","issued":{"date-parts":[["2023"]]},"title":"Maritime Affairs Journal","type":"article"},"uris":["http://www.mendeley.com/documents/?uuid=5e274432-3fc9-4a5c-976e-d83729b5a6b8"]}],"mendeley":{"formattedCitation":"[8]","plainTextFormattedCitation":"[8]","previouslyFormattedCitation":"[8]"},"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[8]</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 xml:space="preserve">; a predominantly conventional inspection approach rather than a risk-based system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author":[{"dropping-particle":"","family":"Chen","given":"L.","non-dropping-particle":"","parse-names":false,"suffix":""},{"dropping-particle":"","family":"Zhang","given":"W.","non-dropping-particle":"","parse-names":false,"suffix":""}],"container-title":"Journal of Maritime Technology","id":"ITEM-1","issue":"8(1),","issued":{"date-parts":[["2024"]]},"page":"112-128.","title":"AI Applications in Port State Control","type":"article-journal"},"uris":["http://www.mendeley.com/documents/?uuid=f36883fd-1f90-48cf-b5cc-eb16a6442331"]}],"mendeley":{"formattedCitation":"[9]","plainTextFormattedCitation":"[9]","previouslyFormattedCitation":"[9]"},"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[9]</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 xml:space="preserve">; suboptimal inter-agency coordination due to fragmented authority between port and central agencies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author":[{"dropping-particle":"","family":"Chen","given":"L.","non-dropping-particle":"","parse-names":false,"suffix":""},{"dropping-particle":"","family":"Zhang","given":"W.","non-dropping-particle":"","parse-names":false,"suffix":""}],"container-title":"Journal of Maritime Technology","id":"ITEM-1","issue":"8(1),","issued":{"date-parts":[["2024"]]},"page":"112-128.","title":"AI Applications in Port State Control","type":"article-journal"},"uris":["http://www.mendeley.com/documents/?uuid=f36883fd-1f90-48cf-b5cc-eb16a6442331"]}],"mendeley":{"formattedCitation":"[9]","plainTextFormattedCitation":"[9]","previouslyFormattedCitation":"[9]"},"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[9]</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 xml:space="preserve">; and limited technology adoption, particularly in utilizing big data analytics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{"citationItems":[{"id":"ITEM-1","itemData":{"author":[{"dropping-particle":"","family":"IMO","given":"","non-dropping-particle":"","parse-names":false,"suffix":""}],"id":"ITEM-1","issue":"March","issued":{"date-parts":[["2023"]]},"title":"Procedures for Port State Control, 2023. Paper A33/Res.1185. IMO-London","type":"article-journal","volume":"1155"},"uris":["http://www.mendeley.com/documents/?uuid=5dedd150-5050-4cbb-a35b-95684db92ebc"]}],"mendeley":{"formattedCitation":"[2]","plainTextFormattedCitation":"[2]","previouslyFormattedCitation":"[2]"},"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[2]</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 These challenges affect the overall effectiveness and consistency of inspection practices.</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 xml:space="preserve">A research gap persists, as most previous studies focus on PSC data at the global or regional levels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author":[{"dropping-particle":"","family":"Chen","given":"L.","non-dropping-particle":"","parse-names":false,"suffix":""},{"dropping-particle":"","family":"Zhang","given":"W.","non-dropping-particle":"","parse-names":false,"suffix":""}],"container-title":"Journal of Maritime Technology","id":"ITEM-1","issue":"8(1),","issued":{"date-parts":[["2024"]]},"page":"112-128.","title":"AI Applications in Port State Control","type":"article-journal"},"uris":["http://www.mendeley.com/documents/?uuid=f36883fd-1f90-48cf-b5cc-eb16a6442331"]}],"mendeley":{"formattedCitation":"[9]","plainTextFormattedCitation":"[9]","previouslyFormattedCitation":"[9]"},"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[9]</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 xml:space="preserve">, with limited analysis specifically addressing implementation in developing countries like Indonesia. Studies such as those have examined institutional capacity and unique challenges in archipelagic states, forming the foundation for this study’s inquiry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author":[{"dropping-particle":"","family":"Chen","given":"Jian","non-dropping-particle":"","parse-names":false,"suffix":""},{"dropping-particle":"","family":"Zhao","given":"Yang","non-dropping-particle":"","parse-names":false,"suffix":""},{"dropping-particle":"","family":"Zhang","given":"Taiming","non-dropping-particle":"","parse-names":false,"suffix":""}],"container-title":"Ocean &amp; Coastal Management","id":"ITEM-1","issued":{"date-parts":[["2023"]]},"title":"Policies for Potentially Inundated Island Nations for the Retention of Marine Resources and Rights of Associated Under-Water Features and Exclusive Economic Zones","type":"article-journal"},"uris":["http://www.mendeley.com/documents/?uuid=9bcfd69d-6f44-4a63-b528-e4f599be346f"]}],"mendeley":{"formattedCitation":"[10]","plainTextFormattedCitation":"[10]","previouslyFormattedCitation":"[10]"},"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[10]</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 xml:space="preserve">This study adopts a theoretical framework grounded in regulatory enforcement theory, analyzing implementation effectiveness through three dimensions: institutional capacity, incentive systems, and inter-agency coordination. The concept of risk-based regulation is also integrated to assess Indonesia’s inspection system, enriching the analytical depth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{"citationItems":[{"id":"ITEM-1","itemData":{"ISSN":"0975-5853","abstract":"The empirical literature is bounded to explaining the use of emerging regulatory innovation in designing meta-regulation under risk-based regulatory strategy as a new \"regulatory mix\". Therefore, this paper aims to demonstrate how enterprise risk management (ERM), an emergent regulatory innovation, uses to design meta-regulation under the risk-based strategy. Based on qualitative content analysis of a central bank's annual report in an emerging economy over eleven years, including the issued guidelines and circulars, this paper reveals the dimension of ERM as a meta-regulatory toolkit in the regulatory regime. The evidence reflects that the regulator's sectoral risk management reform based on ERM philosophy enforces regulated banks to develop self-regulation across the industry that subsequently enrol into the regulatory process as a meta-regulatory approach. The regulator achieves the risk-based regulatory aims relying intensely on ERM based self-regulation of the regulated banks and supervise with enhanced institutional capacity and advanced tools and techniques. Abstract-The empirical literature is bounded to explaining the use of emerging regulatory innovation in designing meta-regulation under risk-based regulatory strategy as a new \"regulatory mix\". Therefore, this paper aims to demonstrate how enterprise risk management (ERM), an emergent regulatory innovation, uses to design meta-regulation under the risk-based strategy. Based on qualitative content analysis of a central bank's annual report in an emerging economy over eleven years, including the issued guidelines and circulars, this paper reveals the dimension of ERM as a meta-regulatory toolkit in the regulatory regime. The evidence reflects that the regulator's sectoral risk management reform based on ERM philosophy enforces regulated banks to develop self-regulation across the industry that subsequently enrol into the regulatory process as a meta-regulatory approach. The regulator achieves the risk-based regulatory aims relying intensely on ERM based self-regulation of the regulated banks and supervise with enhanced institutional capacity and advanced tools and techniques. Therefore, the piece argues that ERM intensifies a \"regulatory mix\" in financial regulation combining meta-regulation and risk-based regulation.","author":[{"dropping-particle":"","family":"Moniruzzaman","given":"Mohammad","non-dropping-particle":"","parse-names":false,"suffix":""}],"container-title":"Global Journal of Management and Business Research: A Administration and Management","id":"ITEM-1","issue":"2","issued":{"date-parts":[["2023"]]},"title":"Enterprise risk management in designing meta-regulation under risk-based regulatory strategy: An empirical evidence from financial regulation","type":"article-journal","volume":"23"},"uris":["http://www.mendeley.com/documents/?uuid=6c2023dc-196b-44a3-aaf1-1ae4fc842db0"]}],"mendeley":{"formattedCitation":"[11]","plainTextFormattedCitation":"[11]","previouslyFormattedCitation":"[11]"},"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[11]</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{"citationItems":[{"id":"ITEM-1","itemData":{"DOI":"10.1108/ajeb-05-2021-0067","ISSN":"2615-9821","abstract":"Purpose Debate is growing around the expansion of risk-based regulation. The regulation scholarship provides evidence of regulatory failure of the risk-based approach in different domains, including financial regulation. Therefore, this paper aims to provide cautionary evidence about the risk of regulatory failure of risk-based strategy in the financial regulation while using enterprise risk management (ERM) as a meta-regulatory toolkit. Design/methodology/approach Based on interview data gathered from 30 risk managers of banks and five regulatory personnel, combined with secondary data, this study mainly explores the challenges for meaningful use of ERM based self-regulation in regulated banks. The evidence helps to assess the risk of regulatory failure of the risk-based regulation while using ERM. Findings The evidence reflects that regulated banks face diverse challenges arising from both peripheral and internal environments that limit the true internalization of ERM-based self-regulation. Despite this, the regulator uses this self-regulation as a meta-regulatory toolkit under the risk-based regulation to achieve the regulatory aims. However, the lack of true internalization of ERM based self-regulation is likely to raise the risk of regulatory failure of risk-based regulation to achieve the regulatory goals. Risk-based regulation is an evolving strategy in the regulatory regime. Therefore, care should be taken while using ERM as a regulatory toolkit before relying on it substantially. Originality/value The paper provides empirical insights about the challenges for effective use of ERM as a meta regulatory toolkit that might be useful practically both to the regulators and regulated firms.","author":[{"dropping-particle":"","family":"Moniruzzaman","given":"Mohammad","non-dropping-particle":"","parse-names":false,"suffix":""}],"container-title":"Asian Journal of Economics and Banking","id":"ITEM-1","issue":"1","issued":{"date-parts":[["2022"]]},"page":"103-121","title":"Risk of regulatory failure of “risk-based regulation” while using enterprise risk management as a meta-regulatory toolkit","type":"article-journal","volume":"6"},"uris":["http://www.mendeley.com/documents/?uuid=5edcedfa-a8a5-4c3e-a981-0f87e65b4462"]}],"mendeley":{"formattedCitation":"[12]","plainTextFormattedCitation":"[12]","previouslyFormattedCitation":"[12]"},"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[12]</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 xml:space="preserve">Based on this framework, three hypotheses are proposed: enhancing inspector capacity will improve inspection effectiveness by 25% (H1); implementing a risk-based inspection system will increase detention </w:t>
      </w:r>
      <w:r w:rsidRPr="00EF52DF">
        <w:rPr>
          <w:rFonts w:ascii="Times New Roman" w:eastAsia="Times New Roman" w:hAnsi="Times New Roman"/>
          <w:iCs/>
          <w:lang w:eastAsia="zh-CN"/>
        </w:rPr>
        <w:t xml:space="preserve">rates by up to 15% (H2); and strengthening inter-agency coordination will reduce inspection duplication by 30% (H3). These hypotheses are tested through both quantitative and qualitative data analyses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{"citationItems":[{"id":"ITEM-1","itemData":{"DOI":"10.48181/jelts.v5i1.14600","ISSN":"26230003","abstract":"The two dichotomous theories of positivism and interpretivism, respectively, underpin quantitative and qualitative methods to social research. Despite the fact that there are many other research paradigms, positivism and interpretivism are more commonly used in social research than other paradigms. These paradigms appear to be at odds not just in philosophical ideas, but also on a practical level, particularly in relation to research findings that are significant to educational policy-making. In this sense, there are still heated discussions about the research method that is more useful and transferrable to policy development. This study will look at the benefits and drawbacks of using qualitative and quantitative methodologies in educational policy research, specifically in the setting of English as a foreign language (EFL) in elementary school. The research begins with a philosophical introduction to social research, followed by a look at paradigmatic contestations between the two views, as well as their strengths and limits. The discussion continues with an explanation of current EFL policy developments, followed by a comparison of papers from respective quantitative and qualitative approaches, an assessment of the dominant research approach in EFL policy, and the ethical difficulties that must be addressed. The findings of this study show that no single approach can adequately address all facets of social processes. Each approach is tailored to certain goals and focuses, and neither can be used in place of the other. As a result, the most important consideration in deciding which technique to use in social research is the nature of the topics that will be explored.","author":[{"dropping-particle":"","family":"Japar Sidik","given":"Ezis","non-dropping-particle":"","parse-names":false,"suffix":""},{"dropping-particle":"","family":"Baihaqi","given":"Akhmad","non-dropping-particle":"","parse-names":false,"suffix":""},{"dropping-particle":"","family":"Wahyu Utomo","given":"Dhafid","non-dropping-particle":"","parse-names":false,"suffix":""}],"container-title":"Journal of English Language Teaching and Cultural Studies","id":"ITEM-1","issue":"1","issued":{"date-parts":[["2022"]]},"page":"60-76","title":"Comparative Evaluation of the Qualitative and Quantitative Research on English as a Foreign Language (EFL) Policy at Primary Education in Indonesia and Other EFL Contexts","type":"article-journal","volume":"5"},"uris":["http://www.mendeley.com/documents/?uuid=752e91a5-b677-4abb-a5d4-c4419b7c5900"]}],"mendeley":{"formattedCitation":"[13]","plainTextFormattedCitation":"[13]"},"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[13]</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 xml:space="preserve">This study aims to contribute in three primary ways: (1) offering a comprehensive mapping of PSC implementation in Indonesia; (2) developing a model for improving PSC effectiveness in developing countries; and (3) providing evidence-based policy recommendations to enhance national PSC systems and Indonesia’s role within the Tokyo MOU. The findings are relevant to academics, practitioners, and policymakers in the maritime sector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{"citationItems":[{"id":"ITEM-1","itemData":{"author":[{"dropping-particle":"","family":"Global Maritime Review","given":"","non-dropping-particle":"","parse-names":false,"suffix":""}],"id":"ITEM-1","issued":{"date-parts":[["2023"]]},"title":"Global Maritime Review","type":"article"},"uris":["http://www.mendeley.com/documents/?uuid=b2230115-6fa1-4092-b989-ea4ad44b8bcd"]}],"mendeley":{"formattedCitation":"[14]","plainTextFormattedCitation":"[14]","previouslyFormattedCitation":"[13]"},"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[14]</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b/>
          <w:iCs/>
          <w:lang w:eastAsia="zh-CN"/>
        </w:rPr>
      </w:pPr>
    </w:p>
    <w:p w:rsidR="00EF52DF" w:rsidRPr="00EF52DF" w:rsidRDefault="00EF52DF" w:rsidP="00EF52DF">
      <w:pPr>
        <w:pStyle w:val="Heading1"/>
        <w:numPr>
          <w:ilvl w:val="0"/>
          <w:numId w:val="7"/>
        </w:numPr>
      </w:pPr>
      <w:r w:rsidRPr="00EF52DF">
        <w:t xml:space="preserve">METHOD </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This study employs a mixed-methods approach, integrating both quantitative and qualitative analyses to evaluate PSC implementation in Indonesia under the Tokyo MOU standards.</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A sequential explanatory design was adopted, comprising: quantitative analysis of PSC inspection data, qualitative exploration via in-depth interviews, and synthesis of findings for a comprehensive conclusion. This approach allows for a deep understanding of inspection patterns alongside real-world operational contexts.</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Data were sourced from the Asia-Pacific Computerized Information System (APCIS) Tokyo MOU database (2018–2022), annual Tokyo MOU reports (2018–2022), and policy documents from Indonesia’s Directorate General of Sea Transportation. The methodology ensures valid, reliable, and policy-relevant outcomes.</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The research operationalizes the following variables:</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1.</w:t>
      </w:r>
      <w:r w:rsidRPr="00EF52DF">
        <w:rPr>
          <w:rFonts w:ascii="Times New Roman" w:eastAsia="Times New Roman" w:hAnsi="Times New Roman"/>
          <w:iCs/>
          <w:lang w:eastAsia="zh-CN"/>
        </w:rPr>
        <w:tab/>
        <w:t>Independent Variables:</w:t>
      </w:r>
    </w:p>
    <w:p w:rsidR="00EF52DF" w:rsidRPr="00EF52DF" w:rsidRDefault="00EF52DF" w:rsidP="00EF52DF">
      <w:pPr>
        <w:pStyle w:val="ListParagraph"/>
        <w:numPr>
          <w:ilvl w:val="0"/>
          <w:numId w:val="8"/>
        </w:num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Inspector capacity (quantity, qualifications, experience)</w:t>
      </w:r>
    </w:p>
    <w:p w:rsidR="00EF52DF" w:rsidRPr="00EF52DF" w:rsidRDefault="00EF52DF" w:rsidP="00EF52DF">
      <w:pPr>
        <w:pStyle w:val="ListParagraph"/>
        <w:numPr>
          <w:ilvl w:val="0"/>
          <w:numId w:val="8"/>
        </w:num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Inspection system (conventional vs. risk-based)</w:t>
      </w:r>
    </w:p>
    <w:p w:rsidR="00EF52DF" w:rsidRPr="00EF52DF" w:rsidRDefault="00EF52DF" w:rsidP="00EF52DF">
      <w:pPr>
        <w:pStyle w:val="ListParagraph"/>
        <w:numPr>
          <w:ilvl w:val="0"/>
          <w:numId w:val="8"/>
        </w:num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Supporting infrastructure</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2.</w:t>
      </w:r>
      <w:r w:rsidRPr="00EF52DF">
        <w:rPr>
          <w:rFonts w:ascii="Times New Roman" w:eastAsia="Times New Roman" w:hAnsi="Times New Roman"/>
          <w:iCs/>
          <w:lang w:eastAsia="zh-CN"/>
        </w:rPr>
        <w:tab/>
        <w:t>Dependent Variables:</w:t>
      </w:r>
    </w:p>
    <w:p w:rsidR="00EF52DF" w:rsidRPr="00EF52DF" w:rsidRDefault="00EF52DF" w:rsidP="00EF52DF">
      <w:pPr>
        <w:pStyle w:val="ListParagraph"/>
        <w:numPr>
          <w:ilvl w:val="0"/>
          <w:numId w:val="12"/>
        </w:num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Inspection effectiveness (detention rate, inspection coverage)</w:t>
      </w:r>
    </w:p>
    <w:p w:rsidR="00EF52DF" w:rsidRPr="00EF52DF" w:rsidRDefault="00EF52DF" w:rsidP="00EF52DF">
      <w:pPr>
        <w:pStyle w:val="ListParagraph"/>
        <w:numPr>
          <w:ilvl w:val="0"/>
          <w:numId w:val="12"/>
        </w:num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Quality of inspection findings (type and severity of deficiencies)</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3.</w:t>
      </w:r>
      <w:r w:rsidRPr="00EF52DF">
        <w:rPr>
          <w:rFonts w:ascii="Times New Roman" w:eastAsia="Times New Roman" w:hAnsi="Times New Roman"/>
          <w:iCs/>
          <w:lang w:eastAsia="zh-CN"/>
        </w:rPr>
        <w:tab/>
        <w:t>Moderating Variables:</w:t>
      </w:r>
    </w:p>
    <w:p w:rsidR="00EF52DF" w:rsidRPr="00EF52DF" w:rsidRDefault="00EF52DF" w:rsidP="00EF52DF">
      <w:pPr>
        <w:pStyle w:val="ListParagraph"/>
        <w:numPr>
          <w:ilvl w:val="0"/>
          <w:numId w:val="10"/>
        </w:num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Inter-agency coordination</w:t>
      </w:r>
    </w:p>
    <w:p w:rsidR="00EF52DF" w:rsidRPr="00EF52DF" w:rsidRDefault="00EF52DF" w:rsidP="00EF52DF">
      <w:pPr>
        <w:pStyle w:val="ListParagraph"/>
        <w:numPr>
          <w:ilvl w:val="0"/>
          <w:numId w:val="10"/>
        </w:num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 xml:space="preserve">Supporting regulations  </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b/>
          <w:iCs/>
          <w:lang w:eastAsia="zh-CN"/>
        </w:rPr>
      </w:pPr>
    </w:p>
    <w:p w:rsidR="00EF52DF" w:rsidRPr="00EF52DF" w:rsidRDefault="00EF52DF" w:rsidP="00EF52DF">
      <w:pPr>
        <w:pStyle w:val="Heading1"/>
        <w:numPr>
          <w:ilvl w:val="0"/>
          <w:numId w:val="7"/>
        </w:numPr>
      </w:pPr>
      <w:r w:rsidRPr="00EF52DF">
        <w:t>RESULTS and discussion</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 xml:space="preserve">Five-year data indicate a significant increase in PSC inspections in Indonesia, averaging 1,542 inspections annually with 8.2% growth per year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Kata","author":[{"dropping-particle":"","family":"DGST","given":"","non-dropping-particle":"","parse-names":false,"suffix":""}],"id":"ITEM-1","issued":{"date-parts":[["2023"]]},"number-of-pages":"1-23","title":"Laporan Kinerja Instansi Pemerintah Direktorat Jenderal Perhubungan Laut","type":"report"},"uris":["http://www.mendeley.com/documents/?uuid=3995ee1b-c6da-4ddc-ab8a-4cd121c54592"]}],"mendeley":{"formattedCitation":"[15]","plainTextFormattedCitation":"[15]","previouslyFormattedCitation":"[14]"},"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[15]</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 xml:space="preserve">. Nevertheless, inspection coverage remains at 35–40% </w:t>
      </w:r>
      <w:r w:rsidRPr="00EF52DF">
        <w:rPr>
          <w:rFonts w:ascii="Times New Roman" w:eastAsia="Times New Roman" w:hAnsi="Times New Roman"/>
          <w:iCs/>
          <w:lang w:eastAsia="zh-CN"/>
        </w:rPr>
        <w:lastRenderedPageBreak/>
        <w:t xml:space="preserve">of total foreign vessel arrivals, below the Tokyo MOU regional average of 70%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{"citationItems":[{"id":"ITEM-1","itemData":{"abstract":"The Tokyo MOU maintains a good trend of development and achievement of PSC activities. In 2011, member Authorities of the Tokyo MOU carried out a total of 28,627 inspections, which is an increase of 11% over the previous year. In addition, the regional inspection rate has been also increased from 66% to 68%. In collaboration with the Paris MOU, the Tokyo MOU successfully conducted the concentrated inspection campaign (CIC) on structural safety and the Load Lines. The Tokyo MOU continues its efforts to improve the internal system and to enhance the external relationship.","author":[{"dropping-particle":"","family":"Tokyo MOU","given":"","non-dropping-particle":"","parse-names":false,"suffix":""}],"id":"ITEM-1","issued":{"date-parts":[["2022"]]},"title":"Annual Report on Port State Control in the Asia-Pacific Region","type":"article-journal"},"uris":["http://www.mendeley.com/documents/?uuid=b1aae27d-ef37-4e21-bae5-d8ad7f504f44"]}],"mendeley":{"formattedCitation":"[6]","plainTextFormattedCitation":"[6]","previouslyFormattedCitation":"[6]"},"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[6]</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 xml:space="preserve">. These findings align who discuss PSC challenges in resource-constrained developing countries. </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 xml:space="preserve">Trends in Detentions and Deficiencies on average, 58 vessels are detained annually (5.2% of inspections). Bulk carriers account for the highest detentions (35%), followed by container ships (28%) and tankers (20%)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{"citationItems":[{"id":"ITEM-1","itemData":{"author":[{"dropping-particle":"","family":"MSA","given":"","non-dropping-particle":"","parse-names":false,"suffix":""}],"container-title":"European Maritime Safety Agency","id":"ITEM-1","issued":{"date-parts":[["2024"]]},"title":"Maritime Safety Agency Facts and Figure","type":"report"},"uris":["http://www.mendeley.com/documents/?uuid=ac6bb4f0-17b5-415c-bbf2-ecff565dfeef"]}],"mendeley":{"formattedCitation":"[16]","plainTextFormattedCitation":"[16]","previouslyFormattedCitation":"[15]"},"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[16]</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 xml:space="preserve">. </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noProof/>
          <w:lang w:eastAsia="zh-CN"/>
        </w:rPr>
        <w:drawing>
          <wp:inline distT="0" distB="0" distL="0" distR="0" wp14:anchorId="1AE15D27" wp14:editId="52BF6C18">
            <wp:extent cx="2103348" cy="1570438"/>
            <wp:effectExtent l="0" t="0" r="0" b="0"/>
            <wp:docPr id="1"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put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9012" cy="1582133"/>
                    </a:xfrm>
                    <a:prstGeom prst="rect">
                      <a:avLst/>
                    </a:prstGeom>
                    <a:noFill/>
                    <a:ln>
                      <a:noFill/>
                    </a:ln>
                  </pic:spPr>
                </pic:pic>
              </a:graphicData>
            </a:graphic>
          </wp:inline>
        </w:drawing>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 xml:space="preserve">Fig 1. Average Number of Detention Annualy </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 xml:space="preserve">The main deficiencies are: Fire safety (31%) – mostly related to fire extinguishers and detection systems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{"citationItems":[{"id":"ITEM-1","itemData":{"author":[{"dropping-particle":"","family":"IMO","given":"","non-dropping-particle":"","parse-names":false,"suffix":""}],"id":"ITEM-1","issue":"March","issued":{"date-parts":[["2023"]]},"title":"Procedures for Port State Control, 2023. Paper A33/Res.1185. IMO-London","type":"article-journal","volume":"1155"},"uris":["http://www.mendeley.com/documents/?uuid=5dedd150-5050-4cbb-a35b-95684db92ebc"]}],"mendeley":{"formattedCitation":"[2]","plainTextFormattedCitation":"[2]","previouslyFormattedCitation":"[2]"},"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[2]</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 xml:space="preserve"> Propulsion and auxiliary machinery (25%) – issues with main engine maintenance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author":[{"dropping-particle":"","family":"Yamamoto","given":"H.","non-dropping-particle":"","parse-names":false,"suffix":""},{"dropping-particle":"","family":"Tanaka","given":"R.","non-dropping-particle":"","parse-names":false,"suffix":""}],"container-title":"Marine Engineering","id":"ITEM-1","issue":"3","issued":{"date-parts":[["2024"]]},"page":"201-215","title":"Machinery Deficiencies in Bulk Carriers","type":"article-journal","volume":"39"},"uris":["http://www.mendeley.com/documents/?uuid=f7a8ebed-5957-4891-bfb3-c63a7275ca5a"]}],"mendeley":{"formattedCitation":"[17]","plainTextFormattedCitation":"[17]","previouslyFormattedCitation":"[16]"},"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[17]</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 xml:space="preserve"> Navigational safety (18%) – problems with navigation equipment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{"citationItems":[{"id":"ITEM-1","itemData":{"DOI":"10.3390/jmse10020154","ISSN":"20771312","abstract":"Along with the development of ship navigational equipment, ship operators have to process a larger amount of information than before and be exposed to more alarm sounds. These ships’ bridge environment increases burdens to ship operators. One of the methods proposed to solve this problem is the audible voice alarm method. However, there is a lack of studies that objectively prove the efficacy of the method. Therefore, in this study, a comparative experiment was performed to confirm the effect by applying the method to an electronic chart display and information system (ECDIS), a representative navigation instrument. We analyzed collected data according to a data-driven process and confirmed the difference between a traditional alarm method and the audible voice alarm method by distinguishing groups through clustering.","author":[{"dropping-particle":"","family":"Hwang","given":"Taewoong","non-dropping-particle":"","parse-names":false,"suffix":""},{"dropping-particle":"","family":"Youn","given":"Ik Hyun","non-dropping-particle":"","parse-names":false,"suffix":""},{"dropping-particle":"","family":"Lee","given":"Soyeong","non-dropping-particle":"","parse-names":false,"suffix":""},{"dropping-particle":"","family":"Kim","given":"Inchul","non-dropping-particle":"","parse-names":false,"suffix":""}],"container-title":"Journal of Marine Science and Engineering","id":"ITEM-1","issue":"2","issued":{"date-parts":[["2022"]]},"title":"Efficiency Comparison between Audible and Buzzle Alarms of Electronic Chart Display and Information System Alarm under the Simulated Environment","type":"article-journal","volume":"10"},"uris":["http://www.mendeley.com/documents/?uuid=3b29e794-0cf0-4992-b213-0f65872146a0"]}],"mendeley":{"formattedCitation":"[18]","plainTextFormattedCitation":"[18]","previouslyFormattedCitation":"[17]"},"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[18]</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noProof/>
          <w:lang w:eastAsia="zh-CN"/>
        </w:rPr>
        <w:drawing>
          <wp:inline distT="0" distB="0" distL="0" distR="0" wp14:anchorId="14A2C723" wp14:editId="43BE4B34">
            <wp:extent cx="1973952" cy="1309729"/>
            <wp:effectExtent l="0" t="0" r="7620" b="5080"/>
            <wp:docPr id="2"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utput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4424" cy="1316677"/>
                    </a:xfrm>
                    <a:prstGeom prst="rect">
                      <a:avLst/>
                    </a:prstGeom>
                    <a:noFill/>
                    <a:ln>
                      <a:noFill/>
                    </a:ln>
                  </pic:spPr>
                </pic:pic>
              </a:graphicData>
            </a:graphic>
          </wp:inline>
        </w:drawing>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 xml:space="preserve">Fig 2. Trend of Deficiencies </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 xml:space="preserve">Flag State Analysis Panama-flagged vessels (flag of convenience) account for 28% of detentions, followed by Liberia (15%) and the Marshall Islands (12%)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{"citationItems":[{"id":"ITEM-1","itemData":{"DOI":"10.18356/9789213584569c006","ISBN":"9789210028868","abstract":"The Review of Maritime Transport has been published annually since 1968. The flagship report provides an analysis of structural and cyclical changes affecting seaborne trade, ports and shipping, as well as an extensive collection of statistics (http://stats.unctad.org/Maritime). Around 80% of the volume of international trade in goods is carried by sea, and the percentage is even higher for most developing countries.","author":[{"dropping-particle":"","family":"UNCTAD","given":"","non-dropping-particle":"","parse-names":false,"suffix":""}],"id":"ITEM-1","issued":{"date-parts":[["2022"]]},"number-of-pages":"1-26","title":"International Maritime Trade","type":"book"},"uris":["http://www.mendeley.com/documents/?uuid=f5ff9776-6fce-45fa-ae6a-f3565ded917d"]}],"mendeley":{"formattedCitation":"[1]","plainTextFormattedCitation":"[1]","previouslyFormattedCitation":"[1]"},"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[1]</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 xml:space="preserve">. These findings support Anderson et al. (2024), who highlight a strong correlation between flag of convenience and non-compliance with maritime regulations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{"citationItems":[{"id":"ITEM-1","itemData":{"author":[{"dropping-particle":"","family":"Anderson","given":"P.","non-dropping-particle":"","parse-names":false,"suffix":""}],"container-title":"Ocean Policy","id":"ITEM-1","issued":{"date-parts":[["2024"]]},"page":"15(2), 45-62.","title":"Flag State Performance in Global Maritime Governance. Ocean Policy","type":"article-journal"},"uris":["http://www.mendeley.com/documents/?uuid=79dd430f-3404-42ae-a004-486303a820c0"]}],"mendeley":{"formattedCitation":"[19]","plainTextFormattedCitation":"[19]","previouslyFormattedCitation":"[18]"},"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[19]</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 xml:space="preserve">Risk-Based Inspection Implementation Policy document analysis reveals only 40% of inspections fully applied a risk-based approach, highlighting a gap compared to international best practices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{"citationItems":[{"id":"ITEM-1","itemData":{"author":[{"dropping-particle":"","family":"Tokyo MOU","given":"","non-dropping-particle":"","parse-names":false,"suffix":""}],"id":"ITEM-1","issued":{"date-parts":[["2024"]]},"number-of-pages":"21-24","title":"Tokyo MOU Port State Control Committee held the 35th Meeting in Incheon, Republic of Korea","type":"report"},"uris":["http://www.mendeley.com/documents/?uuid=0eb7ecd1-6c5b-47f6-83b4-863b6bac6c34"]}],"mendeley":{"formattedCitation":"[20]","plainTextFormattedCitation":"[20]","previouslyFormattedCitation":"[19]"},"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[20]</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Inspector Capacity and Performance</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 xml:space="preserve">Indonesia's inspector-to-ship ratio of 1:150 exceeds the Tokyo MOU standard of 1:100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Kata","author":[{"dropping-particle":"","family":"DGST","given":"","non-dropping-particle":"","parse-names":false,"suffix":""}],"id":"ITEM-1","issued":{"date-parts":[["2023"]]},"number-of-pages":"1-23","title":"Laporan Kinerja Instansi Pemerintah Direktorat Jenderal Perhubungan Laut","type":"report"},"uris":["http://www.mendeley.com/documents/?uuid=3995ee1b-c6da-4ddc-ab8a-4cd121c54592"]}],"mendeley":{"formattedCitation":"[15]","plainTextFormattedCitation":"[15]","previouslyFormattedCitation":"[14]"},"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[15]</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 xml:space="preserve">. The Maritime Human Resources Development Center (2024) recommends increasing inspector staffing by at least 30% to meet optimal standards </w:t>
      </w: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ADDIN CSL_CITATION {"citationItems":[{"id":"ITEM-1","itemData":{"author":[{"dropping-particle":"","family":"Maritime Human Resources Development Center","given":"","non-dropping-particle":"","parse-names":false,"suffix":""}],"id":"ITEM-1","issued":{"date-parts":[["2024"]]},"title":"Maritime Human Resources Development Center","type":"article"},"uris":["http://www.mendeley.com/documents/?uuid=6b6a3bc5-aab0-4282-a351-a8fc58113be3"]}],"mendeley":{"formattedCitation":"[21]","plainTextFormattedCitation":"[21]","previouslyFormattedCitation":"[20]"},"properties":{"noteIndex":0},"schema":"https://github.com/citation-style-language/schema/raw/master/csl-citation.json"}</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[21]</w:t>
      </w:r>
      <w:r w:rsidRPr="00EF52DF">
        <w:rPr>
          <w:rFonts w:ascii="Times New Roman" w:eastAsia="Times New Roman" w:hAnsi="Times New Roman"/>
          <w:iCs/>
          <w:lang w:val="en-US" w:eastAsia="zh-CN"/>
        </w:rPr>
        <w:fldChar w:fldCharType="end"/>
      </w:r>
      <w:r w:rsidRPr="00EF52DF">
        <w:rPr>
          <w:rFonts w:ascii="Times New Roman" w:eastAsia="Times New Roman" w:hAnsi="Times New Roman"/>
          <w:iCs/>
          <w:lang w:eastAsia="zh-CN"/>
        </w:rPr>
        <w:t>.</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p>
    <w:p w:rsidR="00EF52DF" w:rsidRPr="00EF52DF" w:rsidRDefault="00EF52DF" w:rsidP="00EF52DF">
      <w:pPr>
        <w:pStyle w:val="Heading1"/>
        <w:numPr>
          <w:ilvl w:val="0"/>
          <w:numId w:val="7"/>
        </w:numPr>
      </w:pPr>
      <w:r w:rsidRPr="00EF52DF">
        <w:t>CONCLUSION</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Five-year data indicate a significant increase in PSC inspections This comprehensive analysis of Indonesia's PSC implementation under the Tokyo MOU (2018–2022) reveals key findings. As a strategically positioned archipelagic state, Indonesia has demonstrated commitment to port state responsibilities. However, significant challenges persist in achieving effective implementation.</w:t>
      </w:r>
      <w:r>
        <w:rPr>
          <w:rFonts w:ascii="Times New Roman" w:eastAsia="Times New Roman" w:hAnsi="Times New Roman"/>
          <w:iCs/>
          <w:lang w:eastAsia="zh-CN"/>
        </w:rPr>
        <w:t xml:space="preserve"> </w:t>
      </w:r>
      <w:r w:rsidRPr="00EF52DF">
        <w:rPr>
          <w:rFonts w:ascii="Times New Roman" w:eastAsia="Times New Roman" w:hAnsi="Times New Roman"/>
          <w:iCs/>
          <w:lang w:eastAsia="zh-CN"/>
        </w:rPr>
        <w:t>Annually, an average of 58 foreign vessels were detained, with bulk carriers comprising 35% of detentions. Tanjung Priok recorded the highest detention rate (42%), reflecting both shipping intensity and consistent PSC enforcement. Panama-flagged vessels dominated detentions (28%), underscoring the need for stricter oversight.</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r w:rsidRPr="00EF52DF">
        <w:rPr>
          <w:rFonts w:ascii="Times New Roman" w:eastAsia="Times New Roman" w:hAnsi="Times New Roman"/>
          <w:iCs/>
          <w:lang w:eastAsia="zh-CN"/>
        </w:rPr>
        <w:t>The most common deficiencies were in fire safety (31%) and propulsion systems (25%), reflecting critical maintenance gaps. While consistent with broader regional trends (Tokyo MOU, 2022), these findings point to specific national patterns requiring tailored responses.</w:t>
      </w:r>
      <w:r>
        <w:rPr>
          <w:rFonts w:ascii="Times New Roman" w:eastAsia="Times New Roman" w:hAnsi="Times New Roman"/>
          <w:iCs/>
          <w:lang w:eastAsia="zh-CN"/>
        </w:rPr>
        <w:t xml:space="preserve"> </w:t>
      </w:r>
      <w:r w:rsidRPr="00EF52DF">
        <w:rPr>
          <w:rFonts w:ascii="Times New Roman" w:eastAsia="Times New Roman" w:hAnsi="Times New Roman"/>
          <w:iCs/>
          <w:lang w:eastAsia="zh-CN"/>
        </w:rPr>
        <w:t>This study offers three key contributions: (1) the first empirical mapping of Indonesia’s PSC implementation in the context of the Tokyo MOU; (2) identification of priority areas to enhance inspection effectiveness; and (3) an evidence-based evaluation framework to inform maritime policy development.</w:t>
      </w:r>
      <w:r>
        <w:rPr>
          <w:rFonts w:ascii="Times New Roman" w:eastAsia="Times New Roman" w:hAnsi="Times New Roman"/>
          <w:iCs/>
          <w:lang w:eastAsia="zh-CN"/>
        </w:rPr>
        <w:t xml:space="preserve"> </w:t>
      </w:r>
      <w:r w:rsidRPr="00EF52DF">
        <w:rPr>
          <w:rFonts w:ascii="Times New Roman" w:eastAsia="Times New Roman" w:hAnsi="Times New Roman"/>
          <w:iCs/>
          <w:lang w:eastAsia="zh-CN"/>
        </w:rPr>
        <w:t>Policy implications include: enhancing inspector capacity in fire safety and propulsion inspections; developing a risk-based inspection system targeting bulk carriers and flag-of-convenience vessels; and optimizing PSC infrastructure at major ports such as Tanjung Priok.</w:t>
      </w:r>
    </w:p>
    <w:p w:rsidR="00EF52DF" w:rsidRPr="00EF52DF" w:rsidRDefault="00EF52DF" w:rsidP="00EF52DF">
      <w:pPr>
        <w:autoSpaceDE w:val="0"/>
        <w:autoSpaceDN w:val="0"/>
        <w:adjustRightInd w:val="0"/>
        <w:spacing w:after="0" w:line="240" w:lineRule="auto"/>
        <w:ind w:firstLine="426"/>
        <w:jc w:val="both"/>
        <w:rPr>
          <w:rFonts w:ascii="Times New Roman" w:eastAsia="Times New Roman" w:hAnsi="Times New Roman"/>
          <w:iCs/>
          <w:lang w:eastAsia="zh-CN"/>
        </w:rPr>
      </w:pPr>
    </w:p>
    <w:p w:rsidR="00EF52DF" w:rsidRPr="00EF52DF" w:rsidRDefault="00EF52DF" w:rsidP="00EF52DF">
      <w:pPr>
        <w:pStyle w:val="Heading1"/>
        <w:numPr>
          <w:ilvl w:val="0"/>
          <w:numId w:val="0"/>
        </w:numPr>
      </w:pPr>
      <w:r w:rsidRPr="00EF52DF">
        <w:t>REFERENCES</w:t>
      </w:r>
    </w:p>
    <w:p w:rsidR="00EF52DF" w:rsidRPr="00EF52DF" w:rsidRDefault="00EF52DF" w:rsidP="00EF52DF">
      <w:p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fldChar w:fldCharType="begin" w:fldLock="1"/>
      </w:r>
      <w:r w:rsidRPr="00EF52DF">
        <w:rPr>
          <w:rFonts w:ascii="Times New Roman" w:eastAsia="Times New Roman" w:hAnsi="Times New Roman"/>
          <w:iCs/>
          <w:lang w:eastAsia="zh-CN"/>
        </w:rPr>
        <w:instrText xml:space="preserve">ADDIN Mendeley Bibliography CSL_BIBLIOGRAPHY </w:instrText>
      </w:r>
      <w:r w:rsidRPr="00EF52DF">
        <w:rPr>
          <w:rFonts w:ascii="Times New Roman" w:eastAsia="Times New Roman" w:hAnsi="Times New Roman"/>
          <w:iCs/>
          <w:lang w:eastAsia="zh-CN"/>
        </w:rPr>
        <w:fldChar w:fldCharType="separate"/>
      </w:r>
      <w:r w:rsidRPr="00EF52DF">
        <w:rPr>
          <w:rFonts w:ascii="Times New Roman" w:eastAsia="Times New Roman" w:hAnsi="Times New Roman"/>
          <w:iCs/>
          <w:lang w:eastAsia="zh-CN"/>
        </w:rPr>
        <w:t>[1]</w:t>
      </w:r>
      <w:r w:rsidRPr="00EF52DF">
        <w:rPr>
          <w:rFonts w:ascii="Times New Roman" w:eastAsia="Times New Roman" w:hAnsi="Times New Roman"/>
          <w:iCs/>
          <w:lang w:eastAsia="zh-CN"/>
        </w:rPr>
        <w:tab/>
        <w:t xml:space="preserve">UNCTAD, </w:t>
      </w:r>
      <w:r w:rsidRPr="00EF52DF">
        <w:rPr>
          <w:rFonts w:ascii="Times New Roman" w:eastAsia="Times New Roman" w:hAnsi="Times New Roman"/>
          <w:i/>
          <w:iCs/>
          <w:lang w:eastAsia="zh-CN"/>
        </w:rPr>
        <w:t>International Maritime Trade</w:t>
      </w:r>
      <w:r w:rsidRPr="00EF52DF">
        <w:rPr>
          <w:rFonts w:ascii="Times New Roman" w:eastAsia="Times New Roman" w:hAnsi="Times New Roman"/>
          <w:iCs/>
          <w:lang w:eastAsia="zh-CN"/>
        </w:rPr>
        <w:t>. 2022. doi: 10.18356/9789213584569c006.</w:t>
      </w:r>
    </w:p>
    <w:p w:rsidR="00EF52DF" w:rsidRPr="00EF52DF" w:rsidRDefault="00EF52DF" w:rsidP="00EF52DF">
      <w:p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[2]</w:t>
      </w:r>
      <w:r w:rsidRPr="00EF52DF">
        <w:rPr>
          <w:rFonts w:ascii="Times New Roman" w:eastAsia="Times New Roman" w:hAnsi="Times New Roman"/>
          <w:iCs/>
          <w:lang w:eastAsia="zh-CN"/>
        </w:rPr>
        <w:tab/>
        <w:t>IMO, “Procedures for Port State Control, 2023. Paper A33/Res.1185. IMO-London,” vol. 1155, no. March, 2023.</w:t>
      </w:r>
    </w:p>
    <w:p w:rsidR="00EF52DF" w:rsidRPr="00EF52DF" w:rsidRDefault="00EF52DF" w:rsidP="00EF52DF">
      <w:p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[3]</w:t>
      </w:r>
      <w:r w:rsidRPr="00EF52DF">
        <w:rPr>
          <w:rFonts w:ascii="Times New Roman" w:eastAsia="Times New Roman" w:hAnsi="Times New Roman"/>
          <w:iCs/>
          <w:lang w:eastAsia="zh-CN"/>
        </w:rPr>
        <w:tab/>
        <w:t xml:space="preserve">T. Hansen, “Port State Control Efficiency in Developing Maritime Nations,” </w:t>
      </w:r>
      <w:r w:rsidRPr="00EF52DF">
        <w:rPr>
          <w:rFonts w:ascii="Times New Roman" w:eastAsia="Times New Roman" w:hAnsi="Times New Roman"/>
          <w:i/>
          <w:iCs/>
          <w:lang w:eastAsia="zh-CN"/>
        </w:rPr>
        <w:t>Marit. Policy</w:t>
      </w:r>
      <w:r w:rsidRPr="00EF52DF">
        <w:rPr>
          <w:rFonts w:ascii="Times New Roman" w:eastAsia="Times New Roman" w:hAnsi="Times New Roman"/>
          <w:iCs/>
          <w:lang w:eastAsia="zh-CN"/>
        </w:rPr>
        <w:t>, 2023.</w:t>
      </w:r>
    </w:p>
    <w:p w:rsidR="00EF52DF" w:rsidRPr="00EF52DF" w:rsidRDefault="00EF52DF" w:rsidP="00EF52DF">
      <w:p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[4]</w:t>
      </w:r>
      <w:r w:rsidRPr="00EF52DF">
        <w:rPr>
          <w:rFonts w:ascii="Times New Roman" w:eastAsia="Times New Roman" w:hAnsi="Times New Roman"/>
          <w:iCs/>
          <w:lang w:eastAsia="zh-CN"/>
        </w:rPr>
        <w:tab/>
        <w:t xml:space="preserve">O. Özçayır, </w:t>
      </w:r>
      <w:r w:rsidRPr="00EF52DF">
        <w:rPr>
          <w:rFonts w:ascii="Times New Roman" w:eastAsia="Times New Roman" w:hAnsi="Times New Roman"/>
          <w:i/>
          <w:iCs/>
          <w:lang w:eastAsia="zh-CN"/>
        </w:rPr>
        <w:t>Port State Control</w:t>
      </w:r>
      <w:r w:rsidRPr="00EF52DF">
        <w:rPr>
          <w:rFonts w:ascii="Times New Roman" w:eastAsia="Times New Roman" w:hAnsi="Times New Roman"/>
          <w:iCs/>
          <w:lang w:eastAsia="zh-CN"/>
        </w:rPr>
        <w:t>. Informa Law from Routledge, 2020.</w:t>
      </w:r>
    </w:p>
    <w:p w:rsidR="00EF52DF" w:rsidRPr="00EF52DF" w:rsidRDefault="00EF52DF" w:rsidP="00EF52DF">
      <w:p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[5]</w:t>
      </w:r>
      <w:r w:rsidRPr="00EF52DF">
        <w:rPr>
          <w:rFonts w:ascii="Times New Roman" w:eastAsia="Times New Roman" w:hAnsi="Times New Roman"/>
          <w:iCs/>
          <w:lang w:eastAsia="zh-CN"/>
        </w:rPr>
        <w:tab/>
        <w:t xml:space="preserve">R. Johnson and S. Lee, “Gaps in Flag State Implementation: A Global Analysis,” </w:t>
      </w:r>
      <w:r w:rsidRPr="00EF52DF">
        <w:rPr>
          <w:rFonts w:ascii="Times New Roman" w:eastAsia="Times New Roman" w:hAnsi="Times New Roman"/>
          <w:i/>
          <w:iCs/>
          <w:lang w:eastAsia="zh-CN"/>
        </w:rPr>
        <w:t>IMO Press</w:t>
      </w:r>
      <w:r w:rsidRPr="00EF52DF">
        <w:rPr>
          <w:rFonts w:ascii="Times New Roman" w:eastAsia="Times New Roman" w:hAnsi="Times New Roman"/>
          <w:iCs/>
          <w:lang w:eastAsia="zh-CN"/>
        </w:rPr>
        <w:t>, 2023.</w:t>
      </w:r>
    </w:p>
    <w:p w:rsidR="00EF52DF" w:rsidRPr="00EF52DF" w:rsidRDefault="00EF52DF" w:rsidP="00EF52DF">
      <w:p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[6]</w:t>
      </w:r>
      <w:r w:rsidRPr="00EF52DF">
        <w:rPr>
          <w:rFonts w:ascii="Times New Roman" w:eastAsia="Times New Roman" w:hAnsi="Times New Roman"/>
          <w:iCs/>
          <w:lang w:eastAsia="zh-CN"/>
        </w:rPr>
        <w:tab/>
        <w:t>Tokyo MOU, “Annual Report on Port State Control in the Asia-Pacific Region,” 2022.</w:t>
      </w:r>
    </w:p>
    <w:p w:rsidR="00EF52DF" w:rsidRPr="00EF52DF" w:rsidRDefault="00EF52DF" w:rsidP="00EF52DF">
      <w:p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[7]</w:t>
      </w:r>
      <w:r w:rsidRPr="00EF52DF">
        <w:rPr>
          <w:rFonts w:ascii="Times New Roman" w:eastAsia="Times New Roman" w:hAnsi="Times New Roman"/>
          <w:iCs/>
          <w:lang w:eastAsia="zh-CN"/>
        </w:rPr>
        <w:tab/>
        <w:t xml:space="preserve">Y. Wang, Rui-Feng Xu, Q. Lu, W.-J. Li, and K. X. Li, “Risk-Based Port State Control: Lessons from Tokyo MOU,” </w:t>
      </w:r>
      <w:r w:rsidRPr="00EF52DF">
        <w:rPr>
          <w:rFonts w:ascii="Times New Roman" w:eastAsia="Times New Roman" w:hAnsi="Times New Roman"/>
          <w:i/>
          <w:iCs/>
          <w:lang w:eastAsia="zh-CN"/>
        </w:rPr>
        <w:t>Transp. Res.</w:t>
      </w:r>
      <w:r w:rsidRPr="00EF52DF">
        <w:rPr>
          <w:rFonts w:ascii="Times New Roman" w:eastAsia="Times New Roman" w:hAnsi="Times New Roman"/>
          <w:iCs/>
          <w:lang w:eastAsia="zh-CN"/>
        </w:rPr>
        <w:t>, 2023.</w:t>
      </w:r>
    </w:p>
    <w:p w:rsidR="00EF52DF" w:rsidRPr="00EF52DF" w:rsidRDefault="00EF52DF" w:rsidP="00EF52DF">
      <w:p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[8]</w:t>
      </w:r>
      <w:r w:rsidRPr="00EF52DF">
        <w:rPr>
          <w:rFonts w:ascii="Times New Roman" w:eastAsia="Times New Roman" w:hAnsi="Times New Roman"/>
          <w:iCs/>
          <w:lang w:eastAsia="zh-CN"/>
        </w:rPr>
        <w:tab/>
        <w:t>Maritime Affairs Journal, “Maritime Affairs Journal,” 2023.</w:t>
      </w:r>
    </w:p>
    <w:p w:rsidR="00EF52DF" w:rsidRPr="00EF52DF" w:rsidRDefault="00EF52DF" w:rsidP="00EF52DF">
      <w:p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[9]</w:t>
      </w:r>
      <w:r w:rsidRPr="00EF52DF">
        <w:rPr>
          <w:rFonts w:ascii="Times New Roman" w:eastAsia="Times New Roman" w:hAnsi="Times New Roman"/>
          <w:iCs/>
          <w:lang w:eastAsia="zh-CN"/>
        </w:rPr>
        <w:tab/>
        <w:t xml:space="preserve">L. Chen and W. Zhang, “AI Applications in Port State Control,” </w:t>
      </w:r>
      <w:r w:rsidRPr="00EF52DF">
        <w:rPr>
          <w:rFonts w:ascii="Times New Roman" w:eastAsia="Times New Roman" w:hAnsi="Times New Roman"/>
          <w:i/>
          <w:iCs/>
          <w:lang w:eastAsia="zh-CN"/>
        </w:rPr>
        <w:t>J. Marit. Technol.</w:t>
      </w:r>
      <w:r w:rsidRPr="00EF52DF">
        <w:rPr>
          <w:rFonts w:ascii="Times New Roman" w:eastAsia="Times New Roman" w:hAnsi="Times New Roman"/>
          <w:iCs/>
          <w:lang w:eastAsia="zh-CN"/>
        </w:rPr>
        <w:t>, no. 8(1), pp. 112-128., 2024.</w:t>
      </w:r>
    </w:p>
    <w:p w:rsidR="00EF52DF" w:rsidRPr="00EF52DF" w:rsidRDefault="00EF52DF" w:rsidP="00EF52DF">
      <w:p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lastRenderedPageBreak/>
        <w:t>[10]</w:t>
      </w:r>
      <w:r w:rsidRPr="00EF52DF">
        <w:rPr>
          <w:rFonts w:ascii="Times New Roman" w:eastAsia="Times New Roman" w:hAnsi="Times New Roman"/>
          <w:iCs/>
          <w:lang w:eastAsia="zh-CN"/>
        </w:rPr>
        <w:tab/>
        <w:t xml:space="preserve">J. Chen, Y. Zhao, and T. Zhang, “Policies for Potentially Inundated Island Nations for the Retention of Marine Resources and Rights of Associated Under-Water Features and Exclusive Economic Zones,” </w:t>
      </w:r>
      <w:r w:rsidRPr="00EF52DF">
        <w:rPr>
          <w:rFonts w:ascii="Times New Roman" w:eastAsia="Times New Roman" w:hAnsi="Times New Roman"/>
          <w:i/>
          <w:iCs/>
          <w:lang w:eastAsia="zh-CN"/>
        </w:rPr>
        <w:t>Ocean Coast. Manag.</w:t>
      </w:r>
      <w:r w:rsidRPr="00EF52DF">
        <w:rPr>
          <w:rFonts w:ascii="Times New Roman" w:eastAsia="Times New Roman" w:hAnsi="Times New Roman"/>
          <w:iCs/>
          <w:lang w:eastAsia="zh-CN"/>
        </w:rPr>
        <w:t>, 2023.</w:t>
      </w:r>
    </w:p>
    <w:p w:rsidR="00EF52DF" w:rsidRPr="00EF52DF" w:rsidRDefault="00EF52DF" w:rsidP="00EF52DF">
      <w:p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[11]</w:t>
      </w:r>
      <w:r w:rsidRPr="00EF52DF">
        <w:rPr>
          <w:rFonts w:ascii="Times New Roman" w:eastAsia="Times New Roman" w:hAnsi="Times New Roman"/>
          <w:iCs/>
          <w:lang w:eastAsia="zh-CN"/>
        </w:rPr>
        <w:tab/>
        <w:t xml:space="preserve">M. Moniruzzaman, “Enterprise risk management in designing meta-regulation under risk-based regulatory strategy: An empirical evidence from financial regulation,” </w:t>
      </w:r>
      <w:r w:rsidRPr="00EF52DF">
        <w:rPr>
          <w:rFonts w:ascii="Times New Roman" w:eastAsia="Times New Roman" w:hAnsi="Times New Roman"/>
          <w:i/>
          <w:iCs/>
          <w:lang w:eastAsia="zh-CN"/>
        </w:rPr>
        <w:t>Glob. J. Manag. Bus. Res. A Adm. Manag.</w:t>
      </w:r>
      <w:r w:rsidRPr="00EF52DF">
        <w:rPr>
          <w:rFonts w:ascii="Times New Roman" w:eastAsia="Times New Roman" w:hAnsi="Times New Roman"/>
          <w:iCs/>
          <w:lang w:eastAsia="zh-CN"/>
        </w:rPr>
        <w:t>, vol. 23, no. 2, 2023.</w:t>
      </w:r>
    </w:p>
    <w:p w:rsidR="00EF52DF" w:rsidRPr="00EF52DF" w:rsidRDefault="00EF52DF" w:rsidP="00EF52DF">
      <w:p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[12]</w:t>
      </w:r>
      <w:r w:rsidRPr="00EF52DF">
        <w:rPr>
          <w:rFonts w:ascii="Times New Roman" w:eastAsia="Times New Roman" w:hAnsi="Times New Roman"/>
          <w:iCs/>
          <w:lang w:eastAsia="zh-CN"/>
        </w:rPr>
        <w:tab/>
        <w:t xml:space="preserve">M. Moniruzzaman, “Risk of regulatory failure of ‘risk-based regulation’ while using enterprise risk management as a meta-regulatory toolkit,” </w:t>
      </w:r>
      <w:r w:rsidRPr="00EF52DF">
        <w:rPr>
          <w:rFonts w:ascii="Times New Roman" w:eastAsia="Times New Roman" w:hAnsi="Times New Roman"/>
          <w:i/>
          <w:iCs/>
          <w:lang w:eastAsia="zh-CN"/>
        </w:rPr>
        <w:t>Asian J. Econ. Bank.</w:t>
      </w:r>
      <w:r w:rsidRPr="00EF52DF">
        <w:rPr>
          <w:rFonts w:ascii="Times New Roman" w:eastAsia="Times New Roman" w:hAnsi="Times New Roman"/>
          <w:iCs/>
          <w:lang w:eastAsia="zh-CN"/>
        </w:rPr>
        <w:t>, vol. 6, no. 1, pp. 103–121, 2022, doi: 10.1108/ajeb-05-2021-0067.</w:t>
      </w:r>
    </w:p>
    <w:p w:rsidR="00EF52DF" w:rsidRPr="00EF52DF" w:rsidRDefault="00EF52DF" w:rsidP="00EF52DF">
      <w:p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[13]</w:t>
      </w:r>
      <w:r w:rsidRPr="00EF52DF">
        <w:rPr>
          <w:rFonts w:ascii="Times New Roman" w:eastAsia="Times New Roman" w:hAnsi="Times New Roman"/>
          <w:iCs/>
          <w:lang w:eastAsia="zh-CN"/>
        </w:rPr>
        <w:tab/>
        <w:t xml:space="preserve">E. Japar Sidik, A. Baihaqi, and D. Wahyu Utomo, “Comparative Evaluation of the Qualitative and Quantitative Research on English as a Foreign Language (EFL) Policy at Primary Education in Indonesia and Other EFL Contexts,” </w:t>
      </w:r>
      <w:r w:rsidRPr="00EF52DF">
        <w:rPr>
          <w:rFonts w:ascii="Times New Roman" w:eastAsia="Times New Roman" w:hAnsi="Times New Roman"/>
          <w:i/>
          <w:iCs/>
          <w:lang w:eastAsia="zh-CN"/>
        </w:rPr>
        <w:t>J. English Lang. Teach. Cult. Stud.</w:t>
      </w:r>
      <w:r w:rsidRPr="00EF52DF">
        <w:rPr>
          <w:rFonts w:ascii="Times New Roman" w:eastAsia="Times New Roman" w:hAnsi="Times New Roman"/>
          <w:iCs/>
          <w:lang w:eastAsia="zh-CN"/>
        </w:rPr>
        <w:t>, vol. 5, no. 1, pp. 60–76, 2022, doi: 10.48181/jelts.v5i1.14600.</w:t>
      </w:r>
    </w:p>
    <w:p w:rsidR="00EF52DF" w:rsidRPr="00EF52DF" w:rsidRDefault="00EF52DF" w:rsidP="00EF52DF">
      <w:p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[14]</w:t>
      </w:r>
      <w:r w:rsidRPr="00EF52DF">
        <w:rPr>
          <w:rFonts w:ascii="Times New Roman" w:eastAsia="Times New Roman" w:hAnsi="Times New Roman"/>
          <w:iCs/>
          <w:lang w:eastAsia="zh-CN"/>
        </w:rPr>
        <w:tab/>
        <w:t>Global Maritime Review, “Global Maritime Review,” 2023.</w:t>
      </w:r>
    </w:p>
    <w:p w:rsidR="00EF52DF" w:rsidRPr="00EF52DF" w:rsidRDefault="00EF52DF" w:rsidP="00EF52DF">
      <w:p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[15]</w:t>
      </w:r>
      <w:r w:rsidRPr="00EF52DF">
        <w:rPr>
          <w:rFonts w:ascii="Times New Roman" w:eastAsia="Times New Roman" w:hAnsi="Times New Roman"/>
          <w:iCs/>
          <w:lang w:eastAsia="zh-CN"/>
        </w:rPr>
        <w:tab/>
        <w:t>DGST, “Laporan Kinerja Instansi Pemerintah Direktorat Jenderal Perhubungan Laut,” 2023.</w:t>
      </w:r>
    </w:p>
    <w:p w:rsidR="00EF52DF" w:rsidRPr="00EF52DF" w:rsidRDefault="00EF52DF" w:rsidP="00EF52DF">
      <w:p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[16]</w:t>
      </w:r>
      <w:r w:rsidRPr="00EF52DF">
        <w:rPr>
          <w:rFonts w:ascii="Times New Roman" w:eastAsia="Times New Roman" w:hAnsi="Times New Roman"/>
          <w:iCs/>
          <w:lang w:eastAsia="zh-CN"/>
        </w:rPr>
        <w:tab/>
        <w:t>MSA, “Maritime Safety Agency Facts and Figure,” 2024.</w:t>
      </w:r>
    </w:p>
    <w:p w:rsidR="00EF52DF" w:rsidRPr="00EF52DF" w:rsidRDefault="00EF52DF" w:rsidP="00EF52DF">
      <w:p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[17]</w:t>
      </w:r>
      <w:r w:rsidRPr="00EF52DF">
        <w:rPr>
          <w:rFonts w:ascii="Times New Roman" w:eastAsia="Times New Roman" w:hAnsi="Times New Roman"/>
          <w:iCs/>
          <w:lang w:eastAsia="zh-CN"/>
        </w:rPr>
        <w:tab/>
        <w:t xml:space="preserve">H. Yamamoto and R. Tanaka, “Machinery Deficiencies in Bulk Carriers,” </w:t>
      </w:r>
      <w:r w:rsidRPr="00EF52DF">
        <w:rPr>
          <w:rFonts w:ascii="Times New Roman" w:eastAsia="Times New Roman" w:hAnsi="Times New Roman"/>
          <w:i/>
          <w:iCs/>
          <w:lang w:eastAsia="zh-CN"/>
        </w:rPr>
        <w:t>Mar. Eng.</w:t>
      </w:r>
      <w:r w:rsidRPr="00EF52DF">
        <w:rPr>
          <w:rFonts w:ascii="Times New Roman" w:eastAsia="Times New Roman" w:hAnsi="Times New Roman"/>
          <w:iCs/>
          <w:lang w:eastAsia="zh-CN"/>
        </w:rPr>
        <w:t>, vol. 39, no. 3, pp. 201–215, 2024.</w:t>
      </w:r>
    </w:p>
    <w:p w:rsidR="00EF52DF" w:rsidRPr="00EF52DF" w:rsidRDefault="00EF52DF" w:rsidP="00EF52DF">
      <w:p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[18]</w:t>
      </w:r>
      <w:r w:rsidRPr="00EF52DF">
        <w:rPr>
          <w:rFonts w:ascii="Times New Roman" w:eastAsia="Times New Roman" w:hAnsi="Times New Roman"/>
          <w:iCs/>
          <w:lang w:eastAsia="zh-CN"/>
        </w:rPr>
        <w:tab/>
        <w:t xml:space="preserve">T. Hwang, I. H. Youn, S. Lee, and I. Kim, “Efficiency Comparison between Audible and Buzzle Alarms of Electronic Chart Display and Information System Alarm under the Simulated Environment,” </w:t>
      </w:r>
      <w:r w:rsidRPr="00EF52DF">
        <w:rPr>
          <w:rFonts w:ascii="Times New Roman" w:eastAsia="Times New Roman" w:hAnsi="Times New Roman"/>
          <w:i/>
          <w:iCs/>
          <w:lang w:eastAsia="zh-CN"/>
        </w:rPr>
        <w:t>J. Mar. Sci. Eng.</w:t>
      </w:r>
      <w:r w:rsidRPr="00EF52DF">
        <w:rPr>
          <w:rFonts w:ascii="Times New Roman" w:eastAsia="Times New Roman" w:hAnsi="Times New Roman"/>
          <w:iCs/>
          <w:lang w:eastAsia="zh-CN"/>
        </w:rPr>
        <w:t>, vol. 10, no. 2, 2022, doi: 10.3390/jmse10020154.</w:t>
      </w:r>
    </w:p>
    <w:p w:rsidR="00EF52DF" w:rsidRPr="00EF52DF" w:rsidRDefault="00EF52DF" w:rsidP="00EF52DF">
      <w:p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[19]</w:t>
      </w:r>
      <w:r w:rsidRPr="00EF52DF">
        <w:rPr>
          <w:rFonts w:ascii="Times New Roman" w:eastAsia="Times New Roman" w:hAnsi="Times New Roman"/>
          <w:iCs/>
          <w:lang w:eastAsia="zh-CN"/>
        </w:rPr>
        <w:tab/>
        <w:t xml:space="preserve">P. Anderson, “Flag State Performance in Global Maritime Governance. Ocean Policy,” </w:t>
      </w:r>
      <w:r w:rsidRPr="00EF52DF">
        <w:rPr>
          <w:rFonts w:ascii="Times New Roman" w:eastAsia="Times New Roman" w:hAnsi="Times New Roman"/>
          <w:i/>
          <w:iCs/>
          <w:lang w:eastAsia="zh-CN"/>
        </w:rPr>
        <w:t>Ocean Policy</w:t>
      </w:r>
      <w:r w:rsidRPr="00EF52DF">
        <w:rPr>
          <w:rFonts w:ascii="Times New Roman" w:eastAsia="Times New Roman" w:hAnsi="Times New Roman"/>
          <w:iCs/>
          <w:lang w:eastAsia="zh-CN"/>
        </w:rPr>
        <w:t>, pp. 15(2), 45-62., 2024.</w:t>
      </w:r>
    </w:p>
    <w:p w:rsidR="00EF52DF" w:rsidRPr="00EF52DF" w:rsidRDefault="00EF52DF" w:rsidP="00EF52DF">
      <w:pPr>
        <w:autoSpaceDE w:val="0"/>
        <w:autoSpaceDN w:val="0"/>
        <w:adjustRightInd w:val="0"/>
        <w:spacing w:after="0" w:line="240" w:lineRule="auto"/>
        <w:jc w:val="both"/>
        <w:rPr>
          <w:rFonts w:ascii="Times New Roman" w:eastAsia="Times New Roman" w:hAnsi="Times New Roman"/>
          <w:iCs/>
          <w:lang w:eastAsia="zh-CN"/>
        </w:rPr>
      </w:pPr>
      <w:r w:rsidRPr="00EF52DF">
        <w:rPr>
          <w:rFonts w:ascii="Times New Roman" w:eastAsia="Times New Roman" w:hAnsi="Times New Roman"/>
          <w:iCs/>
          <w:lang w:eastAsia="zh-CN"/>
        </w:rPr>
        <w:t>[20]</w:t>
      </w:r>
      <w:r w:rsidRPr="00EF52DF">
        <w:rPr>
          <w:rFonts w:ascii="Times New Roman" w:eastAsia="Times New Roman" w:hAnsi="Times New Roman"/>
          <w:iCs/>
          <w:lang w:eastAsia="zh-CN"/>
        </w:rPr>
        <w:tab/>
        <w:t>Tokyo MOU, “Tokyo MOU Port State Control Committee held the 35th Meeting in Incheon, Republic of Korea,” 2024.</w:t>
      </w:r>
    </w:p>
    <w:p w:rsidR="007119B1" w:rsidRDefault="00EF52DF" w:rsidP="00EF52DF">
      <w:pPr>
        <w:autoSpaceDE w:val="0"/>
        <w:autoSpaceDN w:val="0"/>
        <w:adjustRightInd w:val="0"/>
        <w:spacing w:after="0" w:line="240" w:lineRule="auto"/>
        <w:jc w:val="both"/>
        <w:rPr>
          <w:rFonts w:ascii="Times New Roman" w:eastAsia="Times New Roman" w:hAnsi="Times New Roman"/>
          <w:iCs/>
          <w:lang w:val="en-US" w:eastAsia="zh-CN"/>
        </w:rPr>
      </w:pPr>
      <w:r w:rsidRPr="00EF52DF">
        <w:rPr>
          <w:rFonts w:ascii="Times New Roman" w:eastAsia="Times New Roman" w:hAnsi="Times New Roman"/>
          <w:iCs/>
          <w:lang w:eastAsia="zh-CN"/>
        </w:rPr>
        <w:t>[21]</w:t>
      </w:r>
      <w:r w:rsidRPr="00EF52DF">
        <w:rPr>
          <w:rFonts w:ascii="Times New Roman" w:eastAsia="Times New Roman" w:hAnsi="Times New Roman"/>
          <w:iCs/>
          <w:lang w:eastAsia="zh-CN"/>
        </w:rPr>
        <w:tab/>
        <w:t>Maritime Human Resources Development Center, “Maritime Human Resources Development Center,” 2024.</w:t>
      </w:r>
      <w:r w:rsidRPr="00EF52DF">
        <w:rPr>
          <w:rFonts w:ascii="Times New Roman" w:eastAsia="Times New Roman" w:hAnsi="Times New Roman"/>
          <w:iCs/>
          <w:lang w:val="en-US" w:eastAsia="zh-CN"/>
        </w:rPr>
        <w:fldChar w:fldCharType="end"/>
      </w:r>
    </w:p>
    <w:p w:rsidR="00EF52DF" w:rsidRDefault="00EF52DF" w:rsidP="00EF52DF">
      <w:pPr>
        <w:autoSpaceDE w:val="0"/>
        <w:autoSpaceDN w:val="0"/>
        <w:adjustRightInd w:val="0"/>
        <w:spacing w:after="0" w:line="240" w:lineRule="auto"/>
        <w:jc w:val="both"/>
        <w:rPr>
          <w:rFonts w:ascii="Times New Roman" w:eastAsia="Times New Roman" w:hAnsi="Times New Roman"/>
          <w:iCs/>
          <w:lang w:val="en-US" w:eastAsia="zh-CN"/>
        </w:rPr>
        <w:sectPr w:rsidR="00EF52DF" w:rsidSect="00EF52DF">
          <w:type w:val="continuous"/>
          <w:pgSz w:w="11906" w:h="16838" w:code="9"/>
          <w:pgMar w:top="1080" w:right="907" w:bottom="1440" w:left="907" w:header="720" w:footer="720" w:gutter="0"/>
          <w:cols w:num="2" w:space="360"/>
          <w:docGrid w:linePitch="360"/>
        </w:sectPr>
      </w:pPr>
    </w:p>
    <w:p w:rsidR="00EF52DF" w:rsidRDefault="00EF52DF" w:rsidP="00EF52DF">
      <w:pPr>
        <w:autoSpaceDE w:val="0"/>
        <w:autoSpaceDN w:val="0"/>
        <w:adjustRightInd w:val="0"/>
        <w:spacing w:after="0" w:line="240" w:lineRule="auto"/>
        <w:jc w:val="both"/>
        <w:rPr>
          <w:rFonts w:ascii="Times New Roman" w:eastAsia="Times New Roman" w:hAnsi="Times New Roman"/>
          <w:iCs/>
          <w:lang w:val="en-US" w:eastAsia="zh-CN"/>
        </w:rPr>
      </w:pPr>
    </w:p>
    <w:p w:rsidR="00EF52DF" w:rsidRDefault="00EF52DF" w:rsidP="00EF52DF">
      <w:pPr>
        <w:autoSpaceDE w:val="0"/>
        <w:autoSpaceDN w:val="0"/>
        <w:adjustRightInd w:val="0"/>
        <w:spacing w:after="0" w:line="240" w:lineRule="auto"/>
        <w:jc w:val="both"/>
        <w:rPr>
          <w:rFonts w:ascii="Times New Roman" w:eastAsia="Times New Roman" w:hAnsi="Times New Roman"/>
          <w:iCs/>
          <w:lang w:val="en-US" w:eastAsia="zh-CN"/>
        </w:rPr>
      </w:pPr>
    </w:p>
    <w:p w:rsidR="00EF52DF" w:rsidRDefault="00EF52DF" w:rsidP="00EF52DF">
      <w:pPr>
        <w:autoSpaceDE w:val="0"/>
        <w:autoSpaceDN w:val="0"/>
        <w:adjustRightInd w:val="0"/>
        <w:spacing w:after="0" w:line="240" w:lineRule="auto"/>
        <w:jc w:val="both"/>
        <w:rPr>
          <w:rFonts w:ascii="Times New Roman" w:eastAsia="Times New Roman" w:hAnsi="Times New Roman"/>
          <w:iCs/>
          <w:lang w:val="en-US" w:eastAsia="zh-CN"/>
        </w:rPr>
      </w:pPr>
    </w:p>
    <w:p w:rsidR="00EF52DF" w:rsidRDefault="00EF52DF" w:rsidP="00EF52DF">
      <w:pPr>
        <w:autoSpaceDE w:val="0"/>
        <w:autoSpaceDN w:val="0"/>
        <w:adjustRightInd w:val="0"/>
        <w:spacing w:after="0" w:line="240" w:lineRule="auto"/>
        <w:jc w:val="both"/>
        <w:rPr>
          <w:rFonts w:ascii="Times New Roman" w:eastAsia="Times New Roman" w:hAnsi="Times New Roman"/>
          <w:iCs/>
          <w:lang w:val="en-US" w:eastAsia="zh-CN"/>
        </w:rPr>
      </w:pPr>
    </w:p>
    <w:p w:rsidR="00EF52DF" w:rsidRDefault="00EF52DF" w:rsidP="00EF52DF">
      <w:pPr>
        <w:autoSpaceDE w:val="0"/>
        <w:autoSpaceDN w:val="0"/>
        <w:adjustRightInd w:val="0"/>
        <w:spacing w:after="0" w:line="240" w:lineRule="auto"/>
        <w:jc w:val="both"/>
        <w:rPr>
          <w:rFonts w:ascii="Times New Roman" w:eastAsia="Times New Roman" w:hAnsi="Times New Roman"/>
          <w:iCs/>
          <w:lang w:val="en-US" w:eastAsia="zh-CN"/>
        </w:rPr>
      </w:pPr>
    </w:p>
    <w:sectPr w:rsidR="00EF52DF" w:rsidSect="007119B1">
      <w:type w:val="continuous"/>
      <w:pgSz w:w="11906" w:h="16838" w:code="9"/>
      <w:pgMar w:top="1080" w:right="907" w:bottom="1440" w:left="907"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6FB6" w:rsidRDefault="00A16FB6">
      <w:pPr>
        <w:spacing w:after="0" w:line="240" w:lineRule="auto"/>
      </w:pPr>
      <w:r>
        <w:separator/>
      </w:r>
    </w:p>
  </w:endnote>
  <w:endnote w:type="continuationSeparator" w:id="0">
    <w:p w:rsidR="00A16FB6" w:rsidRDefault="00A1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211F" w:rsidRDefault="005A211F">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Pr>
        <w:rFonts w:ascii="Times New Roman" w:hAnsi="Times New Roman"/>
        <w:b/>
        <w:bCs/>
        <w:iCs/>
        <w:sz w:val="24"/>
        <w:szCs w:val="24"/>
        <w:lang w:val="en-US"/>
      </w:rPr>
      <w:t>1</w:t>
    </w:r>
    <w:r w:rsidR="00710738">
      <w:rPr>
        <w:rFonts w:ascii="Times New Roman" w:hAnsi="Times New Roman"/>
        <w:b/>
        <w:bCs/>
        <w:iCs/>
        <w:sz w:val="24"/>
        <w:szCs w:val="24"/>
        <w:lang w:val="en-US"/>
      </w:rPr>
      <w:t>8</w:t>
    </w:r>
    <w:r>
      <w:rPr>
        <w:rFonts w:ascii="Times New Roman" w:hAnsi="Times New Roman"/>
        <w:b/>
        <w:bCs/>
        <w:iCs/>
        <w:sz w:val="24"/>
        <w:szCs w:val="24"/>
      </w:rPr>
      <w:t xml:space="preserve">, No. </w:t>
    </w:r>
    <w:r w:rsidR="00710738">
      <w:rPr>
        <w:rFonts w:ascii="Times New Roman" w:hAnsi="Times New Roman"/>
        <w:b/>
        <w:bCs/>
        <w:iCs/>
        <w:sz w:val="24"/>
        <w:szCs w:val="24"/>
      </w:rPr>
      <w:t>1</w:t>
    </w:r>
    <w:r>
      <w:rPr>
        <w:rFonts w:ascii="Times New Roman" w:hAnsi="Times New Roman"/>
        <w:b/>
        <w:bCs/>
        <w:iCs/>
        <w:sz w:val="24"/>
        <w:szCs w:val="24"/>
        <w:lang w:val="en-US"/>
      </w:rPr>
      <w:t xml:space="preserve"> </w:t>
    </w:r>
    <w:r w:rsidR="00710738">
      <w:rPr>
        <w:rFonts w:ascii="Times New Roman" w:hAnsi="Times New Roman"/>
        <w:b/>
        <w:bCs/>
        <w:iCs/>
        <w:sz w:val="24"/>
        <w:szCs w:val="24"/>
      </w:rPr>
      <w:t>June</w:t>
    </w:r>
    <w:r>
      <w:rPr>
        <w:rFonts w:ascii="Times New Roman" w:hAnsi="Times New Roman"/>
        <w:b/>
        <w:bCs/>
        <w:iCs/>
        <w:sz w:val="24"/>
        <w:szCs w:val="24"/>
        <w:lang w:val="en-US"/>
      </w:rPr>
      <w:t xml:space="preserve"> 202</w:t>
    </w:r>
    <w:r w:rsidR="00710738">
      <w:rPr>
        <w:rFonts w:ascii="Times New Roman" w:hAnsi="Times New Roman"/>
        <w:b/>
        <w:bCs/>
        <w:iCs/>
        <w:sz w:val="24"/>
        <w:szCs w:val="24"/>
        <w:lang w:val="en-US"/>
      </w:rPr>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CB3908">
      <w:rPr>
        <w:rFonts w:ascii="Times New Roman" w:hAnsi="Times New Roman"/>
        <w:noProof/>
        <w:sz w:val="24"/>
        <w:szCs w:val="24"/>
      </w:rPr>
      <w:t>85</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6FB6" w:rsidRDefault="00A16FB6">
      <w:pPr>
        <w:spacing w:after="0" w:line="240" w:lineRule="auto"/>
      </w:pPr>
      <w:r>
        <w:separator/>
      </w:r>
    </w:p>
  </w:footnote>
  <w:footnote w:type="continuationSeparator" w:id="0">
    <w:p w:rsidR="00A16FB6" w:rsidRDefault="00A16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350541C4"/>
    <w:multiLevelType w:val="hybridMultilevel"/>
    <w:tmpl w:val="E20C8C52"/>
    <w:lvl w:ilvl="0" w:tplc="9D0C7AD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387A6705"/>
    <w:multiLevelType w:val="hybridMultilevel"/>
    <w:tmpl w:val="5EC6640C"/>
    <w:lvl w:ilvl="0" w:tplc="82E8810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49E234B4"/>
    <w:multiLevelType w:val="hybridMultilevel"/>
    <w:tmpl w:val="7A8A73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1AC7D49"/>
    <w:multiLevelType w:val="hybridMultilevel"/>
    <w:tmpl w:val="4DDECAD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52AF40F4"/>
    <w:multiLevelType w:val="hybridMultilevel"/>
    <w:tmpl w:val="2702CC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5AA656FF"/>
    <w:multiLevelType w:val="hybridMultilevel"/>
    <w:tmpl w:val="87F685A0"/>
    <w:lvl w:ilvl="0" w:tplc="AEF8D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5AD97CD8"/>
    <w:multiLevelType w:val="multilevel"/>
    <w:tmpl w:val="5AD97CD8"/>
    <w:lvl w:ilvl="0">
      <w:start w:val="1072"/>
      <w:numFmt w:val="bullet"/>
      <w:pStyle w:val="Heading1"/>
      <w:lvlText w:val="-"/>
      <w:lvlJc w:val="left"/>
      <w:pPr>
        <w:ind w:left="624" w:hanging="360"/>
      </w:pPr>
      <w:rPr>
        <w:rFonts w:ascii="Times New Roman" w:eastAsia="Times New Roman" w:hAnsi="Times New Roman" w:cs="Times New Roman" w:hint="default"/>
      </w:rPr>
    </w:lvl>
    <w:lvl w:ilvl="1">
      <w:start w:val="1"/>
      <w:numFmt w:val="bullet"/>
      <w:lvlText w:val="o"/>
      <w:lvlJc w:val="left"/>
      <w:pPr>
        <w:ind w:left="1344" w:hanging="360"/>
      </w:pPr>
      <w:rPr>
        <w:rFonts w:ascii="Courier New" w:hAnsi="Courier New" w:cs="Courier New" w:hint="default"/>
      </w:rPr>
    </w:lvl>
    <w:lvl w:ilvl="2">
      <w:start w:val="1"/>
      <w:numFmt w:val="bullet"/>
      <w:lvlText w:val=""/>
      <w:lvlJc w:val="left"/>
      <w:pPr>
        <w:ind w:left="2064" w:hanging="360"/>
      </w:pPr>
      <w:rPr>
        <w:rFonts w:ascii="Wingdings" w:hAnsi="Wingdings" w:hint="default"/>
      </w:rPr>
    </w:lvl>
    <w:lvl w:ilvl="3">
      <w:start w:val="1"/>
      <w:numFmt w:val="bullet"/>
      <w:lvlText w:val=""/>
      <w:lvlJc w:val="left"/>
      <w:pPr>
        <w:ind w:left="2784" w:hanging="360"/>
      </w:pPr>
      <w:rPr>
        <w:rFonts w:ascii="Symbol" w:hAnsi="Symbol" w:hint="default"/>
      </w:rPr>
    </w:lvl>
    <w:lvl w:ilvl="4">
      <w:start w:val="1"/>
      <w:numFmt w:val="bullet"/>
      <w:lvlText w:val="o"/>
      <w:lvlJc w:val="left"/>
      <w:pPr>
        <w:ind w:left="3504" w:hanging="360"/>
      </w:pPr>
      <w:rPr>
        <w:rFonts w:ascii="Courier New" w:hAnsi="Courier New" w:cs="Courier New" w:hint="default"/>
      </w:rPr>
    </w:lvl>
    <w:lvl w:ilvl="5">
      <w:start w:val="1"/>
      <w:numFmt w:val="bullet"/>
      <w:lvlText w:val=""/>
      <w:lvlJc w:val="left"/>
      <w:pPr>
        <w:ind w:left="4224" w:hanging="360"/>
      </w:pPr>
      <w:rPr>
        <w:rFonts w:ascii="Wingdings" w:hAnsi="Wingdings" w:hint="default"/>
      </w:rPr>
    </w:lvl>
    <w:lvl w:ilvl="6">
      <w:start w:val="1"/>
      <w:numFmt w:val="bullet"/>
      <w:lvlText w:val=""/>
      <w:lvlJc w:val="left"/>
      <w:pPr>
        <w:ind w:left="4944" w:hanging="360"/>
      </w:pPr>
      <w:rPr>
        <w:rFonts w:ascii="Symbol" w:hAnsi="Symbol" w:hint="default"/>
      </w:rPr>
    </w:lvl>
    <w:lvl w:ilvl="7">
      <w:start w:val="1"/>
      <w:numFmt w:val="bullet"/>
      <w:lvlText w:val="o"/>
      <w:lvlJc w:val="left"/>
      <w:pPr>
        <w:ind w:left="5664" w:hanging="360"/>
      </w:pPr>
      <w:rPr>
        <w:rFonts w:ascii="Courier New" w:hAnsi="Courier New" w:cs="Courier New" w:hint="default"/>
      </w:rPr>
    </w:lvl>
    <w:lvl w:ilvl="8">
      <w:start w:val="1"/>
      <w:numFmt w:val="bullet"/>
      <w:lvlText w:val=""/>
      <w:lvlJc w:val="left"/>
      <w:pPr>
        <w:ind w:left="6384" w:hanging="360"/>
      </w:pPr>
      <w:rPr>
        <w:rFonts w:ascii="Wingdings" w:hAnsi="Wingdings" w:hint="default"/>
      </w:rPr>
    </w:lvl>
  </w:abstractNum>
  <w:abstractNum w:abstractNumId="9" w15:restartNumberingAfterBreak="0">
    <w:nsid w:val="67D06098"/>
    <w:multiLevelType w:val="hybridMultilevel"/>
    <w:tmpl w:val="B4940562"/>
    <w:lvl w:ilvl="0" w:tplc="85440DC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69997310"/>
    <w:multiLevelType w:val="hybridMultilevel"/>
    <w:tmpl w:val="10F62F6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C3141A7"/>
    <w:multiLevelType w:val="hybridMultilevel"/>
    <w:tmpl w:val="BFC0986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281764130">
    <w:abstractNumId w:val="8"/>
  </w:num>
  <w:num w:numId="2" w16cid:durableId="847136377">
    <w:abstractNumId w:val="0"/>
  </w:num>
  <w:num w:numId="3" w16cid:durableId="1125275362">
    <w:abstractNumId w:val="1"/>
  </w:num>
  <w:num w:numId="4" w16cid:durableId="502596450">
    <w:abstractNumId w:val="11"/>
  </w:num>
  <w:num w:numId="5" w16cid:durableId="469590832">
    <w:abstractNumId w:val="9"/>
  </w:num>
  <w:num w:numId="6" w16cid:durableId="1426073610">
    <w:abstractNumId w:val="6"/>
  </w:num>
  <w:num w:numId="7" w16cid:durableId="1941596438">
    <w:abstractNumId w:val="4"/>
  </w:num>
  <w:num w:numId="8" w16cid:durableId="1592615555">
    <w:abstractNumId w:val="12"/>
  </w:num>
  <w:num w:numId="9" w16cid:durableId="159542954">
    <w:abstractNumId w:val="2"/>
  </w:num>
  <w:num w:numId="10" w16cid:durableId="1682050100">
    <w:abstractNumId w:val="10"/>
  </w:num>
  <w:num w:numId="11" w16cid:durableId="2077631635">
    <w:abstractNumId w:val="3"/>
  </w:num>
  <w:num w:numId="12" w16cid:durableId="419722883">
    <w:abstractNumId w:val="5"/>
  </w:num>
  <w:num w:numId="13" w16cid:durableId="1666204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defaultTabStop w:val="720"/>
  <w:characterSpacingControl w:val="doNotCompres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30B5C"/>
    <w:rsid w:val="00033E18"/>
    <w:rsid w:val="00041308"/>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E5FB5"/>
    <w:rsid w:val="000E6927"/>
    <w:rsid w:val="000F5F9E"/>
    <w:rsid w:val="0011640C"/>
    <w:rsid w:val="001221B0"/>
    <w:rsid w:val="0014123F"/>
    <w:rsid w:val="0016432C"/>
    <w:rsid w:val="00164A9E"/>
    <w:rsid w:val="00166D83"/>
    <w:rsid w:val="00167ABC"/>
    <w:rsid w:val="00175B04"/>
    <w:rsid w:val="001807B9"/>
    <w:rsid w:val="00182AC6"/>
    <w:rsid w:val="001A00C2"/>
    <w:rsid w:val="001A2FF5"/>
    <w:rsid w:val="001B28B7"/>
    <w:rsid w:val="001C376C"/>
    <w:rsid w:val="001C79A0"/>
    <w:rsid w:val="001D2DD8"/>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18D"/>
    <w:rsid w:val="002D5658"/>
    <w:rsid w:val="002F11B1"/>
    <w:rsid w:val="002F6A46"/>
    <w:rsid w:val="00300B39"/>
    <w:rsid w:val="00314187"/>
    <w:rsid w:val="003215D2"/>
    <w:rsid w:val="0033714C"/>
    <w:rsid w:val="00337E4A"/>
    <w:rsid w:val="00346590"/>
    <w:rsid w:val="00381098"/>
    <w:rsid w:val="003C5E0E"/>
    <w:rsid w:val="003D1666"/>
    <w:rsid w:val="003E1642"/>
    <w:rsid w:val="0042090F"/>
    <w:rsid w:val="004428A8"/>
    <w:rsid w:val="004511E0"/>
    <w:rsid w:val="0045526D"/>
    <w:rsid w:val="00455598"/>
    <w:rsid w:val="00461241"/>
    <w:rsid w:val="00461DC8"/>
    <w:rsid w:val="00470564"/>
    <w:rsid w:val="004714EA"/>
    <w:rsid w:val="00472FE4"/>
    <w:rsid w:val="00473FBF"/>
    <w:rsid w:val="00477DEE"/>
    <w:rsid w:val="00482F54"/>
    <w:rsid w:val="004A318B"/>
    <w:rsid w:val="004B27FD"/>
    <w:rsid w:val="004B2F9C"/>
    <w:rsid w:val="004C6A94"/>
    <w:rsid w:val="004D666F"/>
    <w:rsid w:val="004F1CA8"/>
    <w:rsid w:val="004F1EE5"/>
    <w:rsid w:val="004F7229"/>
    <w:rsid w:val="00503C64"/>
    <w:rsid w:val="00530E15"/>
    <w:rsid w:val="00531A04"/>
    <w:rsid w:val="00550EA6"/>
    <w:rsid w:val="0055783F"/>
    <w:rsid w:val="0057188F"/>
    <w:rsid w:val="005831E4"/>
    <w:rsid w:val="00583497"/>
    <w:rsid w:val="00583700"/>
    <w:rsid w:val="0059609D"/>
    <w:rsid w:val="005A0D42"/>
    <w:rsid w:val="005A211F"/>
    <w:rsid w:val="005A2B62"/>
    <w:rsid w:val="005B6D02"/>
    <w:rsid w:val="005B7008"/>
    <w:rsid w:val="005C6540"/>
    <w:rsid w:val="005D6635"/>
    <w:rsid w:val="005E3175"/>
    <w:rsid w:val="005F0407"/>
    <w:rsid w:val="005F1219"/>
    <w:rsid w:val="005F3A06"/>
    <w:rsid w:val="005F4B71"/>
    <w:rsid w:val="00602372"/>
    <w:rsid w:val="006056BE"/>
    <w:rsid w:val="006066A2"/>
    <w:rsid w:val="00612A0D"/>
    <w:rsid w:val="006171B3"/>
    <w:rsid w:val="0061729D"/>
    <w:rsid w:val="00617C9B"/>
    <w:rsid w:val="00635CBD"/>
    <w:rsid w:val="00667733"/>
    <w:rsid w:val="006709DA"/>
    <w:rsid w:val="006A33A6"/>
    <w:rsid w:val="006A55F1"/>
    <w:rsid w:val="006B0E27"/>
    <w:rsid w:val="006B629D"/>
    <w:rsid w:val="006D6D19"/>
    <w:rsid w:val="006E3D96"/>
    <w:rsid w:val="006E54DF"/>
    <w:rsid w:val="00702F31"/>
    <w:rsid w:val="00703126"/>
    <w:rsid w:val="00706863"/>
    <w:rsid w:val="00710601"/>
    <w:rsid w:val="00710738"/>
    <w:rsid w:val="007119B1"/>
    <w:rsid w:val="00712E82"/>
    <w:rsid w:val="00712FC7"/>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D7EA1"/>
    <w:rsid w:val="007E2120"/>
    <w:rsid w:val="007E4252"/>
    <w:rsid w:val="007F0EE3"/>
    <w:rsid w:val="007F1248"/>
    <w:rsid w:val="007F32D6"/>
    <w:rsid w:val="007F56FE"/>
    <w:rsid w:val="00811EEA"/>
    <w:rsid w:val="00815747"/>
    <w:rsid w:val="008267F9"/>
    <w:rsid w:val="008318D9"/>
    <w:rsid w:val="00870E3F"/>
    <w:rsid w:val="00872B5D"/>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51562"/>
    <w:rsid w:val="009657B5"/>
    <w:rsid w:val="0097284D"/>
    <w:rsid w:val="00983018"/>
    <w:rsid w:val="00983CFD"/>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16FB6"/>
    <w:rsid w:val="00A214E1"/>
    <w:rsid w:val="00A37C6F"/>
    <w:rsid w:val="00A6121E"/>
    <w:rsid w:val="00A618F9"/>
    <w:rsid w:val="00A71D03"/>
    <w:rsid w:val="00A7430C"/>
    <w:rsid w:val="00A7534D"/>
    <w:rsid w:val="00AA4294"/>
    <w:rsid w:val="00AB34C5"/>
    <w:rsid w:val="00AC4EB1"/>
    <w:rsid w:val="00AC532E"/>
    <w:rsid w:val="00AC7448"/>
    <w:rsid w:val="00AD4086"/>
    <w:rsid w:val="00AE6F24"/>
    <w:rsid w:val="00AF4FB4"/>
    <w:rsid w:val="00AF5ED5"/>
    <w:rsid w:val="00AF623A"/>
    <w:rsid w:val="00B03EFF"/>
    <w:rsid w:val="00B0553E"/>
    <w:rsid w:val="00B11FC2"/>
    <w:rsid w:val="00B249C9"/>
    <w:rsid w:val="00B25D11"/>
    <w:rsid w:val="00B3034B"/>
    <w:rsid w:val="00B329CF"/>
    <w:rsid w:val="00B4572E"/>
    <w:rsid w:val="00B47C4F"/>
    <w:rsid w:val="00B5153F"/>
    <w:rsid w:val="00B5159F"/>
    <w:rsid w:val="00B523CC"/>
    <w:rsid w:val="00B53B02"/>
    <w:rsid w:val="00B57E80"/>
    <w:rsid w:val="00B621A6"/>
    <w:rsid w:val="00B71E3A"/>
    <w:rsid w:val="00B767EC"/>
    <w:rsid w:val="00B803C4"/>
    <w:rsid w:val="00B81520"/>
    <w:rsid w:val="00B81A52"/>
    <w:rsid w:val="00B81D9E"/>
    <w:rsid w:val="00B83DC0"/>
    <w:rsid w:val="00B85B6D"/>
    <w:rsid w:val="00B9557C"/>
    <w:rsid w:val="00BA06EB"/>
    <w:rsid w:val="00BA15E4"/>
    <w:rsid w:val="00BA1FD2"/>
    <w:rsid w:val="00BB11B3"/>
    <w:rsid w:val="00BC2F62"/>
    <w:rsid w:val="00BC31E0"/>
    <w:rsid w:val="00BC75CA"/>
    <w:rsid w:val="00BD3DF2"/>
    <w:rsid w:val="00BE433F"/>
    <w:rsid w:val="00BE4C85"/>
    <w:rsid w:val="00BE7653"/>
    <w:rsid w:val="00C050E6"/>
    <w:rsid w:val="00C05853"/>
    <w:rsid w:val="00C07295"/>
    <w:rsid w:val="00C12717"/>
    <w:rsid w:val="00C23B5D"/>
    <w:rsid w:val="00C249E8"/>
    <w:rsid w:val="00C31ED1"/>
    <w:rsid w:val="00C35A97"/>
    <w:rsid w:val="00C400D0"/>
    <w:rsid w:val="00C4506E"/>
    <w:rsid w:val="00C475DF"/>
    <w:rsid w:val="00C63ADD"/>
    <w:rsid w:val="00C7149F"/>
    <w:rsid w:val="00C94422"/>
    <w:rsid w:val="00C958E2"/>
    <w:rsid w:val="00CB1532"/>
    <w:rsid w:val="00CB3908"/>
    <w:rsid w:val="00CB5385"/>
    <w:rsid w:val="00CC0689"/>
    <w:rsid w:val="00CC7E46"/>
    <w:rsid w:val="00CD2239"/>
    <w:rsid w:val="00CD310F"/>
    <w:rsid w:val="00CE1588"/>
    <w:rsid w:val="00D3241E"/>
    <w:rsid w:val="00D34407"/>
    <w:rsid w:val="00D4253C"/>
    <w:rsid w:val="00D75783"/>
    <w:rsid w:val="00D816C8"/>
    <w:rsid w:val="00D934D6"/>
    <w:rsid w:val="00D93FD9"/>
    <w:rsid w:val="00DA5ACE"/>
    <w:rsid w:val="00DB194B"/>
    <w:rsid w:val="00DB5E65"/>
    <w:rsid w:val="00DB79BF"/>
    <w:rsid w:val="00DC624E"/>
    <w:rsid w:val="00DD12C8"/>
    <w:rsid w:val="00DF36B0"/>
    <w:rsid w:val="00DF4A78"/>
    <w:rsid w:val="00E07381"/>
    <w:rsid w:val="00E16BD4"/>
    <w:rsid w:val="00E20CEC"/>
    <w:rsid w:val="00E2165D"/>
    <w:rsid w:val="00E2535C"/>
    <w:rsid w:val="00E63677"/>
    <w:rsid w:val="00E75F8F"/>
    <w:rsid w:val="00E80032"/>
    <w:rsid w:val="00E82193"/>
    <w:rsid w:val="00EA19E5"/>
    <w:rsid w:val="00EA3E26"/>
    <w:rsid w:val="00EB1CF4"/>
    <w:rsid w:val="00EC0792"/>
    <w:rsid w:val="00EC5036"/>
    <w:rsid w:val="00ED1756"/>
    <w:rsid w:val="00ED35EC"/>
    <w:rsid w:val="00EE0C78"/>
    <w:rsid w:val="00EF1263"/>
    <w:rsid w:val="00EF2D87"/>
    <w:rsid w:val="00EF2E8F"/>
    <w:rsid w:val="00EF52DF"/>
    <w:rsid w:val="00EF55AB"/>
    <w:rsid w:val="00EF6CC1"/>
    <w:rsid w:val="00F13F36"/>
    <w:rsid w:val="00F228F8"/>
    <w:rsid w:val="00F33B95"/>
    <w:rsid w:val="00F356F5"/>
    <w:rsid w:val="00F37A36"/>
    <w:rsid w:val="00F40AAC"/>
    <w:rsid w:val="00F41387"/>
    <w:rsid w:val="00F4452A"/>
    <w:rsid w:val="00F527FD"/>
    <w:rsid w:val="00F5577B"/>
    <w:rsid w:val="00F5793F"/>
    <w:rsid w:val="00F6141E"/>
    <w:rsid w:val="00F63368"/>
    <w:rsid w:val="00F679C1"/>
    <w:rsid w:val="00F72C13"/>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2F91F8"/>
  <w15:chartTrackingRefBased/>
  <w15:docId w15:val="{20C19AAF-AE95-4C96-8024-D5210885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ind w:left="1080"/>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Borders>
        <w:top w:val="single" w:sz="4" w:space="0" w:color="7E7E7E"/>
        <w:bottom w:val="single" w:sz="4" w:space="0" w:color="7E7E7E"/>
      </w:tblBorders>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Borders>
        <w:top w:val="single" w:sz="4" w:space="0" w:color="000000"/>
        <w:bottom w:val="single" w:sz="4" w:space="0" w:color="000000"/>
      </w:tblBorders>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table" w:customStyle="1" w:styleId="TableGrid1">
    <w:name w:val="Table Grid1"/>
    <w:basedOn w:val="TableNormal"/>
    <w:next w:val="TableGrid"/>
    <w:uiPriority w:val="39"/>
    <w:rsid w:val="005A211F"/>
    <w:rPr>
      <w:rFonts w:ascii="Times New Roman" w:hAnsi="Times New Roman"/>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5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emmy.schouten@ptdisttd.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FF11F00-06F2-43F7-811D-525E6D91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7126</Words>
  <Characters>40623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47654</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Marudut Simanjuntak</cp:lastModifiedBy>
  <cp:revision>3</cp:revision>
  <cp:lastPrinted>2024-06-10T07:48:00Z</cp:lastPrinted>
  <dcterms:created xsi:type="dcterms:W3CDTF">2025-06-26T05:30:00Z</dcterms:created>
  <dcterms:modified xsi:type="dcterms:W3CDTF">2025-06-29T20:20:00Z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