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ADE5E" w14:textId="77777777" w:rsidR="00362367" w:rsidRDefault="00000000">
      <w:pPr>
        <w:spacing w:after="0" w:line="240" w:lineRule="auto"/>
        <w:ind w:left="0" w:hanging="2"/>
        <w:jc w:val="center"/>
        <w:rPr>
          <w:rFonts w:ascii="Times New Roman" w:eastAsia="Times New Roman" w:hAnsi="Times New Roman"/>
          <w:color w:val="FF0000"/>
        </w:rPr>
      </w:pPr>
      <w:bookmarkStart w:id="0" w:name="_heading=h.gjdgxs" w:colFirst="0" w:colLast="0"/>
      <w:bookmarkEnd w:id="0"/>
      <w:r>
        <w:rPr>
          <w:rFonts w:ascii="Times New Roman" w:eastAsia="Times New Roman" w:hAnsi="Times New Roman"/>
          <w:color w:val="FF0000"/>
        </w:rPr>
        <w:t>http://ejournal.stipjakarta.ac.id</w:t>
      </w:r>
    </w:p>
    <w:tbl>
      <w:tblPr>
        <w:tblStyle w:val="a"/>
        <w:tblW w:w="9639" w:type="dxa"/>
        <w:jc w:val="center"/>
        <w:tblBorders>
          <w:top w:val="single" w:sz="4" w:space="0" w:color="7E7E7E"/>
          <w:left w:val="nil"/>
          <w:bottom w:val="single" w:sz="4" w:space="0" w:color="7E7E7E"/>
          <w:right w:val="nil"/>
          <w:insideH w:val="nil"/>
          <w:insideV w:val="nil"/>
        </w:tblBorders>
        <w:tblLayout w:type="fixed"/>
        <w:tblLook w:val="0000" w:firstRow="0" w:lastRow="0" w:firstColumn="0" w:lastColumn="0" w:noHBand="0" w:noVBand="0"/>
      </w:tblPr>
      <w:tblGrid>
        <w:gridCol w:w="1979"/>
        <w:gridCol w:w="7660"/>
      </w:tblGrid>
      <w:tr w:rsidR="00362367" w14:paraId="3B9C8928" w14:textId="77777777">
        <w:trPr>
          <w:trHeight w:val="1321"/>
          <w:jc w:val="center"/>
        </w:trPr>
        <w:tc>
          <w:tcPr>
            <w:tcW w:w="1979" w:type="dxa"/>
            <w:tcBorders>
              <w:bottom w:val="single" w:sz="4" w:space="0" w:color="7E7E7E"/>
            </w:tcBorders>
            <w:shd w:val="clear" w:color="auto" w:fill="D8D8D8"/>
            <w:vAlign w:val="center"/>
          </w:tcPr>
          <w:p w14:paraId="39A1AC2B" w14:textId="77777777" w:rsidR="00362367" w:rsidRDefault="00000000">
            <w:pPr>
              <w:spacing w:after="0" w:line="240" w:lineRule="auto"/>
              <w:ind w:left="0" w:hanging="2"/>
              <w:jc w:val="center"/>
              <w:rPr>
                <w:b/>
              </w:rPr>
            </w:pPr>
            <w:r>
              <w:rPr>
                <w:b/>
                <w:noProof/>
              </w:rPr>
              <w:drawing>
                <wp:inline distT="0" distB="0" distL="0" distR="0" wp14:anchorId="687BFE26" wp14:editId="77D1E9FE">
                  <wp:extent cx="1119505" cy="891540"/>
                  <wp:effectExtent l="0" t="0" r="0" b="0"/>
                  <wp:docPr id="10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119505" cy="891540"/>
                          </a:xfrm>
                          <a:prstGeom prst="rect">
                            <a:avLst/>
                          </a:prstGeom>
                          <a:ln/>
                        </pic:spPr>
                      </pic:pic>
                    </a:graphicData>
                  </a:graphic>
                </wp:inline>
              </w:drawing>
            </w:r>
          </w:p>
        </w:tc>
        <w:tc>
          <w:tcPr>
            <w:tcW w:w="7660" w:type="dxa"/>
            <w:tcBorders>
              <w:bottom w:val="single" w:sz="4" w:space="0" w:color="7E7E7E"/>
            </w:tcBorders>
            <w:shd w:val="clear" w:color="auto" w:fill="D8D8D8"/>
            <w:vAlign w:val="center"/>
          </w:tcPr>
          <w:p w14:paraId="0A56B64E" w14:textId="77777777" w:rsidR="00362367" w:rsidRDefault="00000000">
            <w:pPr>
              <w:spacing w:after="0" w:line="240" w:lineRule="auto"/>
              <w:ind w:left="5" w:hanging="7"/>
              <w:jc w:val="center"/>
              <w:rPr>
                <w:i/>
                <w:color w:val="1F497D"/>
                <w:sz w:val="66"/>
                <w:szCs w:val="66"/>
              </w:rPr>
            </w:pPr>
            <w:r>
              <w:rPr>
                <w:i/>
                <w:color w:val="1F497D"/>
                <w:sz w:val="66"/>
                <w:szCs w:val="66"/>
              </w:rPr>
              <w:t>METEOR STIP MARUNDA</w:t>
            </w:r>
          </w:p>
        </w:tc>
      </w:tr>
      <w:tr w:rsidR="00362367" w14:paraId="6EEA4B8A" w14:textId="77777777">
        <w:trPr>
          <w:trHeight w:val="273"/>
          <w:jc w:val="center"/>
        </w:trPr>
        <w:tc>
          <w:tcPr>
            <w:tcW w:w="1979" w:type="dxa"/>
            <w:tcBorders>
              <w:top w:val="single" w:sz="4" w:space="0" w:color="7E7E7E"/>
              <w:bottom w:val="single" w:sz="4" w:space="0" w:color="7E7E7E"/>
            </w:tcBorders>
            <w:shd w:val="clear" w:color="auto" w:fill="D8D8D8"/>
          </w:tcPr>
          <w:p w14:paraId="7F468D8F" w14:textId="77777777" w:rsidR="00362367" w:rsidRDefault="00000000">
            <w:pPr>
              <w:spacing w:after="0" w:line="240" w:lineRule="auto"/>
              <w:ind w:left="0" w:hanging="2"/>
              <w:rPr>
                <w:sz w:val="16"/>
                <w:szCs w:val="16"/>
              </w:rPr>
            </w:pPr>
            <w:r>
              <w:rPr>
                <w:sz w:val="16"/>
                <w:szCs w:val="16"/>
              </w:rPr>
              <w:t>pISSN    : 1979 – 4746</w:t>
            </w:r>
          </w:p>
          <w:p w14:paraId="50B19278" w14:textId="77777777" w:rsidR="00362367" w:rsidRDefault="00000000">
            <w:pPr>
              <w:spacing w:after="0" w:line="240" w:lineRule="auto"/>
              <w:ind w:left="0" w:hanging="2"/>
              <w:rPr>
                <w:sz w:val="16"/>
                <w:szCs w:val="16"/>
              </w:rPr>
            </w:pPr>
            <w:r>
              <w:rPr>
                <w:sz w:val="16"/>
                <w:szCs w:val="16"/>
              </w:rPr>
              <w:t>eISSN    : 2685 - 4775</w:t>
            </w:r>
          </w:p>
        </w:tc>
        <w:tc>
          <w:tcPr>
            <w:tcW w:w="7660" w:type="dxa"/>
            <w:tcBorders>
              <w:top w:val="single" w:sz="4" w:space="0" w:color="7E7E7E"/>
              <w:bottom w:val="single" w:sz="4" w:space="0" w:color="7E7E7E"/>
            </w:tcBorders>
            <w:shd w:val="clear" w:color="auto" w:fill="D8D8D8"/>
            <w:vAlign w:val="center"/>
          </w:tcPr>
          <w:p w14:paraId="474CF89C" w14:textId="77777777" w:rsidR="00362367" w:rsidRDefault="00000000">
            <w:pPr>
              <w:spacing w:after="0" w:line="240" w:lineRule="auto"/>
              <w:ind w:left="0" w:hanging="2"/>
              <w:jc w:val="center"/>
              <w:rPr>
                <w:i/>
                <w:color w:val="000080"/>
                <w:sz w:val="160"/>
                <w:szCs w:val="160"/>
              </w:rPr>
            </w:pPr>
            <w:r>
              <w:rPr>
                <w:b/>
                <w:i/>
                <w:color w:val="1F497D"/>
                <w:sz w:val="24"/>
                <w:szCs w:val="24"/>
              </w:rPr>
              <w:t>Maritime Institute  of Jakarta</w:t>
            </w:r>
          </w:p>
        </w:tc>
      </w:tr>
    </w:tbl>
    <w:p w14:paraId="2D60E94A" w14:textId="77777777" w:rsidR="00362367" w:rsidRDefault="00362367">
      <w:pPr>
        <w:spacing w:after="0" w:line="240" w:lineRule="auto"/>
        <w:ind w:left="0" w:hanging="2"/>
        <w:rPr>
          <w:rFonts w:ascii="Times New Roman" w:eastAsia="Times New Roman" w:hAnsi="Times New Roman"/>
          <w:b/>
          <w:color w:val="000000"/>
        </w:rPr>
      </w:pPr>
    </w:p>
    <w:tbl>
      <w:tblPr>
        <w:tblStyle w:val="a0"/>
        <w:tblW w:w="9639" w:type="dxa"/>
        <w:tblInd w:w="-108" w:type="dxa"/>
        <w:tblBorders>
          <w:top w:val="single" w:sz="4" w:space="0" w:color="000000"/>
          <w:left w:val="nil"/>
          <w:bottom w:val="single" w:sz="4" w:space="0" w:color="7E7E7E"/>
          <w:right w:val="nil"/>
          <w:insideH w:val="single" w:sz="4" w:space="0" w:color="7E7E7E"/>
          <w:insideV w:val="single" w:sz="4" w:space="0" w:color="7E7E7E"/>
        </w:tblBorders>
        <w:tblLayout w:type="fixed"/>
        <w:tblLook w:val="0000" w:firstRow="0" w:lastRow="0" w:firstColumn="0" w:lastColumn="0" w:noHBand="0" w:noVBand="0"/>
      </w:tblPr>
      <w:tblGrid>
        <w:gridCol w:w="9639"/>
      </w:tblGrid>
      <w:tr w:rsidR="00362367" w14:paraId="4236C38D" w14:textId="77777777">
        <w:tc>
          <w:tcPr>
            <w:tcW w:w="9639" w:type="dxa"/>
            <w:tcBorders>
              <w:top w:val="single" w:sz="24" w:space="0" w:color="000000"/>
              <w:bottom w:val="single" w:sz="8" w:space="0" w:color="000000"/>
            </w:tcBorders>
          </w:tcPr>
          <w:p w14:paraId="79E294F8" w14:textId="77777777" w:rsidR="00362367" w:rsidRPr="0054620D" w:rsidRDefault="00000000">
            <w:pPr>
              <w:spacing w:after="0" w:line="240" w:lineRule="auto"/>
              <w:ind w:left="0" w:hanging="2"/>
              <w:jc w:val="center"/>
              <w:rPr>
                <w:iCs/>
              </w:rPr>
            </w:pPr>
            <w:r w:rsidRPr="0054620D">
              <w:rPr>
                <w:iCs/>
              </w:rPr>
              <w:t>-spacing 1 -Times New Roman 11 Italic-</w:t>
            </w:r>
          </w:p>
          <w:p w14:paraId="318FC54E" w14:textId="77777777" w:rsidR="00096B2C" w:rsidRDefault="007931EE">
            <w:pPr>
              <w:spacing w:after="0" w:line="240" w:lineRule="auto"/>
              <w:ind w:left="1" w:hanging="3"/>
              <w:jc w:val="center"/>
              <w:rPr>
                <w:b/>
                <w:iCs/>
                <w:sz w:val="32"/>
                <w:szCs w:val="32"/>
              </w:rPr>
            </w:pPr>
            <w:r w:rsidRPr="0054620D">
              <w:rPr>
                <w:b/>
                <w:iCs/>
                <w:sz w:val="32"/>
                <w:szCs w:val="32"/>
              </w:rPr>
              <w:t xml:space="preserve">The Role of MARPOL Annex V Implementation in Reducing </w:t>
            </w:r>
            <w:r w:rsidR="00096B2C">
              <w:rPr>
                <w:b/>
                <w:iCs/>
                <w:sz w:val="32"/>
                <w:szCs w:val="32"/>
              </w:rPr>
              <w:t xml:space="preserve"> </w:t>
            </w:r>
          </w:p>
          <w:p w14:paraId="548C8D38" w14:textId="2E669C87" w:rsidR="00362367" w:rsidRPr="0054620D" w:rsidRDefault="007931EE">
            <w:pPr>
              <w:spacing w:after="0" w:line="240" w:lineRule="auto"/>
              <w:ind w:left="1" w:hanging="3"/>
              <w:jc w:val="center"/>
              <w:rPr>
                <w:iCs/>
              </w:rPr>
            </w:pPr>
            <w:r w:rsidRPr="0054620D">
              <w:rPr>
                <w:b/>
                <w:iCs/>
                <w:sz w:val="32"/>
                <w:szCs w:val="32"/>
              </w:rPr>
              <w:t>Marine Litter in Indonesia: Challenges and Opportunities</w:t>
            </w:r>
            <w:r w:rsidRPr="0054620D">
              <w:rPr>
                <w:iCs/>
              </w:rPr>
              <w:t xml:space="preserve"> </w:t>
            </w:r>
          </w:p>
          <w:p w14:paraId="4FBAA1D5" w14:textId="31C3CA24" w:rsidR="00096B2C" w:rsidRDefault="00000000">
            <w:pPr>
              <w:spacing w:after="0" w:line="240" w:lineRule="auto"/>
              <w:ind w:left="0" w:hanging="2"/>
              <w:jc w:val="center"/>
              <w:rPr>
                <w:iCs/>
              </w:rPr>
            </w:pPr>
            <w:r w:rsidRPr="0054620D">
              <w:rPr>
                <w:iCs/>
                <w:vertAlign w:val="superscript"/>
              </w:rPr>
              <w:t>1</w:t>
            </w:r>
            <w:r w:rsidR="0054620D" w:rsidRPr="0054620D">
              <w:rPr>
                <w:iCs/>
              </w:rPr>
              <w:t>M Adil Wanadi 1</w:t>
            </w:r>
            <w:r w:rsidRPr="0054620D">
              <w:rPr>
                <w:iCs/>
              </w:rPr>
              <w:t xml:space="preserve"> </w:t>
            </w:r>
            <w:r w:rsidR="0054620D" w:rsidRPr="0054620D">
              <w:rPr>
                <w:iCs/>
              </w:rPr>
              <w:t>,</w:t>
            </w:r>
            <w:r w:rsidRPr="0054620D">
              <w:rPr>
                <w:iCs/>
              </w:rPr>
              <w:t xml:space="preserve"> </w:t>
            </w:r>
            <w:r w:rsidRPr="0054620D">
              <w:rPr>
                <w:iCs/>
                <w:vertAlign w:val="superscript"/>
              </w:rPr>
              <w:t>2</w:t>
            </w:r>
            <w:r w:rsidR="0054620D" w:rsidRPr="0054620D">
              <w:rPr>
                <w:iCs/>
              </w:rPr>
              <w:t xml:space="preserve">Femmy </w:t>
            </w:r>
            <w:r w:rsidR="009F3F4F">
              <w:rPr>
                <w:iCs/>
              </w:rPr>
              <w:t xml:space="preserve">Sofie </w:t>
            </w:r>
            <w:r w:rsidR="0054620D" w:rsidRPr="0054620D">
              <w:rPr>
                <w:iCs/>
              </w:rPr>
              <w:t>Schouten</w:t>
            </w:r>
            <w:r w:rsidRPr="0054620D">
              <w:rPr>
                <w:iCs/>
              </w:rPr>
              <w:t xml:space="preserve"> </w:t>
            </w:r>
            <w:r w:rsidR="0054620D">
              <w:rPr>
                <w:iCs/>
              </w:rPr>
              <w:t>2</w:t>
            </w:r>
            <w:r w:rsidRPr="0054620D">
              <w:rPr>
                <w:iCs/>
              </w:rPr>
              <w:t xml:space="preserve">, </w:t>
            </w:r>
            <w:r w:rsidRPr="0054620D">
              <w:rPr>
                <w:iCs/>
                <w:vertAlign w:val="superscript"/>
              </w:rPr>
              <w:t>3</w:t>
            </w:r>
            <w:r w:rsidR="0054620D">
              <w:rPr>
                <w:iCs/>
              </w:rPr>
              <w:t>Wisnu Handoko</w:t>
            </w:r>
            <w:r w:rsidRPr="0054620D">
              <w:rPr>
                <w:iCs/>
              </w:rPr>
              <w:t xml:space="preserve"> 3</w:t>
            </w:r>
            <w:r w:rsidR="0054620D">
              <w:rPr>
                <w:iCs/>
              </w:rPr>
              <w:t xml:space="preserve">, </w:t>
            </w:r>
            <w:r w:rsidR="0054620D">
              <w:rPr>
                <w:iCs/>
                <w:vertAlign w:val="superscript"/>
              </w:rPr>
              <w:t>4</w:t>
            </w:r>
            <w:r w:rsidR="0054620D">
              <w:rPr>
                <w:iCs/>
              </w:rPr>
              <w:t>William Seno 4,</w:t>
            </w:r>
            <w:r w:rsidR="0054620D">
              <w:rPr>
                <w:iCs/>
                <w:vertAlign w:val="superscript"/>
              </w:rPr>
              <w:t>5</w:t>
            </w:r>
            <w:r w:rsidR="0054620D">
              <w:rPr>
                <w:iCs/>
              </w:rPr>
              <w:t>Yus Rizal 5,</w:t>
            </w:r>
          </w:p>
          <w:p w14:paraId="2F128E30" w14:textId="4EA59AC5" w:rsidR="00362367" w:rsidRPr="00096B2C" w:rsidRDefault="00096B2C">
            <w:pPr>
              <w:spacing w:after="0" w:line="240" w:lineRule="auto"/>
              <w:ind w:left="0" w:hanging="2"/>
              <w:jc w:val="center"/>
              <w:rPr>
                <w:iCs/>
              </w:rPr>
            </w:pPr>
            <w:r>
              <w:rPr>
                <w:iCs/>
                <w:vertAlign w:val="superscript"/>
              </w:rPr>
              <w:t>6</w:t>
            </w:r>
            <w:r>
              <w:rPr>
                <w:iCs/>
              </w:rPr>
              <w:t>Guntur Tri Indra 6</w:t>
            </w:r>
          </w:p>
          <w:p w14:paraId="75E5900A" w14:textId="43355B7C" w:rsidR="00362367" w:rsidRPr="0054620D" w:rsidRDefault="00000000">
            <w:pPr>
              <w:spacing w:after="0" w:line="240" w:lineRule="auto"/>
              <w:ind w:left="0" w:hanging="2"/>
              <w:jc w:val="center"/>
              <w:rPr>
                <w:iCs/>
                <w:color w:val="000000"/>
              </w:rPr>
            </w:pPr>
            <w:r w:rsidRPr="00FA3108">
              <w:rPr>
                <w:iCs/>
                <w:color w:val="000000"/>
                <w:vertAlign w:val="superscript"/>
              </w:rPr>
              <w:t>1</w:t>
            </w:r>
            <w:r w:rsidR="00FA3108" w:rsidRPr="00FA3108">
              <w:rPr>
                <w:iCs/>
                <w:color w:val="000000"/>
              </w:rPr>
              <w:t xml:space="preserve">Transportasi </w:t>
            </w:r>
            <w:r w:rsidR="00FA3108">
              <w:rPr>
                <w:iCs/>
                <w:color w:val="000000"/>
              </w:rPr>
              <w:t>D</w:t>
            </w:r>
            <w:r w:rsidR="00FA3108" w:rsidRPr="00FA3108">
              <w:rPr>
                <w:iCs/>
                <w:color w:val="000000"/>
              </w:rPr>
              <w:t>arat,</w:t>
            </w:r>
            <w:r w:rsidR="00096B2C">
              <w:rPr>
                <w:iCs/>
                <w:color w:val="000000"/>
              </w:rPr>
              <w:t>P</w:t>
            </w:r>
            <w:r w:rsidR="0054620D">
              <w:rPr>
                <w:iCs/>
                <w:color w:val="000000"/>
              </w:rPr>
              <w:t>oliteknik Transportasi Darat</w:t>
            </w:r>
            <w:r w:rsidR="00096B2C">
              <w:rPr>
                <w:iCs/>
                <w:color w:val="000000"/>
              </w:rPr>
              <w:t xml:space="preserve"> Indonesi</w:t>
            </w:r>
            <w:r w:rsidR="00FA3108">
              <w:rPr>
                <w:iCs/>
                <w:color w:val="000000"/>
              </w:rPr>
              <w:t>a-STTD</w:t>
            </w:r>
            <w:r w:rsidRPr="0054620D">
              <w:rPr>
                <w:iCs/>
                <w:color w:val="000000"/>
              </w:rPr>
              <w:t>1</w:t>
            </w:r>
          </w:p>
          <w:p w14:paraId="02D3D037" w14:textId="67E1753C" w:rsidR="00362367" w:rsidRPr="0054620D" w:rsidRDefault="00000000">
            <w:pPr>
              <w:spacing w:after="0" w:line="240" w:lineRule="auto"/>
              <w:ind w:left="0" w:hanging="2"/>
              <w:jc w:val="center"/>
              <w:rPr>
                <w:iCs/>
                <w:color w:val="000000"/>
              </w:rPr>
            </w:pPr>
            <w:r w:rsidRPr="0054620D">
              <w:rPr>
                <w:iCs/>
                <w:color w:val="000000"/>
                <w:vertAlign w:val="superscript"/>
              </w:rPr>
              <w:t>2</w:t>
            </w:r>
            <w:r w:rsidR="00096B2C">
              <w:rPr>
                <w:iCs/>
                <w:color w:val="000000"/>
              </w:rPr>
              <w:t>Magister</w:t>
            </w:r>
            <w:r w:rsidR="00FA3108">
              <w:rPr>
                <w:iCs/>
                <w:color w:val="000000"/>
              </w:rPr>
              <w:t xml:space="preserve"> Terapan PIT</w:t>
            </w:r>
            <w:r w:rsidRPr="0054620D">
              <w:rPr>
                <w:iCs/>
                <w:color w:val="000000"/>
              </w:rPr>
              <w:t>,</w:t>
            </w:r>
            <w:r w:rsidR="00096B2C">
              <w:rPr>
                <w:iCs/>
                <w:color w:val="000000"/>
              </w:rPr>
              <w:t>Politeknik Transportasi Darat Indonesia-STTD</w:t>
            </w:r>
            <w:r w:rsidRPr="0054620D">
              <w:rPr>
                <w:iCs/>
                <w:color w:val="000000"/>
              </w:rPr>
              <w:t>2</w:t>
            </w:r>
          </w:p>
          <w:p w14:paraId="12E775C5" w14:textId="7648F4BA" w:rsidR="00362367" w:rsidRDefault="00000000">
            <w:pPr>
              <w:spacing w:after="0" w:line="240" w:lineRule="auto"/>
              <w:ind w:left="0" w:hanging="2"/>
              <w:jc w:val="center"/>
              <w:rPr>
                <w:iCs/>
                <w:color w:val="000000"/>
              </w:rPr>
            </w:pPr>
            <w:r w:rsidRPr="0054620D">
              <w:rPr>
                <w:iCs/>
                <w:color w:val="000000"/>
                <w:vertAlign w:val="superscript"/>
              </w:rPr>
              <w:t>3</w:t>
            </w:r>
            <w:r w:rsidR="00FA3108">
              <w:rPr>
                <w:iCs/>
                <w:color w:val="000000"/>
              </w:rPr>
              <w:t>Transportasi Darat,Politeknik Transportasi Darat Indonesia-STTD</w:t>
            </w:r>
            <w:r w:rsidRPr="0054620D">
              <w:rPr>
                <w:iCs/>
                <w:color w:val="000000"/>
              </w:rPr>
              <w:t>3</w:t>
            </w:r>
          </w:p>
          <w:p w14:paraId="3CD8409B" w14:textId="359B2116" w:rsidR="009F3F4F" w:rsidRPr="0054620D" w:rsidRDefault="009F3F4F" w:rsidP="009F3F4F">
            <w:pPr>
              <w:spacing w:after="0" w:line="240" w:lineRule="auto"/>
              <w:ind w:left="0" w:hanging="2"/>
              <w:jc w:val="center"/>
              <w:rPr>
                <w:iCs/>
                <w:color w:val="000000"/>
              </w:rPr>
            </w:pPr>
            <w:r w:rsidRPr="009F3F4F">
              <w:rPr>
                <w:iCs/>
                <w:color w:val="000000"/>
                <w:vertAlign w:val="superscript"/>
              </w:rPr>
              <w:t>4</w:t>
            </w:r>
            <w:r w:rsidRPr="009F3F4F">
              <w:rPr>
                <w:iCs/>
                <w:color w:val="000000"/>
              </w:rPr>
              <w:t>Transportasi</w:t>
            </w:r>
            <w:r w:rsidRPr="00FA3108">
              <w:rPr>
                <w:iCs/>
                <w:color w:val="000000"/>
              </w:rPr>
              <w:t xml:space="preserve"> </w:t>
            </w:r>
            <w:r>
              <w:rPr>
                <w:iCs/>
                <w:color w:val="000000"/>
              </w:rPr>
              <w:t>D</w:t>
            </w:r>
            <w:r w:rsidRPr="00FA3108">
              <w:rPr>
                <w:iCs/>
                <w:color w:val="000000"/>
              </w:rPr>
              <w:t>arat,</w:t>
            </w:r>
            <w:r>
              <w:rPr>
                <w:iCs/>
                <w:color w:val="000000"/>
              </w:rPr>
              <w:t>Politeknik Transportasi Darat Indonesia-STTD</w:t>
            </w:r>
            <w:r>
              <w:rPr>
                <w:iCs/>
                <w:color w:val="000000"/>
              </w:rPr>
              <w:t>4</w:t>
            </w:r>
          </w:p>
          <w:p w14:paraId="7EBD0CA5" w14:textId="616B1B50" w:rsidR="009F3F4F" w:rsidRDefault="009F3F4F" w:rsidP="009F3F4F">
            <w:pPr>
              <w:spacing w:after="0" w:line="240" w:lineRule="auto"/>
              <w:ind w:left="0" w:hanging="2"/>
              <w:jc w:val="center"/>
              <w:rPr>
                <w:iCs/>
                <w:color w:val="000000"/>
              </w:rPr>
            </w:pPr>
            <w:r>
              <w:rPr>
                <w:iCs/>
                <w:color w:val="000000"/>
                <w:vertAlign w:val="superscript"/>
              </w:rPr>
              <w:t>5</w:t>
            </w:r>
            <w:r w:rsidRPr="009F3F4F">
              <w:rPr>
                <w:iCs/>
                <w:color w:val="000000"/>
              </w:rPr>
              <w:t>Transportasi</w:t>
            </w:r>
            <w:r w:rsidRPr="00FA3108">
              <w:rPr>
                <w:iCs/>
                <w:color w:val="000000"/>
              </w:rPr>
              <w:t xml:space="preserve"> </w:t>
            </w:r>
            <w:r>
              <w:rPr>
                <w:iCs/>
                <w:color w:val="000000"/>
              </w:rPr>
              <w:t>D</w:t>
            </w:r>
            <w:r w:rsidRPr="00FA3108">
              <w:rPr>
                <w:iCs/>
                <w:color w:val="000000"/>
              </w:rPr>
              <w:t>arat,</w:t>
            </w:r>
            <w:r>
              <w:rPr>
                <w:iCs/>
                <w:color w:val="000000"/>
              </w:rPr>
              <w:t>Politeknik Transportasi Darat Indonesia-STTD</w:t>
            </w:r>
            <w:r>
              <w:rPr>
                <w:iCs/>
                <w:color w:val="000000"/>
              </w:rPr>
              <w:t>5</w:t>
            </w:r>
          </w:p>
          <w:p w14:paraId="480C9FF3" w14:textId="1C2CD5A3" w:rsidR="009F3F4F" w:rsidRDefault="009F3F4F" w:rsidP="009F3F4F">
            <w:pPr>
              <w:spacing w:after="0" w:line="240" w:lineRule="auto"/>
              <w:ind w:left="0" w:hanging="2"/>
              <w:jc w:val="center"/>
              <w:rPr>
                <w:iCs/>
                <w:color w:val="000000"/>
              </w:rPr>
            </w:pPr>
            <w:r>
              <w:rPr>
                <w:iCs/>
                <w:color w:val="000000"/>
                <w:vertAlign w:val="superscript"/>
              </w:rPr>
              <w:t>6</w:t>
            </w:r>
            <w:r>
              <w:rPr>
                <w:iCs/>
                <w:color w:val="000000"/>
              </w:rPr>
              <w:t>Manajemen Transportasi Perkeretaapian</w:t>
            </w:r>
            <w:r w:rsidRPr="00FA3108">
              <w:rPr>
                <w:iCs/>
                <w:color w:val="000000"/>
              </w:rPr>
              <w:t>,</w:t>
            </w:r>
            <w:r>
              <w:rPr>
                <w:iCs/>
                <w:color w:val="000000"/>
              </w:rPr>
              <w:t>Politeknik Transportasi Darat Indonesia-STTD</w:t>
            </w:r>
            <w:r>
              <w:rPr>
                <w:iCs/>
                <w:color w:val="000000"/>
              </w:rPr>
              <w:t>6</w:t>
            </w:r>
          </w:p>
          <w:p w14:paraId="549DCB5A" w14:textId="209E3508" w:rsidR="00362367" w:rsidRPr="00B71D29" w:rsidRDefault="00362367" w:rsidP="009F3F4F">
            <w:pPr>
              <w:spacing w:after="0" w:line="240" w:lineRule="auto"/>
              <w:ind w:leftChars="0" w:left="0" w:firstLineChars="0" w:firstLine="0"/>
              <w:rPr>
                <w:i/>
              </w:rPr>
            </w:pPr>
          </w:p>
          <w:p w14:paraId="448F22CC" w14:textId="7FE87319" w:rsidR="00362367" w:rsidRPr="0054620D" w:rsidRDefault="00000000">
            <w:pPr>
              <w:spacing w:after="0" w:line="240" w:lineRule="auto"/>
              <w:ind w:left="0" w:hanging="2"/>
              <w:jc w:val="center"/>
              <w:rPr>
                <w:iCs/>
                <w:color w:val="000000"/>
                <w:sz w:val="20"/>
                <w:szCs w:val="20"/>
              </w:rPr>
            </w:pPr>
            <w:r w:rsidRPr="00B71D29">
              <w:rPr>
                <w:i/>
              </w:rPr>
              <w:t xml:space="preserve">Correspondence email </w:t>
            </w:r>
            <w:r w:rsidR="00B71D29" w:rsidRPr="00B71D29">
              <w:rPr>
                <w:i/>
              </w:rPr>
              <w:t>femmyschouten@yahoo.com</w:t>
            </w:r>
          </w:p>
        </w:tc>
      </w:tr>
      <w:tr w:rsidR="00362367" w14:paraId="6475C346" w14:textId="77777777">
        <w:tc>
          <w:tcPr>
            <w:tcW w:w="9639" w:type="dxa"/>
            <w:tcBorders>
              <w:top w:val="single" w:sz="8" w:space="0" w:color="000000"/>
              <w:bottom w:val="single" w:sz="8" w:space="0" w:color="000000"/>
            </w:tcBorders>
          </w:tcPr>
          <w:p w14:paraId="49F8D116" w14:textId="76454E02" w:rsidR="00362367" w:rsidRDefault="00362367">
            <w:pPr>
              <w:spacing w:after="0" w:line="240" w:lineRule="auto"/>
              <w:ind w:left="0" w:hanging="2"/>
              <w:jc w:val="center"/>
              <w:rPr>
                <w:i/>
                <w:sz w:val="20"/>
                <w:szCs w:val="20"/>
              </w:rPr>
            </w:pPr>
          </w:p>
          <w:p w14:paraId="697A232A" w14:textId="77777777" w:rsidR="00362367" w:rsidRDefault="00000000">
            <w:pPr>
              <w:spacing w:after="0" w:line="240" w:lineRule="auto"/>
              <w:ind w:left="0" w:hanging="2"/>
              <w:jc w:val="center"/>
              <w:rPr>
                <w:i/>
                <w:sz w:val="20"/>
                <w:szCs w:val="20"/>
              </w:rPr>
            </w:pPr>
            <w:r>
              <w:rPr>
                <w:i/>
                <w:sz w:val="20"/>
                <w:szCs w:val="20"/>
              </w:rPr>
              <w:t>submitted : ______________          revised : ____________          accepted : ___________</w:t>
            </w:r>
          </w:p>
          <w:p w14:paraId="0DA3EADC" w14:textId="5BCE9D3C" w:rsidR="00362367" w:rsidRDefault="00362367">
            <w:pPr>
              <w:spacing w:after="0" w:line="240" w:lineRule="auto"/>
              <w:ind w:left="0" w:hanging="2"/>
              <w:jc w:val="center"/>
              <w:rPr>
                <w:color w:val="000000"/>
                <w:sz w:val="20"/>
                <w:szCs w:val="20"/>
              </w:rPr>
            </w:pPr>
          </w:p>
        </w:tc>
      </w:tr>
    </w:tbl>
    <w:p w14:paraId="72099FEB" w14:textId="77777777" w:rsidR="009F3F4F" w:rsidRDefault="009F3F4F">
      <w:pPr>
        <w:spacing w:after="0" w:line="240" w:lineRule="auto"/>
        <w:ind w:left="0" w:hanging="2"/>
        <w:jc w:val="center"/>
        <w:rPr>
          <w:rFonts w:ascii="Times New Roman" w:eastAsia="Times New Roman" w:hAnsi="Times New Roman"/>
          <w:i/>
        </w:rPr>
      </w:pPr>
    </w:p>
    <w:p w14:paraId="3CA8C809" w14:textId="2072E00A" w:rsidR="00362367" w:rsidRDefault="00000000">
      <w:pPr>
        <w:spacing w:after="0" w:line="240" w:lineRule="auto"/>
        <w:ind w:left="0" w:hanging="2"/>
        <w:jc w:val="center"/>
        <w:rPr>
          <w:rFonts w:ascii="Times New Roman" w:eastAsia="Times New Roman" w:hAnsi="Times New Roman"/>
          <w:b/>
          <w:i/>
          <w:color w:val="000000"/>
          <w:sz w:val="20"/>
          <w:szCs w:val="20"/>
        </w:rPr>
      </w:pPr>
      <w:r>
        <w:rPr>
          <w:rFonts w:ascii="Times New Roman" w:eastAsia="Times New Roman" w:hAnsi="Times New Roman"/>
          <w:b/>
          <w:i/>
          <w:color w:val="000000"/>
          <w:sz w:val="20"/>
          <w:szCs w:val="20"/>
        </w:rPr>
        <w:t>Abstract</w:t>
      </w:r>
    </w:p>
    <w:p w14:paraId="320EC9CD" w14:textId="050C15F8" w:rsidR="00362367" w:rsidRDefault="00B332B6" w:rsidP="00B332B6">
      <w:pPr>
        <w:spacing w:after="0" w:line="240" w:lineRule="auto"/>
        <w:ind w:left="0" w:hanging="2"/>
        <w:jc w:val="both"/>
        <w:rPr>
          <w:rFonts w:ascii="Times New Roman" w:eastAsia="Times New Roman" w:hAnsi="Times New Roman"/>
          <w:i/>
          <w:sz w:val="20"/>
          <w:szCs w:val="20"/>
        </w:rPr>
      </w:pPr>
      <w:r w:rsidRPr="00B332B6">
        <w:rPr>
          <w:rFonts w:ascii="Times New Roman" w:eastAsia="Times New Roman" w:hAnsi="Times New Roman"/>
          <w:i/>
          <w:sz w:val="20"/>
          <w:szCs w:val="20"/>
        </w:rPr>
        <w:t>The implementation of MARPOL Annex V, which governs ship-generated waste to prevent marine pollution, remains inconsistent in Indonesia despite its ratification into national law. This study investigates compliance gaps, operational challenges, and systemic barriers that hinder effective enforcement aboard Indonesian-flagged vessels. The research identifies three primary issues: low crew awareness due to inadequate training, limited port waste reception facilities, and weak supervision and law enforcement by maritime authorities.</w:t>
      </w:r>
      <w:r>
        <w:rPr>
          <w:rFonts w:ascii="Times New Roman" w:eastAsia="Times New Roman" w:hAnsi="Times New Roman"/>
          <w:i/>
          <w:sz w:val="20"/>
          <w:szCs w:val="20"/>
        </w:rPr>
        <w:t xml:space="preserve"> </w:t>
      </w:r>
      <w:r w:rsidRPr="00B332B6">
        <w:rPr>
          <w:rFonts w:ascii="Times New Roman" w:eastAsia="Times New Roman" w:hAnsi="Times New Roman"/>
          <w:i/>
          <w:sz w:val="20"/>
          <w:szCs w:val="20"/>
        </w:rPr>
        <w:t>Findings reveal a disconnect between policy and practice, with only 30% of surveyed vessels meeting waste segregation and disposal requirements. To address these shortcomings, this study proposes a multi-stakeholder strategy combining stricter law enforcement, standardized crew certification programs, and investments in port waste infrastructure. These recommendations aim to enhance Indonesia’s alignment with global marine protection standards under MARPOL Annex V, while offering insights for other developing maritime nations</w:t>
      </w:r>
      <w:r>
        <w:rPr>
          <w:rFonts w:ascii="Times New Roman" w:eastAsia="Times New Roman" w:hAnsi="Times New Roman"/>
          <w:i/>
          <w:sz w:val="20"/>
          <w:szCs w:val="20"/>
        </w:rPr>
        <w:t>.</w:t>
      </w:r>
    </w:p>
    <w:p w14:paraId="7C6090B7" w14:textId="77777777" w:rsidR="00362367" w:rsidRDefault="00000000">
      <w:pPr>
        <w:spacing w:after="0" w:line="240" w:lineRule="auto"/>
        <w:ind w:left="0" w:hanging="2"/>
        <w:jc w:val="both"/>
        <w:rPr>
          <w:rFonts w:ascii="Times New Roman" w:eastAsia="Times New Roman" w:hAnsi="Times New Roman"/>
          <w:i/>
          <w:sz w:val="20"/>
          <w:szCs w:val="20"/>
        </w:rPr>
      </w:pPr>
      <w:r>
        <w:rPr>
          <w:rFonts w:ascii="Times New Roman" w:eastAsia="Times New Roman" w:hAnsi="Times New Roman"/>
          <w:i/>
          <w:sz w:val="20"/>
          <w:szCs w:val="20"/>
        </w:rPr>
        <w:t xml:space="preserve">            </w:t>
      </w:r>
      <w:r>
        <w:rPr>
          <w:rFonts w:ascii="Times New Roman" w:eastAsia="Times New Roman" w:hAnsi="Times New Roman"/>
          <w:i/>
          <w:sz w:val="20"/>
          <w:szCs w:val="20"/>
        </w:rPr>
        <w:tab/>
      </w:r>
      <w:r>
        <w:rPr>
          <w:rFonts w:ascii="Times New Roman" w:eastAsia="Times New Roman" w:hAnsi="Times New Roman"/>
          <w:i/>
          <w:sz w:val="20"/>
          <w:szCs w:val="20"/>
        </w:rPr>
        <w:tab/>
      </w:r>
      <w:r>
        <w:rPr>
          <w:rFonts w:ascii="Times New Roman" w:eastAsia="Times New Roman" w:hAnsi="Times New Roman"/>
          <w:i/>
          <w:sz w:val="20"/>
          <w:szCs w:val="20"/>
        </w:rPr>
        <w:tab/>
      </w:r>
    </w:p>
    <w:p w14:paraId="1F9CB51E" w14:textId="77777777" w:rsidR="00362367" w:rsidRDefault="00000000">
      <w:pPr>
        <w:spacing w:after="0" w:line="240" w:lineRule="auto"/>
        <w:ind w:left="0" w:hanging="2"/>
        <w:jc w:val="center"/>
        <w:rPr>
          <w:rFonts w:ascii="Times New Roman" w:eastAsia="Times New Roman" w:hAnsi="Times New Roman"/>
          <w:sz w:val="20"/>
          <w:szCs w:val="20"/>
        </w:rPr>
      </w:pPr>
      <w:r>
        <w:rPr>
          <w:rFonts w:ascii="Times New Roman" w:eastAsia="Times New Roman" w:hAnsi="Times New Roman"/>
          <w:i/>
          <w:sz w:val="20"/>
          <w:szCs w:val="20"/>
        </w:rPr>
        <w:t xml:space="preserve">Copyright © 2018, </w:t>
      </w:r>
      <w:r>
        <w:rPr>
          <w:rFonts w:ascii="Times New Roman" w:eastAsia="Times New Roman" w:hAnsi="Times New Roman"/>
          <w:b/>
          <w:i/>
          <w:sz w:val="20"/>
          <w:szCs w:val="20"/>
        </w:rPr>
        <w:t>METEOR STIP MARUNDA</w:t>
      </w:r>
      <w:r>
        <w:rPr>
          <w:rFonts w:ascii="Times New Roman" w:eastAsia="Times New Roman" w:hAnsi="Times New Roman"/>
          <w:sz w:val="20"/>
          <w:szCs w:val="20"/>
        </w:rPr>
        <w:t xml:space="preserve">, </w:t>
      </w:r>
      <w:r>
        <w:rPr>
          <w:rFonts w:ascii="Times New Roman" w:eastAsia="Times New Roman" w:hAnsi="Times New Roman"/>
          <w:i/>
          <w:sz w:val="20"/>
          <w:szCs w:val="20"/>
        </w:rPr>
        <w:t xml:space="preserve">ISSN:1979-4746, eISSN :2685-4775 </w:t>
      </w:r>
    </w:p>
    <w:p w14:paraId="59DD0475" w14:textId="3BB37A00" w:rsidR="00362367" w:rsidRDefault="00362367">
      <w:pPr>
        <w:spacing w:after="0" w:line="240" w:lineRule="auto"/>
        <w:ind w:left="0" w:hanging="2"/>
        <w:jc w:val="center"/>
        <w:rPr>
          <w:rFonts w:ascii="Times New Roman" w:eastAsia="Times New Roman" w:hAnsi="Times New Roman"/>
          <w:sz w:val="20"/>
          <w:szCs w:val="20"/>
        </w:rPr>
      </w:pPr>
    </w:p>
    <w:tbl>
      <w:tblPr>
        <w:tblStyle w:val="a1"/>
        <w:tblW w:w="9639" w:type="dxa"/>
        <w:tblInd w:w="-108" w:type="dxa"/>
        <w:tblBorders>
          <w:top w:val="single" w:sz="4" w:space="0" w:color="000000"/>
          <w:left w:val="nil"/>
          <w:bottom w:val="single" w:sz="4" w:space="0" w:color="7E7E7E"/>
          <w:right w:val="nil"/>
          <w:insideH w:val="single" w:sz="4" w:space="0" w:color="7E7E7E"/>
          <w:insideV w:val="single" w:sz="4" w:space="0" w:color="7E7E7E"/>
        </w:tblBorders>
        <w:tblLayout w:type="fixed"/>
        <w:tblLook w:val="0000" w:firstRow="0" w:lastRow="0" w:firstColumn="0" w:lastColumn="0" w:noHBand="0" w:noVBand="0"/>
      </w:tblPr>
      <w:tblGrid>
        <w:gridCol w:w="9639"/>
      </w:tblGrid>
      <w:tr w:rsidR="00362367" w14:paraId="66E27034" w14:textId="77777777">
        <w:tc>
          <w:tcPr>
            <w:tcW w:w="9639" w:type="dxa"/>
            <w:tcBorders>
              <w:top w:val="single" w:sz="8" w:space="0" w:color="000000"/>
              <w:bottom w:val="single" w:sz="8" w:space="0" w:color="000000"/>
            </w:tcBorders>
          </w:tcPr>
          <w:p w14:paraId="3C5B7C2D" w14:textId="77777777" w:rsidR="00B332B6" w:rsidRDefault="00B332B6">
            <w:pPr>
              <w:spacing w:after="0" w:line="240" w:lineRule="auto"/>
              <w:ind w:left="0" w:hanging="2"/>
              <w:jc w:val="center"/>
              <w:rPr>
                <w:i/>
              </w:rPr>
            </w:pPr>
          </w:p>
          <w:p w14:paraId="2F53D252" w14:textId="3F81E374" w:rsidR="00362367" w:rsidRDefault="00000000">
            <w:pPr>
              <w:spacing w:after="0" w:line="240" w:lineRule="auto"/>
              <w:ind w:left="0" w:hanging="2"/>
              <w:jc w:val="center"/>
              <w:rPr>
                <w:i/>
                <w:sz w:val="20"/>
                <w:szCs w:val="20"/>
              </w:rPr>
            </w:pPr>
            <w:r>
              <w:rPr>
                <w:b/>
                <w:i/>
                <w:sz w:val="20"/>
                <w:szCs w:val="20"/>
              </w:rPr>
              <w:t>Keywords:</w:t>
            </w:r>
            <w:r>
              <w:rPr>
                <w:i/>
                <w:sz w:val="20"/>
                <w:szCs w:val="20"/>
              </w:rPr>
              <w:t xml:space="preserve"> </w:t>
            </w:r>
            <w:r w:rsidR="00B332B6" w:rsidRPr="00B332B6">
              <w:rPr>
                <w:i/>
                <w:sz w:val="20"/>
                <w:szCs w:val="20"/>
              </w:rPr>
              <w:t>MARPOL</w:t>
            </w:r>
            <w:r w:rsidR="00B332B6">
              <w:rPr>
                <w:i/>
                <w:sz w:val="20"/>
                <w:szCs w:val="20"/>
              </w:rPr>
              <w:t xml:space="preserve">, </w:t>
            </w:r>
            <w:r w:rsidR="00B332B6" w:rsidRPr="00B332B6">
              <w:rPr>
                <w:i/>
                <w:sz w:val="20"/>
                <w:szCs w:val="20"/>
              </w:rPr>
              <w:t>Annex V,, Ship waste compliance, Port reception facilities, Maritime law enforcemen</w:t>
            </w:r>
            <w:r w:rsidR="00B332B6">
              <w:rPr>
                <w:i/>
                <w:sz w:val="20"/>
                <w:szCs w:val="20"/>
              </w:rPr>
              <w:t>t</w:t>
            </w:r>
          </w:p>
          <w:p w14:paraId="3DB86AB5" w14:textId="39C0AC85" w:rsidR="00362367" w:rsidRDefault="00362367" w:rsidP="00B332B6">
            <w:pPr>
              <w:spacing w:after="0" w:line="240" w:lineRule="auto"/>
              <w:ind w:leftChars="0" w:left="0" w:firstLineChars="0" w:firstLine="0"/>
              <w:rPr>
                <w:color w:val="000000"/>
                <w:sz w:val="20"/>
                <w:szCs w:val="20"/>
              </w:rPr>
            </w:pPr>
          </w:p>
        </w:tc>
      </w:tr>
    </w:tbl>
    <w:p w14:paraId="17F75B8D" w14:textId="08E6C9F6" w:rsidR="00AC1881" w:rsidRDefault="00AC1881">
      <w:pPr>
        <w:spacing w:after="0" w:line="240" w:lineRule="auto"/>
        <w:ind w:left="0" w:hanging="2"/>
        <w:jc w:val="center"/>
        <w:rPr>
          <w:rFonts w:ascii="Times New Roman" w:eastAsia="Times New Roman" w:hAnsi="Times New Roman"/>
          <w:i/>
        </w:rPr>
        <w:sectPr w:rsidR="00AC1881">
          <w:footerReference w:type="default" r:id="rId10"/>
          <w:pgSz w:w="11906" w:h="16838"/>
          <w:pgMar w:top="1134" w:right="1134" w:bottom="1134" w:left="1134" w:header="709" w:footer="709" w:gutter="0"/>
          <w:pgNumType w:start="1"/>
          <w:cols w:space="720"/>
        </w:sectPr>
      </w:pPr>
    </w:p>
    <w:p w14:paraId="077FEFD7" w14:textId="1CC93D18" w:rsidR="00362367" w:rsidRDefault="00000000">
      <w:pPr>
        <w:pStyle w:val="Heading1"/>
        <w:ind w:left="0" w:hanging="2"/>
      </w:pPr>
      <w:bookmarkStart w:id="1" w:name="_Hlk200959663"/>
      <w:r>
        <w:t xml:space="preserve">INTRODUCTION </w:t>
      </w:r>
    </w:p>
    <w:p w14:paraId="21F6D423" w14:textId="625CE9E8" w:rsidR="00AC1881" w:rsidRDefault="00AC1881" w:rsidP="00AC1881">
      <w:pPr>
        <w:spacing w:after="0" w:line="240" w:lineRule="auto"/>
        <w:ind w:left="0" w:hanging="2"/>
        <w:jc w:val="both"/>
        <w:rPr>
          <w:rFonts w:ascii="Times New Roman" w:eastAsia="Times New Roman" w:hAnsi="Times New Roman"/>
        </w:rPr>
      </w:pPr>
      <w:r w:rsidRPr="00AC1881">
        <w:rPr>
          <w:rFonts w:ascii="Times New Roman" w:eastAsia="Times New Roman" w:hAnsi="Times New Roman"/>
        </w:rPr>
        <w:t>MARPOL (The International Convention for the Prevention of Pollution from Ships) is a global commitment formulated by the I</w:t>
      </w:r>
      <w:r w:rsidRPr="00AC1881">
        <w:rPr>
          <w:rFonts w:ascii="Times New Roman" w:eastAsia="Times New Roman" w:hAnsi="Times New Roman"/>
        </w:rPr>
        <w:t>nternational Maritime Organization (IMO), a specialized United Nations agency focused on maritime safety and marine pollution prevention. This convention aims to protect the marine environment from pollutio</w:t>
      </w:r>
      <w:r w:rsidRPr="00AC1881">
        <w:rPr>
          <w:rFonts w:ascii="Times New Roman" w:eastAsia="Times New Roman" w:hAnsi="Times New Roman"/>
        </w:rPr>
        <w:lastRenderedPageBreak/>
        <w:t xml:space="preserve">n caused by ships, whether intentional or incidental, arising from routine operations or maritime accidents </w:t>
      </w:r>
      <w:r w:rsidR="00717390">
        <w:rPr>
          <w:rFonts w:ascii="Times New Roman" w:eastAsia="Times New Roman" w:hAnsi="Times New Roman"/>
        </w:rPr>
        <w:fldChar w:fldCharType="begin" w:fldLock="1"/>
      </w:r>
      <w:r w:rsidR="00717390">
        <w:rPr>
          <w:rFonts w:ascii="Times New Roman" w:eastAsia="Times New Roman" w:hAnsi="Times New Roman"/>
        </w:rPr>
        <w:instrText>ADDIN CSL_CITATION {"citationItems":[{"id":"ITEM-1","itemData":{"ISBN":"9789280117776","author":[{"dropping-particle":"","family":"IMO","given":"","non-dropping-particle":"","parse-names":false,"suffix":""}],"id":"ITEM-1","issue":"February","issued":{"date-parts":[["2019"]]},"title":"International Maritime Organization Maritime Knowledge Centre ( Mkc ) Current Awareness Bulletin February 2019","type":"book"},"uris":["http://www.mendeley.com/documents/?uuid=c27a3aaa-3e96-4904-a441-11685257626b"]},{"id":"ITEM-2","itemData":{"author":[{"dropping-particle":"","family":"Johnson","given":"R.","non-dropping-particle":"","parse-names":false,"suffix":""},{"dropping-particle":"","family":"Lee","given":"S.","non-dropping-particle":"","parse-names":false,"suffix":""}],"container-title":"IMO Press","id":"ITEM-2","issued":{"date-parts":[["2023"]]},"title":"Gaps in Flag State Implementation: A Global Analysis","type":"article-journal"},"uris":["http://www.mendeley.com/documents/?uuid=ee7218c5-93d4-4788-be7e-37b66999e5e1"]}],"mendeley":{"formattedCitation":"[1], [2]","plainTextFormattedCitation":"[1], [2]","previouslyFormattedCitation":"[1], [2]"},"properties":{"noteIndex":0},"schema":"https://github.com/citation-style-language/schema/raw/master/csl-citation.json"}</w:instrText>
      </w:r>
      <w:r w:rsidR="00717390">
        <w:rPr>
          <w:rFonts w:ascii="Times New Roman" w:eastAsia="Times New Roman" w:hAnsi="Times New Roman"/>
        </w:rPr>
        <w:fldChar w:fldCharType="separate"/>
      </w:r>
      <w:r w:rsidR="00717390" w:rsidRPr="00717390">
        <w:rPr>
          <w:rFonts w:ascii="Times New Roman" w:eastAsia="Times New Roman" w:hAnsi="Times New Roman"/>
          <w:noProof/>
        </w:rPr>
        <w:t>[1], [2]</w:t>
      </w:r>
      <w:r w:rsidR="00717390">
        <w:rPr>
          <w:rFonts w:ascii="Times New Roman" w:eastAsia="Times New Roman" w:hAnsi="Times New Roman"/>
        </w:rPr>
        <w:fldChar w:fldCharType="end"/>
      </w:r>
      <w:r w:rsidRPr="00AC1881">
        <w:rPr>
          <w:rFonts w:ascii="Times New Roman" w:eastAsia="Times New Roman" w:hAnsi="Times New Roman"/>
        </w:rPr>
        <w:t>.</w:t>
      </w:r>
    </w:p>
    <w:p w14:paraId="1562FA65" w14:textId="77777777" w:rsidR="003E5669" w:rsidRDefault="003E5669" w:rsidP="00AC1881">
      <w:pPr>
        <w:spacing w:after="0" w:line="240" w:lineRule="auto"/>
        <w:ind w:left="0" w:hanging="2"/>
        <w:jc w:val="both"/>
        <w:rPr>
          <w:rFonts w:ascii="Times New Roman" w:eastAsia="Times New Roman" w:hAnsi="Times New Roman"/>
        </w:rPr>
      </w:pPr>
    </w:p>
    <w:p w14:paraId="79D1C491" w14:textId="77777777" w:rsidR="003E5669" w:rsidRDefault="003E5669" w:rsidP="00AC1881">
      <w:pPr>
        <w:spacing w:after="0" w:line="240" w:lineRule="auto"/>
        <w:ind w:left="0" w:hanging="2"/>
        <w:jc w:val="both"/>
        <w:rPr>
          <w:rFonts w:ascii="Times New Roman" w:eastAsia="Times New Roman" w:hAnsi="Times New Roman"/>
        </w:rPr>
      </w:pPr>
    </w:p>
    <w:p w14:paraId="73DAC99E" w14:textId="5127385F" w:rsidR="003E5669" w:rsidRDefault="003E5669" w:rsidP="003E5669">
      <w:pPr>
        <w:spacing w:after="0" w:line="240" w:lineRule="auto"/>
        <w:ind w:left="0" w:hanging="2"/>
        <w:jc w:val="center"/>
        <w:rPr>
          <w:rFonts w:ascii="Times New Roman" w:eastAsia="Times New Roman" w:hAnsi="Times New Roman"/>
        </w:rPr>
      </w:pPr>
      <w:r>
        <w:rPr>
          <w:rFonts w:ascii="Times New Roman" w:eastAsia="Times New Roman" w:hAnsi="Times New Roman"/>
        </w:rPr>
        <w:t xml:space="preserve">Table 1. </w:t>
      </w:r>
      <w:r w:rsidRPr="003E5669">
        <w:rPr>
          <w:rFonts w:ascii="Times New Roman" w:eastAsia="Times New Roman" w:hAnsi="Times New Roman"/>
        </w:rPr>
        <w:t>Timeline of MARPOL Annex Adoption</w:t>
      </w:r>
    </w:p>
    <w:tbl>
      <w:tblPr>
        <w:tblW w:w="3964" w:type="dxa"/>
        <w:jc w:val="center"/>
        <w:tblLayout w:type="fixed"/>
        <w:tblLook w:val="0000" w:firstRow="0" w:lastRow="0" w:firstColumn="0" w:lastColumn="0" w:noHBand="0" w:noVBand="0"/>
      </w:tblPr>
      <w:tblGrid>
        <w:gridCol w:w="1237"/>
        <w:gridCol w:w="34"/>
        <w:gridCol w:w="1276"/>
        <w:gridCol w:w="93"/>
        <w:gridCol w:w="1275"/>
        <w:gridCol w:w="49"/>
      </w:tblGrid>
      <w:tr w:rsidR="003E5669" w14:paraId="4CE74F21" w14:textId="77777777" w:rsidTr="003E5669">
        <w:trPr>
          <w:gridAfter w:val="1"/>
          <w:wAfter w:w="49" w:type="dxa"/>
          <w:jc w:val="center"/>
        </w:trPr>
        <w:tc>
          <w:tcPr>
            <w:tcW w:w="1237" w:type="dxa"/>
            <w:tcBorders>
              <w:top w:val="single" w:sz="4" w:space="0" w:color="auto"/>
              <w:bottom w:val="single" w:sz="4" w:space="0" w:color="auto"/>
            </w:tcBorders>
          </w:tcPr>
          <w:p w14:paraId="2B75B06E" w14:textId="251FA84B" w:rsidR="003E5669" w:rsidRDefault="003E5669" w:rsidP="003E5669">
            <w:pPr>
              <w:spacing w:after="0" w:line="240" w:lineRule="auto"/>
              <w:ind w:leftChars="0" w:left="2" w:right="-15" w:hanging="2"/>
              <w:jc w:val="center"/>
              <w:rPr>
                <w:rFonts w:ascii="Times New Roman" w:eastAsia="Times New Roman" w:hAnsi="Times New Roman"/>
                <w:sz w:val="20"/>
                <w:szCs w:val="20"/>
              </w:rPr>
            </w:pPr>
            <w:r w:rsidRPr="003E5669">
              <w:rPr>
                <w:rFonts w:ascii="Times New Roman" w:eastAsia="Times New Roman" w:hAnsi="Times New Roman"/>
                <w:sz w:val="20"/>
                <w:szCs w:val="20"/>
              </w:rPr>
              <w:t>Year</w:t>
            </w:r>
          </w:p>
        </w:tc>
        <w:tc>
          <w:tcPr>
            <w:tcW w:w="1403" w:type="dxa"/>
            <w:gridSpan w:val="3"/>
            <w:tcBorders>
              <w:top w:val="single" w:sz="4" w:space="0" w:color="auto"/>
              <w:bottom w:val="single" w:sz="4" w:space="0" w:color="auto"/>
            </w:tcBorders>
          </w:tcPr>
          <w:p w14:paraId="5CFE3384" w14:textId="5E38190C" w:rsidR="003E5669" w:rsidRDefault="003E5669" w:rsidP="003E5669">
            <w:pPr>
              <w:spacing w:after="0" w:line="240" w:lineRule="auto"/>
              <w:ind w:leftChars="0" w:left="2" w:right="-15" w:hanging="2"/>
              <w:jc w:val="center"/>
              <w:rPr>
                <w:rFonts w:ascii="Times New Roman" w:eastAsia="Times New Roman" w:hAnsi="Times New Roman"/>
                <w:sz w:val="20"/>
                <w:szCs w:val="20"/>
              </w:rPr>
            </w:pPr>
            <w:r w:rsidRPr="003E5669">
              <w:rPr>
                <w:rFonts w:ascii="Times New Roman" w:eastAsia="Times New Roman" w:hAnsi="Times New Roman"/>
                <w:sz w:val="20"/>
                <w:szCs w:val="20"/>
              </w:rPr>
              <w:t>Annex</w:t>
            </w:r>
          </w:p>
        </w:tc>
        <w:tc>
          <w:tcPr>
            <w:tcW w:w="1275" w:type="dxa"/>
            <w:tcBorders>
              <w:top w:val="single" w:sz="4" w:space="0" w:color="auto"/>
              <w:bottom w:val="single" w:sz="4" w:space="0" w:color="auto"/>
            </w:tcBorders>
          </w:tcPr>
          <w:p w14:paraId="1F0B3AB4" w14:textId="2C486EA0" w:rsidR="003E5669" w:rsidRDefault="003E5669" w:rsidP="003E5669">
            <w:pPr>
              <w:spacing w:after="0" w:line="240" w:lineRule="auto"/>
              <w:ind w:leftChars="0" w:left="2" w:right="-15" w:hanging="2"/>
              <w:jc w:val="center"/>
              <w:rPr>
                <w:rFonts w:ascii="Times New Roman" w:eastAsia="Times New Roman" w:hAnsi="Times New Roman"/>
                <w:sz w:val="20"/>
                <w:szCs w:val="20"/>
              </w:rPr>
            </w:pPr>
            <w:r w:rsidRPr="003E5669">
              <w:rPr>
                <w:rFonts w:ascii="Times New Roman" w:eastAsia="Times New Roman" w:hAnsi="Times New Roman"/>
                <w:sz w:val="20"/>
                <w:szCs w:val="20"/>
              </w:rPr>
              <w:t>Regulatory Focus</w:t>
            </w:r>
          </w:p>
        </w:tc>
      </w:tr>
      <w:tr w:rsidR="003E5669" w14:paraId="53939BAE" w14:textId="77777777" w:rsidTr="003E5669">
        <w:trPr>
          <w:jc w:val="center"/>
        </w:trPr>
        <w:tc>
          <w:tcPr>
            <w:tcW w:w="1271" w:type="dxa"/>
            <w:gridSpan w:val="2"/>
          </w:tcPr>
          <w:p w14:paraId="60D38006" w14:textId="06FAFD4E" w:rsidR="003E5669" w:rsidRDefault="003E5669" w:rsidP="003E5669">
            <w:pPr>
              <w:spacing w:after="0" w:line="240" w:lineRule="auto"/>
              <w:ind w:leftChars="0" w:left="2" w:right="-15" w:hanging="2"/>
              <w:jc w:val="center"/>
              <w:rPr>
                <w:rFonts w:ascii="Times New Roman" w:eastAsia="Times New Roman" w:hAnsi="Times New Roman"/>
                <w:sz w:val="20"/>
                <w:szCs w:val="20"/>
              </w:rPr>
            </w:pPr>
            <w:r w:rsidRPr="003E5669">
              <w:rPr>
                <w:rFonts w:ascii="Times New Roman" w:eastAsia="Times New Roman" w:hAnsi="Times New Roman"/>
                <w:sz w:val="20"/>
                <w:szCs w:val="20"/>
              </w:rPr>
              <w:t>1983</w:t>
            </w:r>
          </w:p>
        </w:tc>
        <w:tc>
          <w:tcPr>
            <w:tcW w:w="1276" w:type="dxa"/>
            <w:vAlign w:val="center"/>
          </w:tcPr>
          <w:p w14:paraId="2CE35A9F" w14:textId="0DE45E19" w:rsidR="003E5669" w:rsidRDefault="003E5669" w:rsidP="003E5669">
            <w:pPr>
              <w:spacing w:after="0" w:line="240" w:lineRule="auto"/>
              <w:ind w:leftChars="0" w:left="2" w:right="-15" w:hanging="2"/>
              <w:jc w:val="center"/>
              <w:rPr>
                <w:rFonts w:ascii="Times New Roman" w:eastAsia="Times New Roman" w:hAnsi="Times New Roman"/>
                <w:sz w:val="20"/>
                <w:szCs w:val="20"/>
              </w:rPr>
            </w:pPr>
            <w:r w:rsidRPr="003E5669">
              <w:rPr>
                <w:rFonts w:ascii="Times New Roman" w:eastAsia="Times New Roman" w:hAnsi="Times New Roman"/>
                <w:sz w:val="20"/>
                <w:szCs w:val="20"/>
              </w:rPr>
              <w:t>Annex I</w:t>
            </w:r>
          </w:p>
        </w:tc>
        <w:tc>
          <w:tcPr>
            <w:tcW w:w="1417" w:type="dxa"/>
            <w:gridSpan w:val="3"/>
            <w:vAlign w:val="center"/>
          </w:tcPr>
          <w:p w14:paraId="29184394" w14:textId="049BD90C" w:rsidR="003E5669" w:rsidRDefault="003E5669" w:rsidP="003E5669">
            <w:pPr>
              <w:spacing w:after="0" w:line="240" w:lineRule="auto"/>
              <w:ind w:leftChars="0" w:left="2" w:right="-15" w:hanging="2"/>
              <w:jc w:val="center"/>
              <w:rPr>
                <w:rFonts w:ascii="Times New Roman" w:eastAsia="Times New Roman" w:hAnsi="Times New Roman"/>
                <w:sz w:val="20"/>
                <w:szCs w:val="20"/>
              </w:rPr>
            </w:pPr>
            <w:r w:rsidRPr="003E5669">
              <w:rPr>
                <w:rFonts w:ascii="Times New Roman" w:eastAsia="Times New Roman" w:hAnsi="Times New Roman"/>
                <w:sz w:val="20"/>
                <w:szCs w:val="20"/>
              </w:rPr>
              <w:t>Pollution by oil</w:t>
            </w:r>
          </w:p>
        </w:tc>
      </w:tr>
      <w:tr w:rsidR="003E5669" w14:paraId="0C89E9CD" w14:textId="77777777" w:rsidTr="003E5669">
        <w:trPr>
          <w:jc w:val="center"/>
        </w:trPr>
        <w:tc>
          <w:tcPr>
            <w:tcW w:w="1271" w:type="dxa"/>
            <w:gridSpan w:val="2"/>
          </w:tcPr>
          <w:p w14:paraId="60C83DC6" w14:textId="1A77318D" w:rsidR="003E5669" w:rsidRDefault="003E5669" w:rsidP="003E5669">
            <w:pPr>
              <w:spacing w:after="0" w:line="240" w:lineRule="auto"/>
              <w:ind w:leftChars="0" w:left="2" w:right="-15" w:hanging="2"/>
              <w:jc w:val="center"/>
              <w:rPr>
                <w:rFonts w:ascii="Times New Roman" w:eastAsia="Times New Roman" w:hAnsi="Times New Roman"/>
                <w:sz w:val="20"/>
                <w:szCs w:val="20"/>
              </w:rPr>
            </w:pPr>
            <w:r w:rsidRPr="003E5669">
              <w:rPr>
                <w:rFonts w:ascii="Times New Roman" w:eastAsia="Times New Roman" w:hAnsi="Times New Roman"/>
                <w:sz w:val="20"/>
                <w:szCs w:val="20"/>
              </w:rPr>
              <w:t>1987</w:t>
            </w:r>
          </w:p>
        </w:tc>
        <w:tc>
          <w:tcPr>
            <w:tcW w:w="1276" w:type="dxa"/>
            <w:vAlign w:val="center"/>
          </w:tcPr>
          <w:p w14:paraId="7CF6AD6B" w14:textId="2BD77C2A" w:rsidR="003E5669" w:rsidRDefault="003E5669" w:rsidP="003E5669">
            <w:pPr>
              <w:spacing w:after="0" w:line="240" w:lineRule="auto"/>
              <w:ind w:leftChars="0" w:left="2" w:right="-15" w:hanging="2"/>
              <w:jc w:val="center"/>
              <w:rPr>
                <w:rFonts w:ascii="Times New Roman" w:eastAsia="Times New Roman" w:hAnsi="Times New Roman"/>
                <w:sz w:val="20"/>
                <w:szCs w:val="20"/>
              </w:rPr>
            </w:pPr>
            <w:r w:rsidRPr="003E5669">
              <w:rPr>
                <w:rFonts w:ascii="Times New Roman" w:eastAsia="Times New Roman" w:hAnsi="Times New Roman"/>
                <w:sz w:val="20"/>
                <w:szCs w:val="20"/>
              </w:rPr>
              <w:t>Annex II</w:t>
            </w:r>
          </w:p>
        </w:tc>
        <w:tc>
          <w:tcPr>
            <w:tcW w:w="1417" w:type="dxa"/>
            <w:gridSpan w:val="3"/>
            <w:vAlign w:val="center"/>
          </w:tcPr>
          <w:p w14:paraId="1E67CF92" w14:textId="4D31556C" w:rsidR="003E5669" w:rsidRDefault="003E5669" w:rsidP="003E5669">
            <w:pPr>
              <w:spacing w:after="0" w:line="240" w:lineRule="auto"/>
              <w:ind w:leftChars="0" w:left="2" w:right="-15" w:hanging="2"/>
              <w:jc w:val="center"/>
              <w:rPr>
                <w:rFonts w:ascii="Times New Roman" w:eastAsia="Times New Roman" w:hAnsi="Times New Roman"/>
                <w:sz w:val="20"/>
                <w:szCs w:val="20"/>
              </w:rPr>
            </w:pPr>
            <w:r w:rsidRPr="003E5669">
              <w:rPr>
                <w:rFonts w:ascii="Times New Roman" w:eastAsia="Times New Roman" w:hAnsi="Times New Roman"/>
                <w:sz w:val="20"/>
                <w:szCs w:val="20"/>
              </w:rPr>
              <w:t>Noxious liquid substances in bulk</w:t>
            </w:r>
          </w:p>
        </w:tc>
      </w:tr>
      <w:tr w:rsidR="003E5669" w14:paraId="0F9C9DE8" w14:textId="77777777" w:rsidTr="003E5669">
        <w:trPr>
          <w:jc w:val="center"/>
        </w:trPr>
        <w:tc>
          <w:tcPr>
            <w:tcW w:w="1271" w:type="dxa"/>
            <w:gridSpan w:val="2"/>
          </w:tcPr>
          <w:p w14:paraId="21DB1BE4" w14:textId="52BA558B" w:rsidR="003E5669" w:rsidRDefault="003E5669" w:rsidP="003E5669">
            <w:pPr>
              <w:spacing w:after="0" w:line="240" w:lineRule="auto"/>
              <w:ind w:leftChars="0" w:left="2" w:right="-15" w:hanging="2"/>
              <w:jc w:val="center"/>
              <w:rPr>
                <w:rFonts w:ascii="Times New Roman" w:eastAsia="Times New Roman" w:hAnsi="Times New Roman"/>
                <w:sz w:val="20"/>
                <w:szCs w:val="20"/>
              </w:rPr>
            </w:pPr>
            <w:r w:rsidRPr="003E5669">
              <w:rPr>
                <w:rFonts w:ascii="Times New Roman" w:eastAsia="Times New Roman" w:hAnsi="Times New Roman"/>
                <w:sz w:val="20"/>
                <w:szCs w:val="20"/>
              </w:rPr>
              <w:t>1992</w:t>
            </w:r>
          </w:p>
        </w:tc>
        <w:tc>
          <w:tcPr>
            <w:tcW w:w="1276" w:type="dxa"/>
            <w:vAlign w:val="center"/>
          </w:tcPr>
          <w:p w14:paraId="6DC9B911" w14:textId="346663FC" w:rsidR="003E5669" w:rsidRDefault="003E5669" w:rsidP="003E5669">
            <w:pPr>
              <w:spacing w:after="0" w:line="240" w:lineRule="auto"/>
              <w:ind w:leftChars="0" w:left="2" w:right="-15" w:hanging="2"/>
              <w:jc w:val="center"/>
              <w:rPr>
                <w:rFonts w:ascii="Times New Roman" w:eastAsia="Times New Roman" w:hAnsi="Times New Roman"/>
                <w:sz w:val="20"/>
                <w:szCs w:val="20"/>
              </w:rPr>
            </w:pPr>
            <w:r w:rsidRPr="003E5669">
              <w:rPr>
                <w:rFonts w:ascii="Times New Roman" w:eastAsia="Times New Roman" w:hAnsi="Times New Roman"/>
                <w:sz w:val="20"/>
                <w:szCs w:val="20"/>
              </w:rPr>
              <w:t>Annex III</w:t>
            </w:r>
          </w:p>
        </w:tc>
        <w:tc>
          <w:tcPr>
            <w:tcW w:w="1417" w:type="dxa"/>
            <w:gridSpan w:val="3"/>
            <w:vAlign w:val="center"/>
          </w:tcPr>
          <w:p w14:paraId="6ECDA6B3" w14:textId="1505D125" w:rsidR="003E5669" w:rsidRDefault="003E5669" w:rsidP="003E5669">
            <w:pPr>
              <w:spacing w:after="0" w:line="240" w:lineRule="auto"/>
              <w:ind w:leftChars="0" w:left="2" w:right="-15" w:hanging="2"/>
              <w:jc w:val="center"/>
              <w:rPr>
                <w:rFonts w:ascii="Times New Roman" w:eastAsia="Times New Roman" w:hAnsi="Times New Roman"/>
                <w:sz w:val="20"/>
                <w:szCs w:val="20"/>
              </w:rPr>
            </w:pPr>
            <w:r w:rsidRPr="003E5669">
              <w:rPr>
                <w:rFonts w:ascii="Times New Roman" w:eastAsia="Times New Roman" w:hAnsi="Times New Roman"/>
                <w:sz w:val="20"/>
                <w:szCs w:val="20"/>
              </w:rPr>
              <w:t>Harmful substances in packaged form</w:t>
            </w:r>
          </w:p>
        </w:tc>
      </w:tr>
      <w:tr w:rsidR="003E5669" w14:paraId="0AAC83E1" w14:textId="77777777" w:rsidTr="003E5669">
        <w:trPr>
          <w:jc w:val="center"/>
        </w:trPr>
        <w:tc>
          <w:tcPr>
            <w:tcW w:w="1271" w:type="dxa"/>
            <w:gridSpan w:val="2"/>
          </w:tcPr>
          <w:p w14:paraId="06628C13" w14:textId="6596AF28" w:rsidR="003E5669" w:rsidRDefault="003E5669" w:rsidP="003E5669">
            <w:pPr>
              <w:spacing w:after="0" w:line="240" w:lineRule="auto"/>
              <w:ind w:leftChars="0" w:left="2" w:right="-15" w:hanging="2"/>
              <w:jc w:val="center"/>
              <w:rPr>
                <w:rFonts w:ascii="Times New Roman" w:eastAsia="Times New Roman" w:hAnsi="Times New Roman"/>
                <w:sz w:val="20"/>
                <w:szCs w:val="20"/>
              </w:rPr>
            </w:pPr>
            <w:r w:rsidRPr="003E5669">
              <w:rPr>
                <w:rFonts w:ascii="Times New Roman" w:eastAsia="Times New Roman" w:hAnsi="Times New Roman"/>
                <w:sz w:val="20"/>
                <w:szCs w:val="20"/>
              </w:rPr>
              <w:t>2005</w:t>
            </w:r>
          </w:p>
        </w:tc>
        <w:tc>
          <w:tcPr>
            <w:tcW w:w="1276" w:type="dxa"/>
            <w:vAlign w:val="center"/>
          </w:tcPr>
          <w:p w14:paraId="0DA470A0" w14:textId="62B19EBB" w:rsidR="003E5669" w:rsidRDefault="003E5669" w:rsidP="003E5669">
            <w:pPr>
              <w:spacing w:after="0" w:line="240" w:lineRule="auto"/>
              <w:ind w:leftChars="0" w:left="2" w:right="-15" w:hanging="2"/>
              <w:jc w:val="center"/>
              <w:rPr>
                <w:rFonts w:ascii="Times New Roman" w:eastAsia="Times New Roman" w:hAnsi="Times New Roman"/>
                <w:sz w:val="20"/>
                <w:szCs w:val="20"/>
              </w:rPr>
            </w:pPr>
            <w:r w:rsidRPr="003E5669">
              <w:rPr>
                <w:rFonts w:ascii="Times New Roman" w:eastAsia="Times New Roman" w:hAnsi="Times New Roman"/>
                <w:sz w:val="20"/>
                <w:szCs w:val="20"/>
              </w:rPr>
              <w:t>Annex IV</w:t>
            </w:r>
          </w:p>
        </w:tc>
        <w:tc>
          <w:tcPr>
            <w:tcW w:w="1417" w:type="dxa"/>
            <w:gridSpan w:val="3"/>
            <w:vAlign w:val="center"/>
          </w:tcPr>
          <w:p w14:paraId="788154AE" w14:textId="0CAE3DCB" w:rsidR="003E5669" w:rsidRDefault="003E5669" w:rsidP="003E5669">
            <w:pPr>
              <w:spacing w:after="0" w:line="240" w:lineRule="auto"/>
              <w:ind w:leftChars="0" w:left="2" w:right="-15" w:hanging="2"/>
              <w:jc w:val="center"/>
              <w:rPr>
                <w:rFonts w:ascii="Times New Roman" w:eastAsia="Times New Roman" w:hAnsi="Times New Roman"/>
                <w:sz w:val="20"/>
                <w:szCs w:val="20"/>
              </w:rPr>
            </w:pPr>
            <w:r w:rsidRPr="003E5669">
              <w:rPr>
                <w:rFonts w:ascii="Times New Roman" w:eastAsia="Times New Roman" w:hAnsi="Times New Roman"/>
                <w:sz w:val="20"/>
                <w:szCs w:val="20"/>
              </w:rPr>
              <w:t>Sewage</w:t>
            </w:r>
          </w:p>
        </w:tc>
      </w:tr>
      <w:tr w:rsidR="003E5669" w14:paraId="038C421A" w14:textId="77777777" w:rsidTr="003E5669">
        <w:trPr>
          <w:jc w:val="center"/>
        </w:trPr>
        <w:tc>
          <w:tcPr>
            <w:tcW w:w="1271" w:type="dxa"/>
            <w:gridSpan w:val="2"/>
          </w:tcPr>
          <w:p w14:paraId="174BF75A" w14:textId="508BACED" w:rsidR="003E5669" w:rsidRDefault="003E5669" w:rsidP="003E5669">
            <w:pPr>
              <w:spacing w:after="0" w:line="240" w:lineRule="auto"/>
              <w:ind w:leftChars="0" w:left="2" w:right="-15" w:hanging="2"/>
              <w:jc w:val="center"/>
              <w:rPr>
                <w:rFonts w:ascii="Times New Roman" w:eastAsia="Times New Roman" w:hAnsi="Times New Roman"/>
                <w:sz w:val="20"/>
                <w:szCs w:val="20"/>
              </w:rPr>
            </w:pPr>
            <w:r w:rsidRPr="003E5669">
              <w:rPr>
                <w:rFonts w:ascii="Times New Roman" w:eastAsia="Times New Roman" w:hAnsi="Times New Roman"/>
                <w:sz w:val="20"/>
                <w:szCs w:val="20"/>
              </w:rPr>
              <w:t>1988</w:t>
            </w:r>
          </w:p>
        </w:tc>
        <w:tc>
          <w:tcPr>
            <w:tcW w:w="1276" w:type="dxa"/>
            <w:vAlign w:val="center"/>
          </w:tcPr>
          <w:p w14:paraId="585CFC67" w14:textId="7B5302D3" w:rsidR="003E5669" w:rsidRDefault="003E5669" w:rsidP="003E5669">
            <w:pPr>
              <w:spacing w:after="0" w:line="240" w:lineRule="auto"/>
              <w:ind w:leftChars="0" w:left="2" w:right="-15" w:hanging="2"/>
              <w:jc w:val="center"/>
              <w:rPr>
                <w:rFonts w:ascii="Times New Roman" w:eastAsia="Times New Roman" w:hAnsi="Times New Roman"/>
                <w:sz w:val="20"/>
                <w:szCs w:val="20"/>
              </w:rPr>
            </w:pPr>
            <w:r w:rsidRPr="003E5669">
              <w:rPr>
                <w:rFonts w:ascii="Times New Roman" w:eastAsia="Times New Roman" w:hAnsi="Times New Roman"/>
                <w:sz w:val="20"/>
                <w:szCs w:val="20"/>
              </w:rPr>
              <w:t>Annex V</w:t>
            </w:r>
          </w:p>
        </w:tc>
        <w:tc>
          <w:tcPr>
            <w:tcW w:w="1417" w:type="dxa"/>
            <w:gridSpan w:val="3"/>
            <w:vAlign w:val="center"/>
          </w:tcPr>
          <w:p w14:paraId="024BEAEA" w14:textId="32C2EF39" w:rsidR="003E5669" w:rsidRDefault="003E5669" w:rsidP="003E5669">
            <w:pPr>
              <w:spacing w:after="0" w:line="240" w:lineRule="auto"/>
              <w:ind w:leftChars="0" w:left="2" w:right="-15" w:hanging="2"/>
              <w:jc w:val="center"/>
              <w:rPr>
                <w:rFonts w:ascii="Times New Roman" w:eastAsia="Times New Roman" w:hAnsi="Times New Roman"/>
                <w:sz w:val="20"/>
                <w:szCs w:val="20"/>
              </w:rPr>
            </w:pPr>
            <w:r w:rsidRPr="003E5669">
              <w:rPr>
                <w:rFonts w:ascii="Times New Roman" w:eastAsia="Times New Roman" w:hAnsi="Times New Roman"/>
                <w:sz w:val="20"/>
                <w:szCs w:val="20"/>
              </w:rPr>
              <w:t>Garbage from ships</w:t>
            </w:r>
          </w:p>
        </w:tc>
      </w:tr>
      <w:tr w:rsidR="003E5669" w14:paraId="16B0A6CF" w14:textId="77777777" w:rsidTr="003E5669">
        <w:trPr>
          <w:jc w:val="center"/>
        </w:trPr>
        <w:tc>
          <w:tcPr>
            <w:tcW w:w="1271" w:type="dxa"/>
            <w:gridSpan w:val="2"/>
            <w:tcBorders>
              <w:bottom w:val="single" w:sz="4" w:space="0" w:color="auto"/>
            </w:tcBorders>
            <w:vAlign w:val="center"/>
          </w:tcPr>
          <w:p w14:paraId="47CCB3CB" w14:textId="7421116E" w:rsidR="003E5669" w:rsidRDefault="003E5669" w:rsidP="003E5669">
            <w:pPr>
              <w:spacing w:after="0" w:line="240" w:lineRule="auto"/>
              <w:ind w:leftChars="0" w:left="2" w:right="-15" w:hanging="2"/>
              <w:jc w:val="center"/>
              <w:rPr>
                <w:rFonts w:ascii="Times New Roman" w:eastAsia="Times New Roman" w:hAnsi="Times New Roman"/>
                <w:sz w:val="20"/>
                <w:szCs w:val="20"/>
              </w:rPr>
            </w:pPr>
            <w:r w:rsidRPr="003E5669">
              <w:rPr>
                <w:rFonts w:ascii="Times New Roman" w:eastAsia="Times New Roman" w:hAnsi="Times New Roman"/>
                <w:sz w:val="20"/>
                <w:szCs w:val="20"/>
              </w:rPr>
              <w:t>2005</w:t>
            </w:r>
          </w:p>
        </w:tc>
        <w:tc>
          <w:tcPr>
            <w:tcW w:w="1276" w:type="dxa"/>
            <w:tcBorders>
              <w:bottom w:val="single" w:sz="4" w:space="0" w:color="auto"/>
            </w:tcBorders>
            <w:vAlign w:val="center"/>
          </w:tcPr>
          <w:p w14:paraId="131A5355" w14:textId="33A690AA" w:rsidR="003E5669" w:rsidRDefault="003E5669" w:rsidP="003E5669">
            <w:pPr>
              <w:spacing w:after="0" w:line="240" w:lineRule="auto"/>
              <w:ind w:leftChars="0" w:left="2" w:right="-15" w:hanging="2"/>
              <w:jc w:val="center"/>
              <w:rPr>
                <w:rFonts w:ascii="Times New Roman" w:eastAsia="Times New Roman" w:hAnsi="Times New Roman"/>
                <w:sz w:val="20"/>
                <w:szCs w:val="20"/>
              </w:rPr>
            </w:pPr>
            <w:r w:rsidRPr="003E5669">
              <w:rPr>
                <w:rFonts w:ascii="Times New Roman" w:eastAsia="Times New Roman" w:hAnsi="Times New Roman"/>
                <w:sz w:val="20"/>
                <w:szCs w:val="20"/>
              </w:rPr>
              <w:t>Annex VI</w:t>
            </w:r>
          </w:p>
        </w:tc>
        <w:tc>
          <w:tcPr>
            <w:tcW w:w="1417" w:type="dxa"/>
            <w:gridSpan w:val="3"/>
            <w:tcBorders>
              <w:bottom w:val="single" w:sz="4" w:space="0" w:color="auto"/>
            </w:tcBorders>
            <w:vAlign w:val="center"/>
          </w:tcPr>
          <w:p w14:paraId="73FB9C86" w14:textId="18088C39" w:rsidR="003E5669" w:rsidRDefault="003E5669" w:rsidP="003E5669">
            <w:pPr>
              <w:spacing w:after="0" w:line="240" w:lineRule="auto"/>
              <w:ind w:leftChars="0" w:left="2" w:right="-15" w:hanging="2"/>
              <w:jc w:val="center"/>
              <w:rPr>
                <w:rFonts w:ascii="Times New Roman" w:eastAsia="Times New Roman" w:hAnsi="Times New Roman"/>
                <w:sz w:val="20"/>
                <w:szCs w:val="20"/>
              </w:rPr>
            </w:pPr>
            <w:r w:rsidRPr="003E5669">
              <w:rPr>
                <w:rFonts w:ascii="Times New Roman" w:eastAsia="Times New Roman" w:hAnsi="Times New Roman"/>
                <w:sz w:val="20"/>
                <w:szCs w:val="20"/>
              </w:rPr>
              <w:t>Air emissions</w:t>
            </w:r>
          </w:p>
        </w:tc>
      </w:tr>
    </w:tbl>
    <w:p w14:paraId="6738D9F8" w14:textId="77777777" w:rsidR="003E5669" w:rsidRPr="00AC1881" w:rsidRDefault="003E5669" w:rsidP="00AC1881">
      <w:pPr>
        <w:spacing w:after="0" w:line="240" w:lineRule="auto"/>
        <w:ind w:left="0" w:hanging="2"/>
        <w:jc w:val="both"/>
        <w:rPr>
          <w:rFonts w:ascii="Times New Roman" w:eastAsia="Times New Roman" w:hAnsi="Times New Roman"/>
        </w:rPr>
      </w:pPr>
    </w:p>
    <w:p w14:paraId="15350F38" w14:textId="77777777" w:rsidR="00AC1881" w:rsidRPr="00AC1881" w:rsidRDefault="00AC1881" w:rsidP="00AC1881">
      <w:pPr>
        <w:spacing w:after="0" w:line="240" w:lineRule="auto"/>
        <w:ind w:left="0" w:hanging="2"/>
        <w:jc w:val="both"/>
        <w:rPr>
          <w:rFonts w:ascii="Times New Roman" w:eastAsia="Times New Roman" w:hAnsi="Times New Roman"/>
        </w:rPr>
      </w:pPr>
    </w:p>
    <w:p w14:paraId="2F959C47" w14:textId="7123F731" w:rsidR="00AC1881" w:rsidRPr="00AC1881" w:rsidRDefault="00AC1881" w:rsidP="00AC1881">
      <w:pPr>
        <w:spacing w:after="0" w:line="240" w:lineRule="auto"/>
        <w:ind w:left="0" w:hanging="2"/>
        <w:jc w:val="both"/>
        <w:rPr>
          <w:rFonts w:ascii="Times New Roman" w:eastAsia="Times New Roman" w:hAnsi="Times New Roman"/>
        </w:rPr>
      </w:pPr>
      <w:r w:rsidRPr="00AC1881">
        <w:rPr>
          <w:rFonts w:ascii="Times New Roman" w:eastAsia="Times New Roman" w:hAnsi="Times New Roman"/>
        </w:rPr>
        <w:t xml:space="preserve">Given its geographic and legal context as the world’s largest archipelagic state with a maritime area of 6.4 million square kilometers, Indonesia bears a significant responsibility in preserving marine ecosystems and serves as a vital node in global maritime logistics chains </w:t>
      </w:r>
      <w:r w:rsidR="00717390">
        <w:rPr>
          <w:rFonts w:ascii="Times New Roman" w:eastAsia="Times New Roman" w:hAnsi="Times New Roman"/>
        </w:rPr>
        <w:fldChar w:fldCharType="begin" w:fldLock="1"/>
      </w:r>
      <w:r w:rsidR="00717390">
        <w:rPr>
          <w:rFonts w:ascii="Times New Roman" w:eastAsia="Times New Roman" w:hAnsi="Times New Roman"/>
        </w:rPr>
        <w:instrText>ADDIN CSL_CITATION {"citationItems":[{"id":"ITEM-1","itemData":{"author":[{"dropping-particle":"","family":"Tohir","given":"Muhammad","non-dropping-particle":"","parse-names":false,"suffix":""}],"id":"ITEM-1","issue":"4","issued":{"date-parts":[["2025"]]},"page":"163-172","title":"The Role of Sea Toll Shipping in Inter-Island Commodity Distribution : A Literature Review Study","type":"article-journal","volume":"2"},"uris":["http://www.mendeley.com/documents/?uuid=0e967e84-bc13-4a5c-94fc-5627abc5fac1"]}],"mendeley":{"formattedCitation":"[3]","plainTextFormattedCitation":"[3]","previouslyFormattedCitation":"[3]"},"properties":{"noteIndex":0},"schema":"https://github.com/citation-style-language/schema/raw/master/csl-citation.json"}</w:instrText>
      </w:r>
      <w:r w:rsidR="00717390">
        <w:rPr>
          <w:rFonts w:ascii="Times New Roman" w:eastAsia="Times New Roman" w:hAnsi="Times New Roman"/>
        </w:rPr>
        <w:fldChar w:fldCharType="separate"/>
      </w:r>
      <w:r w:rsidR="00717390" w:rsidRPr="00717390">
        <w:rPr>
          <w:rFonts w:ascii="Times New Roman" w:eastAsia="Times New Roman" w:hAnsi="Times New Roman"/>
          <w:noProof/>
        </w:rPr>
        <w:t>[3]</w:t>
      </w:r>
      <w:r w:rsidR="00717390">
        <w:rPr>
          <w:rFonts w:ascii="Times New Roman" w:eastAsia="Times New Roman" w:hAnsi="Times New Roman"/>
        </w:rPr>
        <w:fldChar w:fldCharType="end"/>
      </w:r>
      <w:r w:rsidRPr="00AC1881">
        <w:rPr>
          <w:rFonts w:ascii="Times New Roman" w:eastAsia="Times New Roman" w:hAnsi="Times New Roman"/>
        </w:rPr>
        <w:t>. Indonesia’s commitment to marine environmental protection is evidenced by its ratification of MARPOL 73/78 through Presidential Regulation No. 21 of 2020, which adopts all annexes, including Annex V concerning ship waste management. However, IMO (2021) reports that Indonesia’s implementation remains below the global average, particularly in enforcement and supporting infrastructure</w:t>
      </w:r>
      <w:r w:rsidR="00717390">
        <w:rPr>
          <w:rFonts w:ascii="Times New Roman" w:eastAsia="Times New Roman" w:hAnsi="Times New Roman"/>
        </w:rPr>
        <w:t xml:space="preserve"> </w:t>
      </w:r>
      <w:r w:rsidR="00717390">
        <w:rPr>
          <w:rFonts w:ascii="Times New Roman" w:eastAsia="Times New Roman" w:hAnsi="Times New Roman"/>
        </w:rPr>
        <w:fldChar w:fldCharType="begin" w:fldLock="1"/>
      </w:r>
      <w:r w:rsidR="00717390">
        <w:rPr>
          <w:rFonts w:ascii="Times New Roman" w:eastAsia="Times New Roman" w:hAnsi="Times New Roman"/>
        </w:rPr>
        <w:instrText>ADDIN CSL_CITATION {"citationItems":[{"id":"ITEM-1","itemData":{"author":[{"dropping-particle":"","family":"International Maritime Organization","given":"","non-dropping-particle":"","parse-names":false,"suffix":""}],"container-title":"International Maritime Organization","id":"ITEM-1","issue":"January 2020","issued":{"date-parts":[["2021"]]},"page":"4-7","title":"International Code of Safety for High-Speed Craft ( 1994 HSC Code ) Supplement","type":"article-journal","volume":"1994"},"uris":["http://www.mendeley.com/documents/?uuid=8488b6f2-be4c-462e-9fc8-1c828780ba5c"]}],"mendeley":{"formattedCitation":"[4]","plainTextFormattedCitation":"[4]","previouslyFormattedCitation":"[4]"},"properties":{"noteIndex":0},"schema":"https://github.com/citation-style-language/schema/raw/master/csl-citation.json"}</w:instrText>
      </w:r>
      <w:r w:rsidR="00717390">
        <w:rPr>
          <w:rFonts w:ascii="Times New Roman" w:eastAsia="Times New Roman" w:hAnsi="Times New Roman"/>
        </w:rPr>
        <w:fldChar w:fldCharType="separate"/>
      </w:r>
      <w:r w:rsidR="00717390" w:rsidRPr="00717390">
        <w:rPr>
          <w:rFonts w:ascii="Times New Roman" w:eastAsia="Times New Roman" w:hAnsi="Times New Roman"/>
          <w:noProof/>
        </w:rPr>
        <w:t>[4]</w:t>
      </w:r>
      <w:r w:rsidR="00717390">
        <w:rPr>
          <w:rFonts w:ascii="Times New Roman" w:eastAsia="Times New Roman" w:hAnsi="Times New Roman"/>
        </w:rPr>
        <w:fldChar w:fldCharType="end"/>
      </w:r>
      <w:r w:rsidRPr="00AC1881">
        <w:rPr>
          <w:rFonts w:ascii="Times New Roman" w:eastAsia="Times New Roman" w:hAnsi="Times New Roman"/>
        </w:rPr>
        <w:t>.</w:t>
      </w:r>
    </w:p>
    <w:p w14:paraId="247FF648" w14:textId="7EE62820" w:rsidR="00AC1881" w:rsidRPr="00AC1881" w:rsidRDefault="00AC1881" w:rsidP="00AC1881">
      <w:pPr>
        <w:spacing w:after="0" w:line="240" w:lineRule="auto"/>
        <w:ind w:left="0" w:hanging="2"/>
        <w:jc w:val="both"/>
        <w:rPr>
          <w:rFonts w:ascii="Times New Roman" w:eastAsia="Times New Roman" w:hAnsi="Times New Roman"/>
        </w:rPr>
      </w:pPr>
      <w:r w:rsidRPr="00AC1881">
        <w:rPr>
          <w:rFonts w:ascii="Times New Roman" w:eastAsia="Times New Roman" w:hAnsi="Times New Roman"/>
        </w:rPr>
        <w:t>According to the Directorate General of Sea Transportation (2023), 47 cases of illegal ship waste discharge were recorded in Indonesian waters during 2022</w:t>
      </w:r>
      <w:r w:rsidR="00717390">
        <w:rPr>
          <w:rFonts w:ascii="Times New Roman" w:eastAsia="Times New Roman" w:hAnsi="Times New Roman"/>
        </w:rPr>
        <w:t xml:space="preserve"> </w:t>
      </w:r>
      <w:r w:rsidR="00717390">
        <w:rPr>
          <w:rFonts w:ascii="Times New Roman" w:eastAsia="Times New Roman" w:hAnsi="Times New Roman"/>
        </w:rPr>
        <w:fldChar w:fldCharType="begin" w:fldLock="1"/>
      </w:r>
      <w:r w:rsidR="00717390">
        <w:rPr>
          <w:rFonts w:ascii="Times New Roman" w:eastAsia="Times New Roman" w:hAnsi="Times New Roman"/>
        </w:rPr>
        <w:instrText>ADDIN CSL_CITATION {"citationItems":[{"id":"ITEM-1","itemData":{"author":[{"dropping-particle":"","family":"Direktorat Jenderal Perhubungan Laut","given":"","non-dropping-particle":"","parse-names":false,"suffix":""}],"id":"ITEM-1","issued":{"date-parts":[["2024"]]},"number-of-pages":"1-23","title":"Laporan Kinerja Instansi Pemerintah Tahun 2024","type":"report"},"uris":["http://www.mendeley.com/documents/?uuid=2c38e65d-cb28-4696-b381-7d1ea02a94b9"]}],"mendeley":{"formattedCitation":"[5]","plainTextFormattedCitation":"[5]","previouslyFormattedCitation":"[5]"},"properties":{"noteIndex":0},"schema":"https://github.com/citation-style-language/schema/raw/master/csl-citation.json"}</w:instrText>
      </w:r>
      <w:r w:rsidR="00717390">
        <w:rPr>
          <w:rFonts w:ascii="Times New Roman" w:eastAsia="Times New Roman" w:hAnsi="Times New Roman"/>
        </w:rPr>
        <w:fldChar w:fldCharType="separate"/>
      </w:r>
      <w:r w:rsidR="00717390" w:rsidRPr="00717390">
        <w:rPr>
          <w:rFonts w:ascii="Times New Roman" w:eastAsia="Times New Roman" w:hAnsi="Times New Roman"/>
          <w:noProof/>
        </w:rPr>
        <w:t>[5]</w:t>
      </w:r>
      <w:r w:rsidR="00717390">
        <w:rPr>
          <w:rFonts w:ascii="Times New Roman" w:eastAsia="Times New Roman" w:hAnsi="Times New Roman"/>
        </w:rPr>
        <w:fldChar w:fldCharType="end"/>
      </w:r>
      <w:r w:rsidRPr="00AC1881">
        <w:rPr>
          <w:rFonts w:ascii="Times New Roman" w:eastAsia="Times New Roman" w:hAnsi="Times New Roman"/>
        </w:rPr>
        <w:t xml:space="preserve">. Interviews with officials from the Ministry of Environment and Forestry (KLHK) in 2023 revealed that 65% of major ports lack adequate waste processing facilities </w:t>
      </w:r>
      <w:r w:rsidR="00717390">
        <w:rPr>
          <w:rFonts w:ascii="Times New Roman" w:eastAsia="Times New Roman" w:hAnsi="Times New Roman"/>
        </w:rPr>
        <w:fldChar w:fldCharType="begin" w:fldLock="1"/>
      </w:r>
      <w:r w:rsidR="00C25971">
        <w:rPr>
          <w:rFonts w:ascii="Times New Roman" w:eastAsia="Times New Roman" w:hAnsi="Times New Roman"/>
        </w:rPr>
        <w:instrText>ADDIN CSL_CITATION {"citationItems":[{"id":"ITEM-1","itemData":{"author":[{"dropping-particle":"","family":"Nopiah","given":"Ririn","non-dropping-particle":"","parse-names":false,"suffix":""},{"dropping-particle":"","family":"Ekaputri","given":"Retno Agustina","non-dropping-particle":"","parse-names":false,"suffix":""},{"dropping-particle":"","family":"Andy","given":"Bayu","non-dropping-particle":"","parse-names":false,"suffix":""}],"id":"ITEM-1","issue":"02","issued":{"date-parts":[["2024"]]},"title":"Connectivity Infrastructure Spending and Its Indicator Achievement : Case Study of Southern Sumatra Region","type":"article-journal","volume":"02"},"uris":["http://www.mendeley.com/documents/?uuid=b3ffe179-be7e-4eb9-a7d0-03fa5fefb281"]}],"mendeley":{"formattedCitation":"[6]","plainTextFormattedCitation":"[6]","previouslyFormattedCitation":"[6]"},"properties":{"noteIndex":0},"schema":"https://github.com/citation-style-language/schema/raw/master/csl-citation.json"}</w:instrText>
      </w:r>
      <w:r w:rsidR="00717390">
        <w:rPr>
          <w:rFonts w:ascii="Times New Roman" w:eastAsia="Times New Roman" w:hAnsi="Times New Roman"/>
        </w:rPr>
        <w:fldChar w:fldCharType="separate"/>
      </w:r>
      <w:r w:rsidR="00717390" w:rsidRPr="00717390">
        <w:rPr>
          <w:rFonts w:ascii="Times New Roman" w:eastAsia="Times New Roman" w:hAnsi="Times New Roman"/>
          <w:noProof/>
        </w:rPr>
        <w:t>[6]</w:t>
      </w:r>
      <w:r w:rsidR="00717390">
        <w:rPr>
          <w:rFonts w:ascii="Times New Roman" w:eastAsia="Times New Roman" w:hAnsi="Times New Roman"/>
        </w:rPr>
        <w:fldChar w:fldCharType="end"/>
      </w:r>
      <w:r w:rsidRPr="00AC1881">
        <w:rPr>
          <w:rFonts w:ascii="Times New Roman" w:eastAsia="Times New Roman" w:hAnsi="Times New Roman"/>
        </w:rPr>
        <w:t xml:space="preserve">. A study by </w:t>
      </w:r>
      <w:bookmarkStart w:id="2" w:name="_Hlk200191304"/>
      <w:r w:rsidR="00C25971">
        <w:rPr>
          <w:rFonts w:ascii="Times New Roman" w:eastAsia="Times New Roman" w:hAnsi="Times New Roman"/>
        </w:rPr>
        <w:t xml:space="preserve">Susanti </w:t>
      </w:r>
      <w:r w:rsidRPr="00AC1881">
        <w:rPr>
          <w:rFonts w:ascii="Times New Roman" w:eastAsia="Times New Roman" w:hAnsi="Times New Roman"/>
        </w:rPr>
        <w:t xml:space="preserve">et al. (2023) </w:t>
      </w:r>
      <w:bookmarkEnd w:id="2"/>
      <w:r w:rsidRPr="00AC1881">
        <w:rPr>
          <w:rFonts w:ascii="Times New Roman" w:eastAsia="Times New Roman" w:hAnsi="Times New Roman"/>
        </w:rPr>
        <w:t xml:space="preserve">on 100 Indonesian-flagged vessels found that only 30% complied with MARPOL Annex V’s waste </w:t>
      </w:r>
      <w:r w:rsidRPr="00AC1881">
        <w:rPr>
          <w:rFonts w:ascii="Times New Roman" w:eastAsia="Times New Roman" w:hAnsi="Times New Roman"/>
        </w:rPr>
        <w:t>segregation standard</w:t>
      </w:r>
      <w:r w:rsidR="00C25971">
        <w:rPr>
          <w:rFonts w:ascii="Times New Roman" w:eastAsia="Times New Roman" w:hAnsi="Times New Roman"/>
        </w:rPr>
        <w:t xml:space="preserve">s </w:t>
      </w:r>
      <w:r w:rsidR="00C25971">
        <w:rPr>
          <w:rFonts w:ascii="Times New Roman" w:eastAsia="Times New Roman" w:hAnsi="Times New Roman"/>
        </w:rPr>
        <w:fldChar w:fldCharType="begin" w:fldLock="1"/>
      </w:r>
      <w:r w:rsidR="000C593E">
        <w:rPr>
          <w:rFonts w:ascii="Times New Roman" w:eastAsia="Times New Roman" w:hAnsi="Times New Roman"/>
        </w:rPr>
        <w:instrText>ADDIN CSL_CITATION {"citationItems":[{"id":"ITEM-1","itemData":{"author":[{"dropping-particle":"","family":"Susianti","given":"Kadek Sinta","non-dropping-particle":"","parse-names":false,"suffix":""},{"dropping-particle":"","family":"Wahyuni","given":"Anak Agung Istri Sri","non-dropping-particle":"","parse-names":false,"suffix":""},{"dropping-particle":"","family":"Nofandi","given":"Faris","non-dropping-particle":"","parse-names":false,"suffix":""}],"container-title":"Ship Operation Engineering Proceeding","id":"ITEM-1","issue":"September","issued":{"date-parts":[["2023"]]},"page":"326-331","title":"ANALISIS PENGOLAHAN SAMPAH DI KAPAL KMP. VIRGO 18 GUNA MENCEGAH PENCEMARAN LAUT SESUAI MARPOL 73/78 ANNEX V","type":"article-journal","volume":"1"},"uris":["http://www.mendeley.com/documents/?uuid=1167c0f8-c29c-4e75-bcce-4e87b47e5a88"]}],"mendeley":{"formattedCitation":"[7]","plainTextFormattedCitation":"[7]","previouslyFormattedCitation":"[7]"},"properties":{"noteIndex":0},"schema":"https://github.com/citation-style-language/schema/raw/master/csl-citation.json"}</w:instrText>
      </w:r>
      <w:r w:rsidR="00C25971">
        <w:rPr>
          <w:rFonts w:ascii="Times New Roman" w:eastAsia="Times New Roman" w:hAnsi="Times New Roman"/>
        </w:rPr>
        <w:fldChar w:fldCharType="separate"/>
      </w:r>
      <w:r w:rsidR="00C25971" w:rsidRPr="00C25971">
        <w:rPr>
          <w:rFonts w:ascii="Times New Roman" w:eastAsia="Times New Roman" w:hAnsi="Times New Roman"/>
          <w:noProof/>
        </w:rPr>
        <w:t>[7]</w:t>
      </w:r>
      <w:r w:rsidR="00C25971">
        <w:rPr>
          <w:rFonts w:ascii="Times New Roman" w:eastAsia="Times New Roman" w:hAnsi="Times New Roman"/>
        </w:rPr>
        <w:fldChar w:fldCharType="end"/>
      </w:r>
      <w:r w:rsidRPr="00AC1881">
        <w:rPr>
          <w:rFonts w:ascii="Times New Roman" w:eastAsia="Times New Roman" w:hAnsi="Times New Roman"/>
        </w:rPr>
        <w:t xml:space="preserve">. This issue is exacerbated by overlapping authorities among five maritime enforcement bodies: the Indonesian Navy, Water Police Directorate (Polri), Ministry of Transportation (DGST), Ministry of Marine Affairs and Fisheries (DGCF), and the Maritime Security Agency (Bakamla) </w:t>
      </w:r>
      <w:r w:rsidR="000C593E">
        <w:rPr>
          <w:rFonts w:ascii="Times New Roman" w:eastAsia="Times New Roman" w:hAnsi="Times New Roman"/>
        </w:rPr>
        <w:fldChar w:fldCharType="begin" w:fldLock="1"/>
      </w:r>
      <w:r w:rsidR="00FF4CD3">
        <w:rPr>
          <w:rFonts w:ascii="Times New Roman" w:eastAsia="Times New Roman" w:hAnsi="Times New Roman"/>
        </w:rPr>
        <w:instrText>ADDIN CSL_CITATION {"citationItems":[{"id":"ITEM-1","itemData":{"DOI":"10.59683/ijls.v1i1.5","ISSN":"2827-9050","abstract":"The increasing demand for and investment in energy production from offshore oil and gas sources in Southeast Asian countries, including Indonesia, has increased the risk of offshore oil spills. This study aimed to describe offshore oil spill response to achieve maritime security in Indonesia. This research is qualitative with findings without going through statistical testing and collecting data sources through library research. Data were analyzed through data condensation, data display, and conclusion drawing and verifying. Environmental, maritime security, mainly from pollution, is classified as the closest part to the marine safety dimension, which aims to protect the marine environment and the blue economy-related to aquatic resources. Oil spills can cause substantial economic losses and endanger ecological systems and community health. The shortcomings in handling the 2009 Montara case showed that offshore oil spill response to achieve maritime security in Indonesia is not optimal.","author":[{"dropping-particle":"","family":"Bulandari","given":"Desty","non-dropping-particle":"","parse-names":false,"suffix":""},{"dropping-particle":"","family":"Widodo","given":"","non-dropping-particle":"","parse-names":false,"suffix":""},{"dropping-particle":"","family":"Yulianto","given":"Bayu Asih","non-dropping-particle":"","parse-names":false,"suffix":""}],"container-title":"International Journal of Law and Society (IJLS)","id":"ITEM-1","issue":"1","issued":{"date-parts":[["2022"]]},"page":"25-35","title":"Tackling Offshore Oil Spills to Achieve Maritime Security in Indonesia","type":"article-journal","volume":"1"},"uris":["http://www.mendeley.com/documents/?uuid=e0d6aecf-1069-4226-a87a-203dc46cd0a5"]}],"mendeley":{"formattedCitation":"[8]","plainTextFormattedCitation":"[8]","previouslyFormattedCitation":"[8]"},"properties":{"noteIndex":0},"schema":"https://github.com/citation-style-language/schema/raw/master/csl-citation.json"}</w:instrText>
      </w:r>
      <w:r w:rsidR="000C593E">
        <w:rPr>
          <w:rFonts w:ascii="Times New Roman" w:eastAsia="Times New Roman" w:hAnsi="Times New Roman"/>
        </w:rPr>
        <w:fldChar w:fldCharType="separate"/>
      </w:r>
      <w:r w:rsidR="000C593E" w:rsidRPr="000C593E">
        <w:rPr>
          <w:rFonts w:ascii="Times New Roman" w:eastAsia="Times New Roman" w:hAnsi="Times New Roman"/>
          <w:noProof/>
        </w:rPr>
        <w:t>[8]</w:t>
      </w:r>
      <w:r w:rsidR="000C593E">
        <w:rPr>
          <w:rFonts w:ascii="Times New Roman" w:eastAsia="Times New Roman" w:hAnsi="Times New Roman"/>
        </w:rPr>
        <w:fldChar w:fldCharType="end"/>
      </w:r>
      <w:r w:rsidRPr="00AC1881">
        <w:rPr>
          <w:rFonts w:ascii="Times New Roman" w:eastAsia="Times New Roman" w:hAnsi="Times New Roman"/>
        </w:rPr>
        <w:t>.</w:t>
      </w:r>
    </w:p>
    <w:p w14:paraId="4E8E969E" w14:textId="7E9F23E0" w:rsidR="00AC1881" w:rsidRPr="00AC1881" w:rsidRDefault="00AC1881" w:rsidP="00AC1881">
      <w:pPr>
        <w:spacing w:after="0" w:line="240" w:lineRule="auto"/>
        <w:ind w:left="0" w:hanging="2"/>
        <w:jc w:val="both"/>
        <w:rPr>
          <w:rFonts w:ascii="Times New Roman" w:eastAsia="Times New Roman" w:hAnsi="Times New Roman"/>
        </w:rPr>
      </w:pPr>
      <w:r w:rsidRPr="00AC1881">
        <w:rPr>
          <w:rFonts w:ascii="Times New Roman" w:eastAsia="Times New Roman" w:hAnsi="Times New Roman"/>
        </w:rPr>
        <w:t xml:space="preserve">Previous studies tend to address isolated aspects such as port performance </w:t>
      </w:r>
      <w:r w:rsidR="00FF4CD3">
        <w:rPr>
          <w:rFonts w:ascii="Times New Roman" w:eastAsia="Times New Roman" w:hAnsi="Times New Roman"/>
        </w:rPr>
        <w:t xml:space="preserve">Susanti </w:t>
      </w:r>
      <w:r w:rsidR="00FF4CD3" w:rsidRPr="00AC1881">
        <w:rPr>
          <w:rFonts w:ascii="Times New Roman" w:eastAsia="Times New Roman" w:hAnsi="Times New Roman"/>
        </w:rPr>
        <w:t xml:space="preserve">et al. (2023) </w:t>
      </w:r>
      <w:r w:rsidRPr="00AC1881">
        <w:rPr>
          <w:rFonts w:ascii="Times New Roman" w:eastAsia="Times New Roman" w:hAnsi="Times New Roman"/>
        </w:rPr>
        <w:t xml:space="preserve">or vessel compliance </w:t>
      </w:r>
      <w:r w:rsidR="00FF4CD3">
        <w:rPr>
          <w:rFonts w:ascii="Times New Roman" w:eastAsia="Times New Roman" w:hAnsi="Times New Roman"/>
        </w:rPr>
        <w:t xml:space="preserve">Bulandari </w:t>
      </w:r>
      <w:r w:rsidR="00FF4CD3" w:rsidRPr="00AC1881">
        <w:rPr>
          <w:rFonts w:ascii="Times New Roman" w:eastAsia="Times New Roman" w:hAnsi="Times New Roman"/>
        </w:rPr>
        <w:t>et al. (202</w:t>
      </w:r>
      <w:r w:rsidR="00FF4CD3">
        <w:rPr>
          <w:rFonts w:ascii="Times New Roman" w:eastAsia="Times New Roman" w:hAnsi="Times New Roman"/>
        </w:rPr>
        <w:t>2</w:t>
      </w:r>
      <w:r w:rsidR="00FF4CD3" w:rsidRPr="00AC1881">
        <w:rPr>
          <w:rFonts w:ascii="Times New Roman" w:eastAsia="Times New Roman" w:hAnsi="Times New Roman"/>
        </w:rPr>
        <w:t xml:space="preserve">) </w:t>
      </w:r>
      <w:r w:rsidRPr="00AC1881">
        <w:rPr>
          <w:rFonts w:ascii="Times New Roman" w:eastAsia="Times New Roman" w:hAnsi="Times New Roman"/>
        </w:rPr>
        <w:t>without a comprehensive analysis of the triadic interaction between national regulatory frameworks, institutional capacity, and stakeholder engagement. Comparative studies, including Singapore’s Maritime Green Initiative, highlight that successful MARPOL Annex V compliance (95% in Singapore, MPA 2022) hinges on the integration of these three elements. This analytical gap is the primary focus of the present study</w:t>
      </w:r>
      <w:r w:rsidR="00141B89">
        <w:rPr>
          <w:rFonts w:ascii="Times New Roman" w:eastAsia="Times New Roman" w:hAnsi="Times New Roman"/>
        </w:rPr>
        <w:t xml:space="preserve"> </w:t>
      </w:r>
      <w:r w:rsidR="00141B89">
        <w:rPr>
          <w:rFonts w:ascii="Times New Roman" w:eastAsia="Times New Roman" w:hAnsi="Times New Roman"/>
        </w:rPr>
        <w:fldChar w:fldCharType="begin" w:fldLock="1"/>
      </w:r>
      <w:r w:rsidR="0067503D">
        <w:rPr>
          <w:rFonts w:ascii="Times New Roman" w:eastAsia="Times New Roman" w:hAnsi="Times New Roman"/>
        </w:rPr>
        <w:instrText>ADDIN CSL_CITATION {"citationItems":[{"id":"ITEM-1","itemData":{"author":[{"dropping-particle":"","family":"Nurmala","given":"Eka","non-dropping-particle":"","parse-names":false,"suffix":""},{"dropping-particle":"","family":"Sulastriani","given":"R","non-dropping-particle":"","parse-names":false,"suffix":""},{"dropping-particle":"","family":"Mahyuzar","given":"Ardiansyah","non-dropping-particle":"","parse-names":false,"suffix":""}],"id":"ITEM-1","issue":"2","issued":{"date-parts":[["2024"]]},"page":"24-32","title":"Penerapan Garbage Management Plan sesuai Marpol Annex V di SV . Patrona 118 Implementation of the Garbage Management Plan by MARPOL Annex V on the SV . Patrona 118","type":"article-journal","volume":"1"},"uris":["http://www.mendeley.com/documents/?uuid=df8007e9-fe65-4174-b99d-1297424dba1b"]},{"id":"ITEM-2","itemData":{"author":[{"dropping-particle":"","family":"Nopiah","given":"Ririn","non-dropping-particle":"","parse-names":false,"suffix":""},{"dropping-particle":"","family":"Ekaputri","given":"Retno Agustina","non-dropping-particle":"","parse-names":false,"suffix":""},{"dropping-particle":"","family":"Andy","given":"Bayu","non-dropping-particle":"","parse-names":false,"suffix":""}],"id":"ITEM-2","issue":"02","issued":{"date-parts":[["2024"]]},"title":"Connectivity Infrastructure Spending and Its Indicator Achievement : Case Study of Southern Sumatra Region","type":"article-journal","volume":"02"},"uris":["http://www.mendeley.com/documents/?uuid=b3ffe179-be7e-4eb9-a7d0-03fa5fefb281"]}],"mendeley":{"formattedCitation":"[6], [9]","plainTextFormattedCitation":"[6], [9]","previouslyFormattedCitation":"[6], [9]"},"properties":{"noteIndex":0},"schema":"https://github.com/citation-style-language/schema/raw/master/csl-citation.json"}</w:instrText>
      </w:r>
      <w:r w:rsidR="00141B89">
        <w:rPr>
          <w:rFonts w:ascii="Times New Roman" w:eastAsia="Times New Roman" w:hAnsi="Times New Roman"/>
        </w:rPr>
        <w:fldChar w:fldCharType="separate"/>
      </w:r>
      <w:r w:rsidR="00141B89" w:rsidRPr="00141B89">
        <w:rPr>
          <w:rFonts w:ascii="Times New Roman" w:eastAsia="Times New Roman" w:hAnsi="Times New Roman"/>
          <w:noProof/>
        </w:rPr>
        <w:t>[6], [9]</w:t>
      </w:r>
      <w:r w:rsidR="00141B89">
        <w:rPr>
          <w:rFonts w:ascii="Times New Roman" w:eastAsia="Times New Roman" w:hAnsi="Times New Roman"/>
        </w:rPr>
        <w:fldChar w:fldCharType="end"/>
      </w:r>
      <w:r w:rsidRPr="00AC1881">
        <w:rPr>
          <w:rFonts w:ascii="Times New Roman" w:eastAsia="Times New Roman" w:hAnsi="Times New Roman"/>
        </w:rPr>
        <w:t>.</w:t>
      </w:r>
    </w:p>
    <w:p w14:paraId="434FC1B7" w14:textId="3B6CDEEB" w:rsidR="00AC1881" w:rsidRPr="00AC1881" w:rsidRDefault="00AC1881" w:rsidP="00AC1881">
      <w:pPr>
        <w:spacing w:after="0" w:line="240" w:lineRule="auto"/>
        <w:ind w:left="0" w:hanging="2"/>
        <w:jc w:val="both"/>
        <w:rPr>
          <w:rFonts w:ascii="Times New Roman" w:eastAsia="Times New Roman" w:hAnsi="Times New Roman"/>
        </w:rPr>
      </w:pPr>
      <w:r w:rsidRPr="00AC1881">
        <w:rPr>
          <w:rFonts w:ascii="Times New Roman" w:eastAsia="Times New Roman" w:hAnsi="Times New Roman"/>
        </w:rPr>
        <w:t>This research seeks to offer both academic and practical contributions by analyzing implementation gaps in MARPOL Annex V through a mixed-methods approach—combining document audits, vessel surveys, and stakeholder interviews. It employs the Institutional Analysis and Development (IAD) framework to evaluate technical, regulatory, and institutional barriers, and proposes an integrated, evidence-based policy model contextualized to Indonesia by adapting best practices from Malaysia and Singapore</w:t>
      </w:r>
      <w:r w:rsidR="0067503D">
        <w:rPr>
          <w:rFonts w:ascii="Times New Roman" w:eastAsia="Times New Roman" w:hAnsi="Times New Roman"/>
        </w:rPr>
        <w:t xml:space="preserve"> </w:t>
      </w:r>
      <w:r w:rsidR="0067503D">
        <w:rPr>
          <w:rFonts w:ascii="Times New Roman" w:eastAsia="Times New Roman" w:hAnsi="Times New Roman"/>
        </w:rPr>
        <w:fldChar w:fldCharType="begin" w:fldLock="1"/>
      </w:r>
      <w:r w:rsidR="0067503D">
        <w:rPr>
          <w:rFonts w:ascii="Times New Roman" w:eastAsia="Times New Roman" w:hAnsi="Times New Roman"/>
        </w:rPr>
        <w:instrText>ADDIN CSL_CITATION {"citationItems":[{"id":"ITEM-1","itemData":{"DOI":"10.1016/j.marpolbul.2023.114929","ISSN":"18793363","PMID":"37075560","abstract":"To mitigate marine debris and promote sustainable marine industries, legislation and regulations surrounding the management of marine debris have been adopted worldwide. One of the most well-known and important agreements is the International Convention for the Prevention of Pollution from Ships (MARPOL), which focuses on reducing all types of ship-sourced marine pollution. MARPOL Annex V, which deals with the disposal of solid waste, came into force on 31 December 1988. However, was only amended to include a complete ban on waste disposal as of 1 January 2013. Assessing the effectiveness of key regulations is fundamental for supporting evidence-based decisions regarding the management of our oceans. Here, we evaluated whether MARPOL Annex V translated into a decrease in the incidence of shipping- and commercial fishing-sourced debris on remote beaches in Australia using 14 years of standardised, community-driven data. From 2006 to 2020 there was a significant change over time in the density of fishing and shipping debris on Australian beaches; debris density increased up to 2013 followed by a decrease until mid-2017. Although the new regulation started in January 2013, the decrease in density was not recorded until one year later. The decline was only observed for 4 years, reinforcing the existence of lags between the implementation of international agreements and the corresponding potential reduction in debris in the environment. This provides compelling evidence that international agreements and policies by themselves are not enough to solve the debris problem, with improved implementation and enforcement also required. We discuss future perspectives and solutions to reduce ocean-sourced litter inputs into the ocean and highlight the urgent need for action.","author":[{"dropping-particle":"","family":"Serra-Gonçalves","given":"Catarina","non-dropping-particle":"","parse-names":false,"suffix":""},{"dropping-particle":"","family":"Lavers","given":"Jennifer L.","non-dropping-particle":"","parse-names":false,"suffix":""},{"dropping-particle":"","family":"Tait","given":"Heidi L.","non-dropping-particle":"","parse-names":false,"suffix":""},{"dropping-particle":"","family":"Fischer","given":"Andrew M.","non-dropping-particle":"","parse-names":false,"suffix":""},{"dropping-particle":"","family":"Bond","given":"Alexander L.","non-dropping-particle":"","parse-names":false,"suffix":""}],"container-title":"Marine Pollution Bulletin","id":"ITEM-1","issue":"November 2022","issued":{"date-parts":[["2023"]]},"page":"114929","publisher":"Elsevier Ltd","title":"Assessing the effectiveness of MARPOL Annex V at reducing marine debris on Australian beaches","type":"article-journal","volume":"191"},"uris":["http://www.mendeley.com/documents/?uuid=f48ca767-d6c6-4930-9222-caf9616191e8"]}],"mendeley":{"formattedCitation":"[10]","plainTextFormattedCitation":"[10]","previouslyFormattedCitation":"[10]"},"properties":{"noteIndex":0},"schema":"https://github.com/citation-style-language/schema/raw/master/csl-citation.json"}</w:instrText>
      </w:r>
      <w:r w:rsidR="0067503D">
        <w:rPr>
          <w:rFonts w:ascii="Times New Roman" w:eastAsia="Times New Roman" w:hAnsi="Times New Roman"/>
        </w:rPr>
        <w:fldChar w:fldCharType="separate"/>
      </w:r>
      <w:r w:rsidR="0067503D" w:rsidRPr="0067503D">
        <w:rPr>
          <w:rFonts w:ascii="Times New Roman" w:eastAsia="Times New Roman" w:hAnsi="Times New Roman"/>
          <w:noProof/>
        </w:rPr>
        <w:t>[10]</w:t>
      </w:r>
      <w:r w:rsidR="0067503D">
        <w:rPr>
          <w:rFonts w:ascii="Times New Roman" w:eastAsia="Times New Roman" w:hAnsi="Times New Roman"/>
        </w:rPr>
        <w:fldChar w:fldCharType="end"/>
      </w:r>
      <w:r w:rsidRPr="00AC1881">
        <w:rPr>
          <w:rFonts w:ascii="Times New Roman" w:eastAsia="Times New Roman" w:hAnsi="Times New Roman"/>
        </w:rPr>
        <w:t>. These findings are expected to contribute not only to the academic field of sustainable maritime governance but also to generate an actionable policy brief for decision-makers.</w:t>
      </w:r>
    </w:p>
    <w:p w14:paraId="4E757DB4" w14:textId="77777777" w:rsidR="00362367" w:rsidRPr="00AC1881" w:rsidRDefault="00362367">
      <w:pPr>
        <w:spacing w:after="0" w:line="240" w:lineRule="auto"/>
        <w:ind w:left="0" w:hanging="2"/>
        <w:jc w:val="both"/>
        <w:rPr>
          <w:rFonts w:ascii="Times New Roman" w:eastAsia="Times New Roman" w:hAnsi="Times New Roman"/>
          <w:lang w:val="en-US"/>
        </w:rPr>
      </w:pPr>
    </w:p>
    <w:p w14:paraId="0C6446F3" w14:textId="5D9A0347" w:rsidR="00362367" w:rsidRDefault="00000000">
      <w:pPr>
        <w:pStyle w:val="Heading1"/>
        <w:ind w:left="0" w:hanging="2"/>
      </w:pPr>
      <w:r>
        <w:t xml:space="preserve">METHOD </w:t>
      </w:r>
    </w:p>
    <w:p w14:paraId="72BCB8A5" w14:textId="138482C9" w:rsidR="009050F6" w:rsidRPr="009050F6" w:rsidRDefault="009050F6" w:rsidP="009050F6">
      <w:pPr>
        <w:spacing w:after="0" w:line="240" w:lineRule="auto"/>
        <w:ind w:left="0" w:hanging="2"/>
        <w:jc w:val="both"/>
        <w:rPr>
          <w:rFonts w:ascii="Times New Roman" w:eastAsia="Times New Roman" w:hAnsi="Times New Roman"/>
        </w:rPr>
      </w:pPr>
      <w:r w:rsidRPr="009050F6">
        <w:rPr>
          <w:rFonts w:ascii="Times New Roman" w:eastAsia="Times New Roman" w:hAnsi="Times New Roman"/>
        </w:rPr>
        <w:t>This study employs a qualitative research approach that integrates literature review and case study analysis to examine the implementation challenges of MARPOL Annex V in Indonesia. The literature review was conducted to identify existing regulatory frameworks, best practices, and previous scholarly findings related to ship-generated waste management and international ma</w:t>
      </w:r>
      <w:r w:rsidRPr="009050F6">
        <w:rPr>
          <w:rFonts w:ascii="Times New Roman" w:eastAsia="Times New Roman" w:hAnsi="Times New Roman"/>
        </w:rPr>
        <w:lastRenderedPageBreak/>
        <w:t>rine pollution prevention standards. Peer-reviewed journal articles, official IMO publications, and national government reports were systematically reviewed to construct a theoretical foundation.</w:t>
      </w:r>
    </w:p>
    <w:p w14:paraId="4D048AA7" w14:textId="77777777" w:rsidR="009050F6" w:rsidRPr="009050F6" w:rsidRDefault="009050F6" w:rsidP="009050F6">
      <w:pPr>
        <w:spacing w:after="0" w:line="240" w:lineRule="auto"/>
        <w:ind w:left="0" w:hanging="2"/>
        <w:jc w:val="both"/>
        <w:rPr>
          <w:rFonts w:ascii="Times New Roman" w:eastAsia="Times New Roman" w:hAnsi="Times New Roman"/>
        </w:rPr>
      </w:pPr>
    </w:p>
    <w:p w14:paraId="23724DC0" w14:textId="4247F41F" w:rsidR="00362367" w:rsidRDefault="009050F6" w:rsidP="009050F6">
      <w:pPr>
        <w:spacing w:after="0" w:line="240" w:lineRule="auto"/>
        <w:ind w:left="0" w:hanging="2"/>
        <w:jc w:val="both"/>
        <w:rPr>
          <w:rFonts w:ascii="Times New Roman" w:eastAsia="Times New Roman" w:hAnsi="Times New Roman"/>
        </w:rPr>
      </w:pPr>
      <w:r w:rsidRPr="009050F6">
        <w:rPr>
          <w:rFonts w:ascii="Times New Roman" w:eastAsia="Times New Roman" w:hAnsi="Times New Roman"/>
        </w:rPr>
        <w:t>Complementing the literature review, the study also adopts a case study approach to analyze real-world instances of MARPOL Annex V implementation in Indonesia. Case data were drawn from documented enforcement actions, port facility audits, and vessel compliance records between 2020 and 2023. This dual-method strategy enables a comprehensive understanding of both policy frameworks and practical enforcement challenges. The triangulation of literature and case data enhances the validity and contextual relevance of the findings, offering insights that are both evidence-based and grounded in field realities.</w:t>
      </w:r>
    </w:p>
    <w:p w14:paraId="60EE3F09" w14:textId="77777777" w:rsidR="009050F6" w:rsidRPr="009050F6" w:rsidRDefault="009050F6" w:rsidP="009050F6">
      <w:pPr>
        <w:spacing w:after="0" w:line="240" w:lineRule="auto"/>
        <w:ind w:left="0" w:hanging="2"/>
        <w:rPr>
          <w:rFonts w:ascii="Times New Roman" w:eastAsia="Times New Roman" w:hAnsi="Times New Roman"/>
          <w:b/>
          <w:lang w:val="en-US"/>
        </w:rPr>
      </w:pPr>
    </w:p>
    <w:p w14:paraId="731D85A1" w14:textId="0930C8BB" w:rsidR="00362367" w:rsidRDefault="00000000">
      <w:pPr>
        <w:pStyle w:val="Heading1"/>
        <w:ind w:left="0" w:hanging="2"/>
      </w:pPr>
      <w:r>
        <w:t xml:space="preserve">RESULTS AND DISCUSSION  </w:t>
      </w:r>
    </w:p>
    <w:p w14:paraId="5CE5E56D" w14:textId="4D229C50" w:rsidR="003C7FC9" w:rsidRDefault="00AC1881" w:rsidP="003C7FC9">
      <w:pPr>
        <w:spacing w:after="0" w:line="240" w:lineRule="auto"/>
        <w:ind w:left="0" w:hanging="2"/>
        <w:jc w:val="both"/>
        <w:rPr>
          <w:rFonts w:ascii="Times New Roman" w:eastAsia="Times New Roman" w:hAnsi="Times New Roman"/>
        </w:rPr>
      </w:pPr>
      <w:r w:rsidRPr="00AC1881">
        <w:rPr>
          <w:rFonts w:ascii="Times New Roman" w:eastAsia="Times New Roman" w:hAnsi="Times New Roman"/>
        </w:rPr>
        <w:t xml:space="preserve">The scope of pollution regulated under MARPOL extends beyond oil spills and includes hazardous liquid and solid substances, domestic waste, food residues, plastic debris, and ship engine exhaust emissions </w:t>
      </w:r>
      <w:r w:rsidR="0067503D">
        <w:rPr>
          <w:rFonts w:ascii="Times New Roman" w:eastAsia="Times New Roman" w:hAnsi="Times New Roman"/>
        </w:rPr>
        <w:fldChar w:fldCharType="begin" w:fldLock="1"/>
      </w:r>
      <w:r w:rsidR="00FD585C">
        <w:rPr>
          <w:rFonts w:ascii="Times New Roman" w:eastAsia="Times New Roman" w:hAnsi="Times New Roman"/>
        </w:rPr>
        <w:instrText>ADDIN CSL_CITATION {"citationItems":[{"id":"ITEM-1","itemData":{"author":[{"dropping-particle":"","family":"Hoque","given":"Sazedul","non-dropping-particle":"","parse-names":false,"suffix":""},{"dropping-particle":"","family":"Andrioti","given":"Despena","non-dropping-particle":"","parse-names":false,"suffix":""},{"dropping-particle":"","family":"Pike","given":"Kate","non-dropping-particle":"","parse-names":false,"suffix":""},{"dropping-particle":"","family":"Hasan","given":"Mahmudul","non-dropping-particle":"","parse-names":false,"suffix":""}],"id":"ITEM-1","issue":"January","issued":{"date-parts":[["2020"]]},"title":"Knowledge, Practice, And Economic Impacts Of COVID-19 On Small-Scale Coastal Fishing Communities In Bangladesh: Policy Recommendations For Improved Livelihoods","type":"article-journal"},"uris":["http://www.mendeley.com/documents/?uuid=c4875da7-1782-4d04-8060-2c1f2cc79139"]}],"mendeley":{"formattedCitation":"[11]","plainTextFormattedCitation":"[11]","previouslyFormattedCitation":"[11]"},"properties":{"noteIndex":0},"schema":"https://github.com/citation-style-language/schema/raw/master/csl-citation.json"}</w:instrText>
      </w:r>
      <w:r w:rsidR="0067503D">
        <w:rPr>
          <w:rFonts w:ascii="Times New Roman" w:eastAsia="Times New Roman" w:hAnsi="Times New Roman"/>
        </w:rPr>
        <w:fldChar w:fldCharType="separate"/>
      </w:r>
      <w:r w:rsidR="0067503D" w:rsidRPr="0067503D">
        <w:rPr>
          <w:rFonts w:ascii="Times New Roman" w:eastAsia="Times New Roman" w:hAnsi="Times New Roman"/>
          <w:noProof/>
        </w:rPr>
        <w:t>[11]</w:t>
      </w:r>
      <w:r w:rsidR="0067503D">
        <w:rPr>
          <w:rFonts w:ascii="Times New Roman" w:eastAsia="Times New Roman" w:hAnsi="Times New Roman"/>
        </w:rPr>
        <w:fldChar w:fldCharType="end"/>
      </w:r>
      <w:r w:rsidRPr="00AC1881">
        <w:rPr>
          <w:rFonts w:ascii="Times New Roman" w:eastAsia="Times New Roman" w:hAnsi="Times New Roman"/>
        </w:rPr>
        <w:t xml:space="preserve">. Due to the complexity of pollution sources, MARPOL is divided into several annexes, with Annex V specifically addressing the prevention of pollution by garbage from ships </w:t>
      </w:r>
      <w:r w:rsidR="0067503D">
        <w:rPr>
          <w:rFonts w:ascii="Times New Roman" w:eastAsia="Times New Roman" w:hAnsi="Times New Roman"/>
        </w:rPr>
        <w:fldChar w:fldCharType="begin" w:fldLock="1"/>
      </w:r>
      <w:r w:rsidR="0067503D">
        <w:rPr>
          <w:rFonts w:ascii="Times New Roman" w:eastAsia="Times New Roman" w:hAnsi="Times New Roman"/>
        </w:rPr>
        <w:instrText>ADDIN CSL_CITATION {"citationItems":[{"id":"ITEM-1","itemData":{"DOI":"10.46799/jsa.v4i12.941","ISSN":"2722-7782","abstract":"Plastic waste has a serious impact on the marine environment, threatening more than 800 marine species, and can affect the food chain down to humans. The aim of this research is firstly to find out, analyze and explain issues related to strategies for preventing marine pollution from ship waste. This research is normative legal research which considers research as analysis. The data analysis technique used is through data collected from legal materials with descriptions in effective, orderly and logical sentences so as to simplify the analysis of the results of the problem formulation. Results of the research Currently, MARPOL Regulation 73/78 Annex V is an important international legal instrument to prevent marine pollution by waste from ships. This regulation prohibits the dumping of waste into the sea, except under certain conditions. In the implementation and management of waste on board ships, activities ranging from waste collection to disposal, must all be carried out in accordance with the procedures regulated in Annex V MARPOL 73/78, if If waste management is not carried out according to predetermined procedures, waste dumping will occur anywhere and wherever the ship is located so that in the future waste that is thrown carelessly can cause pollution in the sea.\r  ","author":[{"dropping-particle":"","family":"Aurora","given":"Christine Astrid","non-dropping-particle":"","parse-names":false,"suffix":""},{"dropping-particle":"","family":"Harjono","given":"Dhaniswara K.","non-dropping-particle":"","parse-names":false,"suffix":""},{"dropping-particle":"","family":"Nadapdap","given":"Binoto","non-dropping-particle":"","parse-names":false,"suffix":""}],"container-title":"Jurnal Syntax Admiration","id":"ITEM-1","issue":"12","issued":{"date-parts":[["2023"]]},"page":"2444-2458","title":"Optimalisasi Peran Hukum Perusahaan Pelayaran Terhadap Pencegahan Pencemaran Laut Oleh Sampah Sesuai Marine Pollution (Marpol) 73/78 Annex-V Dari Kapal","type":"article-journal","volume":"4"},"uris":["http://www.mendeley.com/documents/?uuid=19207eef-b114-4f96-8a3d-f0608afc467f"]}],"mendeley":{"formattedCitation":"[12]","plainTextFormattedCitation":"[12]","previouslyFormattedCitation":"[12]"},"properties":{"noteIndex":0},"schema":"https://github.com/citation-style-language/schema/raw/master/csl-citation.json"}</w:instrText>
      </w:r>
      <w:r w:rsidR="0067503D">
        <w:rPr>
          <w:rFonts w:ascii="Times New Roman" w:eastAsia="Times New Roman" w:hAnsi="Times New Roman"/>
        </w:rPr>
        <w:fldChar w:fldCharType="separate"/>
      </w:r>
      <w:r w:rsidR="0067503D" w:rsidRPr="0067503D">
        <w:rPr>
          <w:rFonts w:ascii="Times New Roman" w:eastAsia="Times New Roman" w:hAnsi="Times New Roman"/>
          <w:noProof/>
        </w:rPr>
        <w:t>[12]</w:t>
      </w:r>
      <w:r w:rsidR="0067503D">
        <w:rPr>
          <w:rFonts w:ascii="Times New Roman" w:eastAsia="Times New Roman" w:hAnsi="Times New Roman"/>
        </w:rPr>
        <w:fldChar w:fldCharType="end"/>
      </w:r>
      <w:r w:rsidRPr="00AC1881">
        <w:rPr>
          <w:rFonts w:ascii="Times New Roman" w:eastAsia="Times New Roman" w:hAnsi="Times New Roman"/>
        </w:rPr>
        <w:t>.</w:t>
      </w:r>
      <w:r>
        <w:rPr>
          <w:rFonts w:ascii="Times New Roman" w:eastAsia="Times New Roman" w:hAnsi="Times New Roman"/>
        </w:rPr>
        <w:t xml:space="preserve"> </w:t>
      </w:r>
    </w:p>
    <w:p w14:paraId="3AA64D4A" w14:textId="77777777" w:rsidR="003C7FC9" w:rsidRDefault="003C7FC9" w:rsidP="003C7FC9">
      <w:pPr>
        <w:spacing w:after="0" w:line="240" w:lineRule="auto"/>
        <w:ind w:left="0" w:hanging="2"/>
        <w:jc w:val="both"/>
        <w:rPr>
          <w:rFonts w:ascii="Times New Roman" w:eastAsia="Times New Roman" w:hAnsi="Times New Roman"/>
        </w:rPr>
      </w:pPr>
    </w:p>
    <w:p w14:paraId="74D8D228" w14:textId="10D88152" w:rsidR="003C7FC9" w:rsidRPr="003C7FC9" w:rsidRDefault="003C7FC9" w:rsidP="003C7FC9">
      <w:pPr>
        <w:spacing w:after="0" w:line="240" w:lineRule="auto"/>
        <w:ind w:left="0" w:hanging="2"/>
        <w:jc w:val="both"/>
        <w:rPr>
          <w:rFonts w:ascii="Times New Roman" w:eastAsia="Times New Roman" w:hAnsi="Times New Roman"/>
          <w:b/>
          <w:bCs/>
        </w:rPr>
      </w:pPr>
      <w:r w:rsidRPr="003C7FC9">
        <w:rPr>
          <w:rFonts w:ascii="Times New Roman" w:eastAsia="Times New Roman" w:hAnsi="Times New Roman"/>
          <w:b/>
          <w:bCs/>
        </w:rPr>
        <w:t>History and Background of MARPOL</w:t>
      </w:r>
    </w:p>
    <w:p w14:paraId="3D034CC8" w14:textId="77777777" w:rsidR="003C7FC9" w:rsidRPr="003C7FC9" w:rsidRDefault="003C7FC9" w:rsidP="003C7FC9">
      <w:pPr>
        <w:spacing w:after="0" w:line="240" w:lineRule="auto"/>
        <w:ind w:left="0" w:hanging="2"/>
        <w:jc w:val="both"/>
        <w:rPr>
          <w:rFonts w:ascii="Times New Roman" w:eastAsia="Times New Roman" w:hAnsi="Times New Roman"/>
        </w:rPr>
      </w:pPr>
    </w:p>
    <w:p w14:paraId="42A55F0F" w14:textId="2146FC46" w:rsidR="003C7FC9" w:rsidRPr="003C7FC9" w:rsidRDefault="003C7FC9" w:rsidP="003C7FC9">
      <w:pPr>
        <w:spacing w:after="0" w:line="240" w:lineRule="auto"/>
        <w:ind w:left="0" w:hanging="2"/>
        <w:jc w:val="both"/>
        <w:rPr>
          <w:rFonts w:ascii="Times New Roman" w:eastAsia="Times New Roman" w:hAnsi="Times New Roman"/>
        </w:rPr>
      </w:pPr>
      <w:r w:rsidRPr="003C7FC9">
        <w:rPr>
          <w:rFonts w:ascii="Times New Roman" w:eastAsia="Times New Roman" w:hAnsi="Times New Roman"/>
        </w:rPr>
        <w:t xml:space="preserve">The inception of MARPOL is closely tied to growing global concern over worsening marine pollution due to shipping activities, particularly since the mid-20th century </w:t>
      </w:r>
      <w:r w:rsidR="0067503D">
        <w:rPr>
          <w:rFonts w:ascii="Times New Roman" w:eastAsia="Times New Roman" w:hAnsi="Times New Roman"/>
        </w:rPr>
        <w:fldChar w:fldCharType="begin" w:fldLock="1"/>
      </w:r>
      <w:r w:rsidR="0067503D">
        <w:rPr>
          <w:rFonts w:ascii="Times New Roman" w:eastAsia="Times New Roman" w:hAnsi="Times New Roman"/>
        </w:rPr>
        <w:instrText>ADDIN CSL_CITATION {"citationItems":[{"id":"ITEM-1","itemData":{"author":[{"dropping-particle":"","family":"Tanaka","given":"Yoshifumi","non-dropping-particle":"","parse-names":false,"suffix":""}],"id":"ITEM-1","issued":{"date-parts":[["2019"]]},"publisher":"Oxford University Press","publisher-place":"Oxford","title":"The International Law of the Sea","type":"book"},"uris":["http://www.mendeley.com/documents/?uuid=d5fb7a39-9c1c-40f7-8820-6f4fb9cd3500"]}],"mendeley":{"formattedCitation":"[13]","plainTextFormattedCitation":"[13]","previouslyFormattedCitation":"[13]"},"properties":{"noteIndex":0},"schema":"https://github.com/citation-style-language/schema/raw/master/csl-citation.json"}</w:instrText>
      </w:r>
      <w:r w:rsidR="0067503D">
        <w:rPr>
          <w:rFonts w:ascii="Times New Roman" w:eastAsia="Times New Roman" w:hAnsi="Times New Roman"/>
        </w:rPr>
        <w:fldChar w:fldCharType="separate"/>
      </w:r>
      <w:r w:rsidR="0067503D" w:rsidRPr="0067503D">
        <w:rPr>
          <w:rFonts w:ascii="Times New Roman" w:eastAsia="Times New Roman" w:hAnsi="Times New Roman"/>
          <w:noProof/>
        </w:rPr>
        <w:t>[13]</w:t>
      </w:r>
      <w:r w:rsidR="0067503D">
        <w:rPr>
          <w:rFonts w:ascii="Times New Roman" w:eastAsia="Times New Roman" w:hAnsi="Times New Roman"/>
        </w:rPr>
        <w:fldChar w:fldCharType="end"/>
      </w:r>
      <w:r w:rsidRPr="003C7FC9">
        <w:rPr>
          <w:rFonts w:ascii="Times New Roman" w:eastAsia="Times New Roman" w:hAnsi="Times New Roman"/>
        </w:rPr>
        <w:t>. Key drivers include oil spills from tankers (e.g., the Torrey Canyon incident in 1967), industrial waste discharge from ships, and the rise of marine plastic debris</w:t>
      </w:r>
      <w:r w:rsidR="0067503D">
        <w:rPr>
          <w:rFonts w:ascii="Times New Roman" w:eastAsia="Times New Roman" w:hAnsi="Times New Roman"/>
        </w:rPr>
        <w:t xml:space="preserve"> </w:t>
      </w:r>
      <w:r w:rsidR="0067503D">
        <w:rPr>
          <w:rFonts w:ascii="Times New Roman" w:eastAsia="Times New Roman" w:hAnsi="Times New Roman"/>
        </w:rPr>
        <w:fldChar w:fldCharType="begin" w:fldLock="1"/>
      </w:r>
      <w:r w:rsidR="0067503D">
        <w:rPr>
          <w:rFonts w:ascii="Times New Roman" w:eastAsia="Times New Roman" w:hAnsi="Times New Roman"/>
        </w:rPr>
        <w:instrText>ADDIN CSL_CITATION {"citationItems":[{"id":"ITEM-1","itemData":{"DOI":"https://doi.org/10.62454/KF520E","ISBN":"978-92-801-17431","author":[{"dropping-particle":"","family":"International Maritime Organization","given":"","non-dropping-particle":"","parse-names":false,"suffix":""}],"id":"ITEM-1","issued":{"date-parts":[["2022"]]},"number-of-pages":"423","publisher":"International Maritime Organization","title":"MARPOL Articles, Protocols, Annexes and unified interpretations of the International Convention for the Prevention of Pollution from Ships, 1973, as modified by the 1978 and 1997 Protocols","type":"book"},"uris":["http://www.mendeley.com/documents/?uuid=dab2ebf2-bb9d-478e-a8d8-741288717de7"]}],"mendeley":{"formattedCitation":"[14]","plainTextFormattedCitation":"[14]","previouslyFormattedCitation":"[14]"},"properties":{"noteIndex":0},"schema":"https://github.com/citation-style-language/schema/raw/master/csl-citation.json"}</w:instrText>
      </w:r>
      <w:r w:rsidR="0067503D">
        <w:rPr>
          <w:rFonts w:ascii="Times New Roman" w:eastAsia="Times New Roman" w:hAnsi="Times New Roman"/>
        </w:rPr>
        <w:fldChar w:fldCharType="separate"/>
      </w:r>
      <w:r w:rsidR="0067503D" w:rsidRPr="0067503D">
        <w:rPr>
          <w:rFonts w:ascii="Times New Roman" w:eastAsia="Times New Roman" w:hAnsi="Times New Roman"/>
          <w:noProof/>
        </w:rPr>
        <w:t>[14]</w:t>
      </w:r>
      <w:r w:rsidR="0067503D">
        <w:rPr>
          <w:rFonts w:ascii="Times New Roman" w:eastAsia="Times New Roman" w:hAnsi="Times New Roman"/>
        </w:rPr>
        <w:fldChar w:fldCharType="end"/>
      </w:r>
      <w:r w:rsidRPr="003C7FC9">
        <w:rPr>
          <w:rFonts w:ascii="Times New Roman" w:eastAsia="Times New Roman" w:hAnsi="Times New Roman"/>
        </w:rPr>
        <w:t>.</w:t>
      </w:r>
    </w:p>
    <w:p w14:paraId="5D3CAA73" w14:textId="77777777" w:rsidR="003C7FC9" w:rsidRPr="003C7FC9" w:rsidRDefault="003C7FC9" w:rsidP="003C7FC9">
      <w:pPr>
        <w:spacing w:after="0" w:line="240" w:lineRule="auto"/>
        <w:ind w:left="0" w:hanging="2"/>
        <w:jc w:val="both"/>
        <w:rPr>
          <w:rFonts w:ascii="Times New Roman" w:eastAsia="Times New Roman" w:hAnsi="Times New Roman"/>
        </w:rPr>
      </w:pPr>
    </w:p>
    <w:p w14:paraId="7B63DC1C" w14:textId="7C7776D8" w:rsidR="003C7FC9" w:rsidRPr="003C7FC9" w:rsidRDefault="003C7FC9" w:rsidP="003C7FC9">
      <w:pPr>
        <w:spacing w:after="0" w:line="240" w:lineRule="auto"/>
        <w:ind w:left="0" w:hanging="2"/>
        <w:jc w:val="both"/>
        <w:rPr>
          <w:rFonts w:ascii="Times New Roman" w:eastAsia="Times New Roman" w:hAnsi="Times New Roman"/>
        </w:rPr>
      </w:pPr>
      <w:r w:rsidRPr="003C7FC9">
        <w:rPr>
          <w:rFonts w:ascii="Times New Roman" w:eastAsia="Times New Roman" w:hAnsi="Times New Roman"/>
        </w:rPr>
        <w:t>The origins of MARPOL can be traced back to the 1954 Oil Pollution Convention initiated by the UK Government, which laid the groundwork for broader environmental regulation</w:t>
      </w:r>
      <w:r w:rsidR="0067503D">
        <w:rPr>
          <w:rFonts w:ascii="Times New Roman" w:eastAsia="Times New Roman" w:hAnsi="Times New Roman"/>
        </w:rPr>
        <w:t xml:space="preserve"> </w:t>
      </w:r>
      <w:r w:rsidR="0067503D">
        <w:rPr>
          <w:rFonts w:ascii="Times New Roman" w:eastAsia="Times New Roman" w:hAnsi="Times New Roman"/>
        </w:rPr>
        <w:fldChar w:fldCharType="begin" w:fldLock="1"/>
      </w:r>
      <w:r w:rsidR="0067503D">
        <w:rPr>
          <w:rFonts w:ascii="Times New Roman" w:eastAsia="Times New Roman" w:hAnsi="Times New Roman"/>
        </w:rPr>
        <w:instrText>ADDIN CSL_CITATION {"citationItems":[{"id":"ITEM-1","itemData":{"author":[{"dropping-particle":"","family":"Rees","given":"Leah","non-dropping-particle":"","parse-names":false,"suffix":""}],"id":"ITEM-1","issued":{"date-parts":[["2023"]]},"publisher":"University of Pretoria","title":"An analysis of MARPOL Regulation 43A through the principle of prevention by Leah Rees Submitted in partial fulfilment of the requirements for the degree LLM International Law In the Faculty of Law , University of Pretoria Supervisor : Dire Tladi © U n i v","type":"thesis"},"uris":["http://www.mendeley.com/documents/?uuid=c19afaae-0cf6-48f2-8f80-a08318aded21"]}],"mendeley":{"formattedCitation":"[15]","plainTextFormattedCitation":"[15]","previouslyFormattedCitation":"[15]"},"properties":{"noteIndex":0},"schema":"https://github.com/citation-style-language/schema/raw/master/csl-citation.json"}</w:instrText>
      </w:r>
      <w:r w:rsidR="0067503D">
        <w:rPr>
          <w:rFonts w:ascii="Times New Roman" w:eastAsia="Times New Roman" w:hAnsi="Times New Roman"/>
        </w:rPr>
        <w:fldChar w:fldCharType="separate"/>
      </w:r>
      <w:r w:rsidR="0067503D" w:rsidRPr="0067503D">
        <w:rPr>
          <w:rFonts w:ascii="Times New Roman" w:eastAsia="Times New Roman" w:hAnsi="Times New Roman"/>
          <w:noProof/>
        </w:rPr>
        <w:t>[15]</w:t>
      </w:r>
      <w:r w:rsidR="0067503D">
        <w:rPr>
          <w:rFonts w:ascii="Times New Roman" w:eastAsia="Times New Roman" w:hAnsi="Times New Roman"/>
        </w:rPr>
        <w:fldChar w:fldCharType="end"/>
      </w:r>
      <w:r w:rsidRPr="003C7FC9">
        <w:rPr>
          <w:rFonts w:ascii="Times New Roman" w:eastAsia="Times New Roman" w:hAnsi="Times New Roman"/>
        </w:rPr>
        <w:t xml:space="preserve">. In 1973, the IMO convened </w:t>
      </w:r>
      <w:r w:rsidRPr="003C7FC9">
        <w:rPr>
          <w:rFonts w:ascii="Times New Roman" w:eastAsia="Times New Roman" w:hAnsi="Times New Roman"/>
        </w:rPr>
        <w:t>an international conference that resulted in the MARPOL 1973 Convention. However, technical and political challenges delayed its entry into force</w:t>
      </w:r>
      <w:r w:rsidR="0067503D">
        <w:rPr>
          <w:rFonts w:ascii="Times New Roman" w:eastAsia="Times New Roman" w:hAnsi="Times New Roman"/>
        </w:rPr>
        <w:t xml:space="preserve"> </w:t>
      </w:r>
      <w:r w:rsidR="0067503D">
        <w:rPr>
          <w:rFonts w:ascii="Times New Roman" w:eastAsia="Times New Roman" w:hAnsi="Times New Roman"/>
        </w:rPr>
        <w:fldChar w:fldCharType="begin" w:fldLock="1"/>
      </w:r>
      <w:r w:rsidR="0067503D">
        <w:rPr>
          <w:rFonts w:ascii="Times New Roman" w:eastAsia="Times New Roman" w:hAnsi="Times New Roman"/>
        </w:rPr>
        <w:instrText>ADDIN CSL_CITATION {"citationItems":[{"id":"ITEM-1","itemData":{"DOI":"10.62391/ejmi.v5i2.66","ISSN":"2716-2656","abstract":"Laut merupakan suatu perairan luas yang dalam dan sifatnya penting bagi keberlangsungan umat manusia. Dalam kehidupan sehari-hari, di laut banyak dilakukan kegiatan, salah satunya adalah kegiatan pelayaran oleh kapal-kapal yang bernavigasi. Selain itu, terdapat berbagai regulasi yang mengatur kapal-kapal dalam melakukan pelayaran, salah satunya adalah Marpol 73/78 Annex V yang mengatur mengenai pencegahan pencemaran laut akibat pembuangan limbah dari sisa aktivitas pelayaran kapal. Metode yang digunakan dalam penelitian ini adalah deskriptif kualitatif dengan objek penelitiannya adalah di KMP Legundi selama 12 bulan untuk mendapatkan data secara langsung. Rute pelayaran KMP Legundi adalah rute Merak-Bakauheni dan sebaliknya. Rute yang dilalui merupakan rute paling ramai sehingga peneliti tertarik untuk melakukan observasi di kapal tersebut. Berdasarkan hasil penelitian didapatkan bahwa penerapan Marpol 73/78 Annex V di KMP Legundi masih belum terimplementasi dengan optimal, khususnya pada kapal penumpang mereka. Dalam hal ini, diperlukan sosialisasi kepada para penumpang, awak kapal maupun tim kebersihan kapal untuk selalu menjaga kebersihan kapal dan lingkungan laut dengan cara tidak membuang sampah sembarangan guna mencegah adanya pencemaran laut. Selain itu, perusahaan diharapkan dapat memberikan aturan khusus terhadap para awaknya dalam menjalankan aturan sesuai dengan Marpol 73/78 Annex V dan dapat memberikan fasilitas yang memadai sebagai fasilitas kebersihan di kapal. The sea is a vast, deep body of water, and its nature is vital for the survival of humanity. In everyday life, many activities are carried out at sea, including shipping activities by ships that navigate. Apart from that, various regulations regulate ships during shipping, one of which is Marpol 73/78 Annex V, which governs the prevention of marine pollution due to waste disposal from the remainder of ship shipping activities. The method used in this research is descriptive qualitative, with the research object being at KMP Legundi for 12 months to obtain data directly. The KMP Legundi shipping route is the Merak-Bakauheni route and vice versa. The route taken was the busiest, so researchers were interested in making observations on the ship. The research results found that implementing Marpol 73/78 Annex V at KMP Legundi still needs to be optimal, especially on their passenger ships. In this case, outreach to passengers, crew, and ship cleaning teams is required to maintain the shi…","author":[{"dropping-particle":"","family":"Nursyamsu","given":"","non-dropping-particle":"","parse-names":false,"suffix":""},{"dropping-particle":"","family":"Mansur","given":"Harri Mochamad","non-dropping-particle":"","parse-names":false,"suffix":""},{"dropping-particle":"","family":"Daeli","given":"Suratan Samuel","non-dropping-particle":"","parse-names":false,"suffix":""}],"container-title":"E-Journal Marine Inside","id":"ITEM-1","issue":"December","issued":{"date-parts":[["2023"]]},"page":"17-23","title":"Optimalisasi penerapan Marpol 73/78 Annex V pada KMP Legundi guna mencegah pencemaran laut","type":"article-journal","volume":"5"},"uris":["http://www.mendeley.com/documents/?uuid=ad8c762e-88a1-43a6-a0aa-fe6dbbc8ebd9"]}],"mendeley":{"formattedCitation":"[16]","plainTextFormattedCitation":"[16]","previouslyFormattedCitation":"[16]"},"properties":{"noteIndex":0},"schema":"https://github.com/citation-style-language/schema/raw/master/csl-citation.json"}</w:instrText>
      </w:r>
      <w:r w:rsidR="0067503D">
        <w:rPr>
          <w:rFonts w:ascii="Times New Roman" w:eastAsia="Times New Roman" w:hAnsi="Times New Roman"/>
        </w:rPr>
        <w:fldChar w:fldCharType="separate"/>
      </w:r>
      <w:r w:rsidR="0067503D" w:rsidRPr="0067503D">
        <w:rPr>
          <w:rFonts w:ascii="Times New Roman" w:eastAsia="Times New Roman" w:hAnsi="Times New Roman"/>
          <w:noProof/>
        </w:rPr>
        <w:t>[16]</w:t>
      </w:r>
      <w:r w:rsidR="0067503D">
        <w:rPr>
          <w:rFonts w:ascii="Times New Roman" w:eastAsia="Times New Roman" w:hAnsi="Times New Roman"/>
        </w:rPr>
        <w:fldChar w:fldCharType="end"/>
      </w:r>
      <w:r w:rsidRPr="003C7FC9">
        <w:rPr>
          <w:rFonts w:ascii="Times New Roman" w:eastAsia="Times New Roman" w:hAnsi="Times New Roman"/>
        </w:rPr>
        <w:t>.</w:t>
      </w:r>
    </w:p>
    <w:p w14:paraId="41001250" w14:textId="77777777" w:rsidR="003C7FC9" w:rsidRPr="003C7FC9" w:rsidRDefault="003C7FC9" w:rsidP="003C7FC9">
      <w:pPr>
        <w:spacing w:after="0" w:line="240" w:lineRule="auto"/>
        <w:ind w:left="0" w:hanging="2"/>
        <w:jc w:val="both"/>
        <w:rPr>
          <w:rFonts w:ascii="Times New Roman" w:eastAsia="Times New Roman" w:hAnsi="Times New Roman"/>
        </w:rPr>
      </w:pPr>
    </w:p>
    <w:p w14:paraId="3ACB4F85" w14:textId="48CAD884" w:rsidR="003C7FC9" w:rsidRPr="003C7FC9" w:rsidRDefault="003C7FC9" w:rsidP="003C7FC9">
      <w:pPr>
        <w:spacing w:after="0" w:line="240" w:lineRule="auto"/>
        <w:ind w:left="0" w:hanging="2"/>
        <w:jc w:val="both"/>
        <w:rPr>
          <w:rFonts w:ascii="Times New Roman" w:eastAsia="Times New Roman" w:hAnsi="Times New Roman"/>
        </w:rPr>
      </w:pPr>
      <w:r w:rsidRPr="003C7FC9">
        <w:rPr>
          <w:rFonts w:ascii="Times New Roman" w:eastAsia="Times New Roman" w:hAnsi="Times New Roman"/>
        </w:rPr>
        <w:t xml:space="preserve">To reinforce commitment, an additional protocol was adopted in 1978, leading to the consolidation of the 1973 Convention and the 1978 Protocol into the MARPOL 73/78 agreement, now the global standard for ship-source pollution prevention </w:t>
      </w:r>
      <w:r w:rsidR="0067503D">
        <w:rPr>
          <w:rFonts w:ascii="Times New Roman" w:eastAsia="Times New Roman" w:hAnsi="Times New Roman"/>
        </w:rPr>
        <w:fldChar w:fldCharType="begin" w:fldLock="1"/>
      </w:r>
      <w:r w:rsidR="0067503D">
        <w:rPr>
          <w:rFonts w:ascii="Times New Roman" w:eastAsia="Times New Roman" w:hAnsi="Times New Roman"/>
        </w:rPr>
        <w:instrText>ADDIN CSL_CITATION {"citationItems":[{"id":"ITEM-1","itemData":{"author":[{"dropping-particle":"","family":"Winarni","given":"Yulianto Ari Varanita","non-dropping-particle":"","parse-names":false,"suffix":""}],"container-title":"Jurnal Sains dan Teknologi Maritim","id":"ITEM-1","issue":"2","issued":{"date-parts":[["2023"]]},"page":"201 - 210","title":"Implementasi Marine Pollution (MARPOL) 73/78 Annex V Peraturan Tentang Pencegahan Polusi Sampah/Limbah yang Berasal dari K.M Adhiguna Tarahan","type":"article-journal","volume":"23"},"uris":["http://www.mendeley.com/documents/?uuid=9a659cb0-8a3b-43ec-a8a0-e9a33c33d85c"]}],"mendeley":{"formattedCitation":"[17]","plainTextFormattedCitation":"[17]","previouslyFormattedCitation":"[17]"},"properties":{"noteIndex":0},"schema":"https://github.com/citation-style-language/schema/raw/master/csl-citation.json"}</w:instrText>
      </w:r>
      <w:r w:rsidR="0067503D">
        <w:rPr>
          <w:rFonts w:ascii="Times New Roman" w:eastAsia="Times New Roman" w:hAnsi="Times New Roman"/>
        </w:rPr>
        <w:fldChar w:fldCharType="separate"/>
      </w:r>
      <w:r w:rsidR="0067503D" w:rsidRPr="0067503D">
        <w:rPr>
          <w:rFonts w:ascii="Times New Roman" w:eastAsia="Times New Roman" w:hAnsi="Times New Roman"/>
          <w:noProof/>
        </w:rPr>
        <w:t>[17]</w:t>
      </w:r>
      <w:r w:rsidR="0067503D">
        <w:rPr>
          <w:rFonts w:ascii="Times New Roman" w:eastAsia="Times New Roman" w:hAnsi="Times New Roman"/>
        </w:rPr>
        <w:fldChar w:fldCharType="end"/>
      </w:r>
      <w:r w:rsidRPr="003C7FC9">
        <w:rPr>
          <w:rFonts w:ascii="Times New Roman" w:eastAsia="Times New Roman" w:hAnsi="Times New Roman"/>
        </w:rPr>
        <w:t>.</w:t>
      </w:r>
    </w:p>
    <w:p w14:paraId="24B66D98" w14:textId="77777777" w:rsidR="003C7FC9" w:rsidRPr="003C7FC9" w:rsidRDefault="003C7FC9" w:rsidP="003C7FC9">
      <w:pPr>
        <w:spacing w:after="0" w:line="240" w:lineRule="auto"/>
        <w:ind w:left="0" w:hanging="2"/>
        <w:jc w:val="both"/>
        <w:rPr>
          <w:rFonts w:ascii="Times New Roman" w:eastAsia="Times New Roman" w:hAnsi="Times New Roman"/>
        </w:rPr>
      </w:pPr>
    </w:p>
    <w:p w14:paraId="0597369D" w14:textId="77777777" w:rsidR="003C7FC9" w:rsidRPr="003C7FC9" w:rsidRDefault="003C7FC9" w:rsidP="003C7FC9">
      <w:pPr>
        <w:spacing w:after="0" w:line="240" w:lineRule="auto"/>
        <w:ind w:left="0" w:hanging="2"/>
        <w:jc w:val="both"/>
        <w:rPr>
          <w:rFonts w:ascii="Times New Roman" w:eastAsia="Times New Roman" w:hAnsi="Times New Roman"/>
          <w:b/>
          <w:bCs/>
        </w:rPr>
      </w:pPr>
      <w:r w:rsidRPr="003C7FC9">
        <w:rPr>
          <w:rFonts w:ascii="Times New Roman" w:eastAsia="Times New Roman" w:hAnsi="Times New Roman"/>
          <w:b/>
          <w:bCs/>
        </w:rPr>
        <w:t>Significance of MARPOL Annex V</w:t>
      </w:r>
    </w:p>
    <w:p w14:paraId="1516E913" w14:textId="77777777" w:rsidR="003C7FC9" w:rsidRPr="003C7FC9" w:rsidRDefault="003C7FC9" w:rsidP="003C7FC9">
      <w:pPr>
        <w:spacing w:after="0" w:line="240" w:lineRule="auto"/>
        <w:ind w:left="0" w:hanging="2"/>
        <w:jc w:val="both"/>
        <w:rPr>
          <w:rFonts w:ascii="Times New Roman" w:eastAsia="Times New Roman" w:hAnsi="Times New Roman"/>
        </w:rPr>
      </w:pPr>
    </w:p>
    <w:p w14:paraId="2AF82EAF" w14:textId="4F220615" w:rsidR="003C7FC9" w:rsidRPr="003C7FC9" w:rsidRDefault="003C7FC9" w:rsidP="003C7FC9">
      <w:pPr>
        <w:spacing w:after="0" w:line="240" w:lineRule="auto"/>
        <w:ind w:left="0" w:hanging="2"/>
        <w:jc w:val="both"/>
        <w:rPr>
          <w:rFonts w:ascii="Times New Roman" w:eastAsia="Times New Roman" w:hAnsi="Times New Roman"/>
        </w:rPr>
      </w:pPr>
      <w:r w:rsidRPr="003C7FC9">
        <w:rPr>
          <w:rFonts w:ascii="Times New Roman" w:eastAsia="Times New Roman" w:hAnsi="Times New Roman"/>
        </w:rPr>
        <w:t xml:space="preserve">Annex V has become increasingly relevant with the rise of marine plastic pollution—estimated at 5.25 trillion particles in the oceans—where 80% originates from maritime activities </w:t>
      </w:r>
      <w:r w:rsidR="0067503D">
        <w:rPr>
          <w:rFonts w:ascii="Times New Roman" w:eastAsia="Times New Roman" w:hAnsi="Times New Roman"/>
        </w:rPr>
        <w:fldChar w:fldCharType="begin" w:fldLock="1"/>
      </w:r>
      <w:r w:rsidR="0067503D">
        <w:rPr>
          <w:rFonts w:ascii="Times New Roman" w:eastAsia="Times New Roman" w:hAnsi="Times New Roman"/>
        </w:rPr>
        <w:instrText>ADDIN CSL_CITATION {"citationItems":[{"id":"ITEM-1","itemData":{"author":[{"dropping-particle":"","family":"GESAMP","given":"","non-dropping-particle":"","parse-names":false,"suffix":""}],"id":"ITEM-1","issue":"0","issued":{"date-parts":[["2022"]]},"title":"ANNEX 4 - GESAMP / EHS COMPOSITE LIST GESAMP Hazard Profiles EHS Name 8 June 2021 CAS No GESAMP Hazard Profiles 8 June 2021 A1a A1b","type":"article","volume":"0"},"uris":["http://www.mendeley.com/documents/?uuid=72a3aab0-e8f5-4830-98d9-b6f9f8c1bff7"]}],"mendeley":{"formattedCitation":"[18]","plainTextFormattedCitation":"[18]","previouslyFormattedCitation":"[18]"},"properties":{"noteIndex":0},"schema":"https://github.com/citation-style-language/schema/raw/master/csl-citation.json"}</w:instrText>
      </w:r>
      <w:r w:rsidR="0067503D">
        <w:rPr>
          <w:rFonts w:ascii="Times New Roman" w:eastAsia="Times New Roman" w:hAnsi="Times New Roman"/>
        </w:rPr>
        <w:fldChar w:fldCharType="separate"/>
      </w:r>
      <w:r w:rsidR="0067503D" w:rsidRPr="0067503D">
        <w:rPr>
          <w:rFonts w:ascii="Times New Roman" w:eastAsia="Times New Roman" w:hAnsi="Times New Roman"/>
          <w:noProof/>
        </w:rPr>
        <w:t>[18]</w:t>
      </w:r>
      <w:r w:rsidR="0067503D">
        <w:rPr>
          <w:rFonts w:ascii="Times New Roman" w:eastAsia="Times New Roman" w:hAnsi="Times New Roman"/>
        </w:rPr>
        <w:fldChar w:fldCharType="end"/>
      </w:r>
      <w:r w:rsidRPr="003C7FC9">
        <w:rPr>
          <w:rFonts w:ascii="Times New Roman" w:eastAsia="Times New Roman" w:hAnsi="Times New Roman"/>
        </w:rPr>
        <w:t xml:space="preserve">. A global ban on plastic discharge into the sea has been in effect since 2013 </w:t>
      </w:r>
      <w:r w:rsidR="0067503D">
        <w:rPr>
          <w:rFonts w:ascii="Times New Roman" w:eastAsia="Times New Roman" w:hAnsi="Times New Roman"/>
        </w:rPr>
        <w:fldChar w:fldCharType="begin" w:fldLock="1"/>
      </w:r>
      <w:r w:rsidR="003C3DAA">
        <w:rPr>
          <w:rFonts w:ascii="Times New Roman" w:eastAsia="Times New Roman" w:hAnsi="Times New Roman"/>
        </w:rPr>
        <w:instrText>ADDIN CSL_CITATION {"citationItems":[{"id":"ITEM-1","itemData":{"author":[{"dropping-particle":"","family":"International Maritime Organization","given":"","non-dropping-particle":"","parse-names":false,"suffix":""}],"container-title":"International Maritime Organization","id":"ITEM-1","issue":"January 2020","issued":{"date-parts":[["2021"]]},"page":"4-7","title":"International Code of Safety for High-Speed Craft ( 1994 HSC Code ) Supplement","type":"article-journal","volume":"1994"},"uris":["http://www.mendeley.com/documents/?uuid=8488b6f2-be4c-462e-9fc8-1c828780ba5c"]}],"mendeley":{"formattedCitation":"[4]","plainTextFormattedCitation":"[4]","previouslyFormattedCitation":"[4]"},"properties":{"noteIndex":0},"schema":"https://github.com/citation-style-language/schema/raw/master/csl-citation.json"}</w:instrText>
      </w:r>
      <w:r w:rsidR="0067503D">
        <w:rPr>
          <w:rFonts w:ascii="Times New Roman" w:eastAsia="Times New Roman" w:hAnsi="Times New Roman"/>
        </w:rPr>
        <w:fldChar w:fldCharType="separate"/>
      </w:r>
      <w:r w:rsidR="0067503D" w:rsidRPr="0067503D">
        <w:rPr>
          <w:rFonts w:ascii="Times New Roman" w:eastAsia="Times New Roman" w:hAnsi="Times New Roman"/>
          <w:noProof/>
        </w:rPr>
        <w:t>[4]</w:t>
      </w:r>
      <w:r w:rsidR="0067503D">
        <w:rPr>
          <w:rFonts w:ascii="Times New Roman" w:eastAsia="Times New Roman" w:hAnsi="Times New Roman"/>
        </w:rPr>
        <w:fldChar w:fldCharType="end"/>
      </w:r>
      <w:r w:rsidRPr="003C7FC9">
        <w:rPr>
          <w:rFonts w:ascii="Times New Roman" w:eastAsia="Times New Roman" w:hAnsi="Times New Roman"/>
        </w:rPr>
        <w:t>.</w:t>
      </w:r>
    </w:p>
    <w:p w14:paraId="0E23AC92" w14:textId="77777777" w:rsidR="003C7FC9" w:rsidRPr="003C7FC9" w:rsidRDefault="003C7FC9" w:rsidP="003C7FC9">
      <w:pPr>
        <w:spacing w:after="0" w:line="240" w:lineRule="auto"/>
        <w:ind w:left="0" w:hanging="2"/>
        <w:jc w:val="both"/>
        <w:rPr>
          <w:rFonts w:ascii="Times New Roman" w:eastAsia="Times New Roman" w:hAnsi="Times New Roman"/>
        </w:rPr>
      </w:pPr>
    </w:p>
    <w:p w14:paraId="67BA0E20" w14:textId="6E839DC1" w:rsidR="00362367" w:rsidRDefault="003C7FC9" w:rsidP="009050F6">
      <w:pPr>
        <w:spacing w:after="0" w:line="240" w:lineRule="auto"/>
        <w:ind w:left="0" w:hanging="2"/>
        <w:jc w:val="both"/>
        <w:rPr>
          <w:rFonts w:ascii="Times New Roman" w:eastAsia="Times New Roman" w:hAnsi="Times New Roman"/>
        </w:rPr>
      </w:pPr>
      <w:r w:rsidRPr="003C7FC9">
        <w:rPr>
          <w:rFonts w:ascii="Times New Roman" w:eastAsia="Times New Roman" w:hAnsi="Times New Roman"/>
        </w:rPr>
        <w:t xml:space="preserve">Recent studies show that strict enforcement of Annex V has led to a 12% reduction in marine debris in compliant regions </w:t>
      </w:r>
      <w:r w:rsidR="003C3DAA">
        <w:rPr>
          <w:rFonts w:ascii="Times New Roman" w:eastAsia="Times New Roman" w:hAnsi="Times New Roman"/>
        </w:rPr>
        <w:fldChar w:fldCharType="begin" w:fldLock="1"/>
      </w:r>
      <w:r w:rsidR="003C3DAA">
        <w:rPr>
          <w:rFonts w:ascii="Times New Roman" w:eastAsia="Times New Roman" w:hAnsi="Times New Roman"/>
        </w:rPr>
        <w:instrText>ADDIN CSL_CITATION {"citationItems":[{"id":"ITEM-1","itemData":{"author":[{"dropping-particle":"","family":"United Nation Inland Transport","given":"","non-dropping-particle":"","parse-names":false,"suffix":""}],"id":"ITEM-1","issue":"January","issued":{"date-parts":[["2023"]]},"title":"Economic and Social Council World Forum for Harmonization of Vehicle Regulations","type":"report","volume":"09157"},"uris":["http://www.mendeley.com/documents/?uuid=efa7a7d9-357d-45cf-94c2-44f4c8ffe5bc"]}],"mendeley":{"formattedCitation":"[19]","plainTextFormattedCitation":"[19]","previouslyFormattedCitation":"[19]"},"properties":{"noteIndex":0},"schema":"https://github.com/citation-style-language/schema/raw/master/csl-citation.json"}</w:instrText>
      </w:r>
      <w:r w:rsidR="003C3DAA">
        <w:rPr>
          <w:rFonts w:ascii="Times New Roman" w:eastAsia="Times New Roman" w:hAnsi="Times New Roman"/>
        </w:rPr>
        <w:fldChar w:fldCharType="separate"/>
      </w:r>
      <w:r w:rsidR="003C3DAA" w:rsidRPr="003C3DAA">
        <w:rPr>
          <w:rFonts w:ascii="Times New Roman" w:eastAsia="Times New Roman" w:hAnsi="Times New Roman"/>
          <w:noProof/>
        </w:rPr>
        <w:t>[19]</w:t>
      </w:r>
      <w:r w:rsidR="003C3DAA">
        <w:rPr>
          <w:rFonts w:ascii="Times New Roman" w:eastAsia="Times New Roman" w:hAnsi="Times New Roman"/>
        </w:rPr>
        <w:fldChar w:fldCharType="end"/>
      </w:r>
      <w:r w:rsidRPr="003C7FC9">
        <w:rPr>
          <w:rFonts w:ascii="Times New Roman" w:eastAsia="Times New Roman" w:hAnsi="Times New Roman"/>
        </w:rPr>
        <w:t xml:space="preserve">. Nevertheless, challenges persist, especially in developing countries like Indonesia, where enforcement and infrastructure constraints remain significant </w:t>
      </w:r>
      <w:r w:rsidR="003C3DAA">
        <w:rPr>
          <w:rFonts w:ascii="Times New Roman" w:eastAsia="Times New Roman" w:hAnsi="Times New Roman"/>
        </w:rPr>
        <w:fldChar w:fldCharType="begin" w:fldLock="1"/>
      </w:r>
      <w:r w:rsidR="003C3DAA">
        <w:rPr>
          <w:rFonts w:ascii="Times New Roman" w:eastAsia="Times New Roman" w:hAnsi="Times New Roman"/>
        </w:rPr>
        <w:instrText>ADDIN CSL_CITATION {"citationItems":[{"id":"ITEM-1","itemData":{"DOI":"10.46799/jsa.v4i12.941","ISSN":"2722-7782","abstract":"Plastic waste has a serious impact on the marine environment, threatening more than 800 marine species, and can affect the food chain down to humans. The aim of this research is firstly to find out, analyze and explain issues related to strategies for preventing marine pollution from ship waste. This research is normative legal research which considers research as analysis. The data analysis technique used is through data collected from legal materials with descriptions in effective, orderly and logical sentences so as to simplify the analysis of the results of the problem formulation. Results of the research Currently, MARPOL Regulation 73/78 Annex V is an important international legal instrument to prevent marine pollution by waste from ships. This regulation prohibits the dumping of waste into the sea, except under certain conditions. In the implementation and management of waste on board ships, activities ranging from waste collection to disposal, must all be carried out in accordance with the procedures regulated in Annex V MARPOL 73/78, if If waste management is not carried out according to predetermined procedures, waste dumping will occur anywhere and wherever the ship is located so that in the future waste that is thrown carelessly can cause pollution in the sea.\r  ","author":[{"dropping-particle":"","family":"Aurora","given":"Christine Astrid","non-dropping-particle":"","parse-names":false,"suffix":""},{"dropping-particle":"","family":"Harjono","given":"Dhaniswara K.","non-dropping-particle":"","parse-names":false,"suffix":""},{"dropping-particle":"","family":"Nadapdap","given":"Binoto","non-dropping-particle":"","parse-names":false,"suffix":""}],"container-title":"Jurnal Syntax Admiration","id":"ITEM-1","issue":"12","issued":{"date-parts":[["2023"]]},"page":"2444-2458","title":"Optimalisasi Peran Hukum Perusahaan Pelayaran Terhadap Pencegahan Pencemaran Laut Oleh Sampah Sesuai Marine Pollution (Marpol) 73/78 Annex-V Dari Kapal","type":"article-journal","volume":"4"},"uris":["http://www.mendeley.com/documents/?uuid=19207eef-b114-4f96-8a3d-f0608afc467f"]}],"mendeley":{"formattedCitation":"[12]","plainTextFormattedCitation":"[12]","previouslyFormattedCitation":"[12]"},"properties":{"noteIndex":0},"schema":"https://github.com/citation-style-language/schema/raw/master/csl-citation.json"}</w:instrText>
      </w:r>
      <w:r w:rsidR="003C3DAA">
        <w:rPr>
          <w:rFonts w:ascii="Times New Roman" w:eastAsia="Times New Roman" w:hAnsi="Times New Roman"/>
        </w:rPr>
        <w:fldChar w:fldCharType="separate"/>
      </w:r>
      <w:r w:rsidR="003C3DAA" w:rsidRPr="003C3DAA">
        <w:rPr>
          <w:rFonts w:ascii="Times New Roman" w:eastAsia="Times New Roman" w:hAnsi="Times New Roman"/>
          <w:noProof/>
        </w:rPr>
        <w:t>[12]</w:t>
      </w:r>
      <w:r w:rsidR="003C3DAA">
        <w:rPr>
          <w:rFonts w:ascii="Times New Roman" w:eastAsia="Times New Roman" w:hAnsi="Times New Roman"/>
        </w:rPr>
        <w:fldChar w:fldCharType="end"/>
      </w:r>
      <w:r w:rsidR="009050F6">
        <w:rPr>
          <w:rFonts w:ascii="Times New Roman" w:eastAsia="Times New Roman" w:hAnsi="Times New Roman"/>
        </w:rPr>
        <w:t>.</w:t>
      </w:r>
    </w:p>
    <w:p w14:paraId="0AE3213D" w14:textId="77777777" w:rsidR="00D42BF6" w:rsidRDefault="00D42BF6" w:rsidP="009050F6">
      <w:pPr>
        <w:spacing w:after="0" w:line="240" w:lineRule="auto"/>
        <w:ind w:left="0" w:hanging="2"/>
        <w:jc w:val="both"/>
        <w:rPr>
          <w:rFonts w:ascii="Times New Roman" w:eastAsia="Times New Roman" w:hAnsi="Times New Roman"/>
        </w:rPr>
      </w:pPr>
    </w:p>
    <w:p w14:paraId="081C5202" w14:textId="0CEA1972" w:rsidR="00D42BF6" w:rsidRPr="00D42BF6" w:rsidRDefault="00D42BF6" w:rsidP="00D42BF6">
      <w:pPr>
        <w:spacing w:after="0" w:line="240" w:lineRule="auto"/>
        <w:ind w:left="0" w:hanging="2"/>
        <w:jc w:val="both"/>
        <w:rPr>
          <w:rFonts w:ascii="Times New Roman" w:eastAsia="Times New Roman" w:hAnsi="Times New Roman"/>
          <w:lang w:val="en-US"/>
        </w:rPr>
      </w:pPr>
      <w:r w:rsidRPr="00D42BF6">
        <w:rPr>
          <w:rFonts w:ascii="Times New Roman" w:eastAsia="Times New Roman" w:hAnsi="Times New Roman"/>
          <w:lang w:val="en-US"/>
        </w:rPr>
        <w:t xml:space="preserve">In addition, the latest work by </w:t>
      </w:r>
      <w:r w:rsidR="003C3DAA">
        <w:rPr>
          <w:rFonts w:ascii="Times New Roman" w:eastAsia="Times New Roman" w:hAnsi="Times New Roman"/>
          <w:lang w:val="en-US"/>
        </w:rPr>
        <w:t>annex</w:t>
      </w:r>
      <w:r w:rsidRPr="00D42BF6">
        <w:rPr>
          <w:rFonts w:ascii="Times New Roman" w:eastAsia="Times New Roman" w:hAnsi="Times New Roman"/>
          <w:lang w:val="en-US"/>
        </w:rPr>
        <w:t xml:space="preserve"> points out that Annex V serves as a benchmark for integrating environmental accountability into maritime operations, especially as pressure mounts on shipping companies to demonstrate ESG (Environmental, Social, and Governance) compliance</w:t>
      </w:r>
      <w:r w:rsidR="003C3DAA">
        <w:rPr>
          <w:rFonts w:ascii="Times New Roman" w:eastAsia="Times New Roman" w:hAnsi="Times New Roman"/>
          <w:lang w:val="en-US"/>
        </w:rPr>
        <w:t xml:space="preserve"> </w:t>
      </w:r>
      <w:r w:rsidR="003C3DAA">
        <w:rPr>
          <w:rFonts w:ascii="Times New Roman" w:eastAsia="Times New Roman" w:hAnsi="Times New Roman"/>
          <w:lang w:val="en-US"/>
        </w:rPr>
        <w:fldChar w:fldCharType="begin" w:fldLock="1"/>
      </w:r>
      <w:r w:rsidR="003C3DAA">
        <w:rPr>
          <w:rFonts w:ascii="Times New Roman" w:eastAsia="Times New Roman" w:hAnsi="Times New Roman"/>
          <w:lang w:val="en-US"/>
        </w:rPr>
        <w:instrText>ADDIN CSL_CITATION {"citationItems":[{"id":"ITEM-1","itemData":{"author":[{"dropping-particle":"","family":"Chairunnisa","given":"Andi Sitti","non-dropping-particle":"","parse-names":false,"suffix":""}],"container-title":"Marine Pollution","id":"ITEM-1","issued":{"date-parts":[["2020"]]},"title":"Legal and Practical Aspects of MARPOL Port State Control Inspections","type":"chapter"},"uris":["http://www.mendeley.com/documents/?uuid=e3ec1e3f-5170-4687-bb35-0cfc3dcfe6c9"]}],"mendeley":{"formattedCitation":"[20]","plainTextFormattedCitation":"[20]","previouslyFormattedCitation":"[20]"},"properties":{"noteIndex":0},"schema":"https://github.com/citation-style-language/schema/raw/master/csl-citation.json"}</w:instrText>
      </w:r>
      <w:r w:rsidR="003C3DAA">
        <w:rPr>
          <w:rFonts w:ascii="Times New Roman" w:eastAsia="Times New Roman" w:hAnsi="Times New Roman"/>
          <w:lang w:val="en-US"/>
        </w:rPr>
        <w:fldChar w:fldCharType="separate"/>
      </w:r>
      <w:r w:rsidR="003C3DAA" w:rsidRPr="003C3DAA">
        <w:rPr>
          <w:rFonts w:ascii="Times New Roman" w:eastAsia="Times New Roman" w:hAnsi="Times New Roman"/>
          <w:noProof/>
          <w:lang w:val="en-US"/>
        </w:rPr>
        <w:t>[20]</w:t>
      </w:r>
      <w:r w:rsidR="003C3DAA">
        <w:rPr>
          <w:rFonts w:ascii="Times New Roman" w:eastAsia="Times New Roman" w:hAnsi="Times New Roman"/>
          <w:lang w:val="en-US"/>
        </w:rPr>
        <w:fldChar w:fldCharType="end"/>
      </w:r>
      <w:r w:rsidRPr="00D42BF6">
        <w:rPr>
          <w:rFonts w:ascii="Times New Roman" w:eastAsia="Times New Roman" w:hAnsi="Times New Roman"/>
          <w:lang w:val="en-US"/>
        </w:rPr>
        <w:t>. Their study suggests that beyond regulatory adherence, Annex V has begun to influence corporate environmental responsibility frameworks in global shipping supply chains.</w:t>
      </w:r>
    </w:p>
    <w:p w14:paraId="4182C542" w14:textId="77777777" w:rsidR="00D42BF6" w:rsidRPr="00D42BF6" w:rsidRDefault="00D42BF6" w:rsidP="00D42BF6">
      <w:pPr>
        <w:spacing w:after="0" w:line="240" w:lineRule="auto"/>
        <w:ind w:left="0" w:hanging="2"/>
        <w:jc w:val="both"/>
        <w:rPr>
          <w:rFonts w:ascii="Times New Roman" w:eastAsia="Times New Roman" w:hAnsi="Times New Roman"/>
          <w:lang w:val="en-US"/>
        </w:rPr>
      </w:pPr>
    </w:p>
    <w:p w14:paraId="3E230B6F" w14:textId="1381FB6D" w:rsidR="00D42BF6" w:rsidRPr="00D42BF6" w:rsidRDefault="00D42BF6" w:rsidP="00D42BF6">
      <w:pPr>
        <w:spacing w:after="0" w:line="240" w:lineRule="auto"/>
        <w:ind w:left="0" w:hanging="2"/>
        <w:jc w:val="both"/>
        <w:rPr>
          <w:rFonts w:ascii="Times New Roman" w:eastAsia="Times New Roman" w:hAnsi="Times New Roman"/>
          <w:lang w:val="en-US"/>
        </w:rPr>
      </w:pPr>
      <w:r w:rsidRPr="00D42BF6">
        <w:rPr>
          <w:rFonts w:ascii="Times New Roman" w:eastAsia="Times New Roman" w:hAnsi="Times New Roman"/>
          <w:lang w:val="en-US"/>
        </w:rPr>
        <w:t xml:space="preserve">Despite its progress, significant challenges remain—particularly for developing maritime nations like Indonesia—where legal enforcement, institutional coordination, and waste management infrastructure are often inadequate to fully comply with Annex V provisions </w:t>
      </w:r>
      <w:r w:rsidR="003C3DAA">
        <w:rPr>
          <w:rFonts w:ascii="Times New Roman" w:eastAsia="Times New Roman" w:hAnsi="Times New Roman"/>
          <w:lang w:val="en-US"/>
        </w:rPr>
        <w:fldChar w:fldCharType="begin" w:fldLock="1"/>
      </w:r>
      <w:r w:rsidR="003C3DAA">
        <w:rPr>
          <w:rFonts w:ascii="Times New Roman" w:eastAsia="Times New Roman" w:hAnsi="Times New Roman"/>
          <w:lang w:val="en-US"/>
        </w:rPr>
        <w:instrText>ADDIN CSL_CITATION {"citationItems":[{"id":"ITEM-1","itemData":{"author":[{"dropping-particle":"","family":"Palippui","given":"Habibi","non-dropping-particle":"","parse-names":false,"suffix":""}],"container-title":"Marine Pollution","id":"ITEM-1","issued":{"date-parts":[["2020"]]},"title":"Environmental Performance of the Shipping Industry : A Case Study of MARPOL Violations","type":"chapter"},"uris":["http://www.mendeley.com/documents/?uuid=1753e3eb-753e-42d5-beb1-b7d6567c0e50"]}],"mendeley":{"formattedCitation":"[21]","plainTextFormattedCitation":"[21]","previouslyFormattedCitation":"[21]"},"properties":{"noteIndex":0},"schema":"https://github.com/citation-style-language/schema/raw/master/csl-citation.json"}</w:instrText>
      </w:r>
      <w:r w:rsidR="003C3DAA">
        <w:rPr>
          <w:rFonts w:ascii="Times New Roman" w:eastAsia="Times New Roman" w:hAnsi="Times New Roman"/>
          <w:lang w:val="en-US"/>
        </w:rPr>
        <w:fldChar w:fldCharType="separate"/>
      </w:r>
      <w:r w:rsidR="003C3DAA" w:rsidRPr="003C3DAA">
        <w:rPr>
          <w:rFonts w:ascii="Times New Roman" w:eastAsia="Times New Roman" w:hAnsi="Times New Roman"/>
          <w:noProof/>
          <w:lang w:val="en-US"/>
        </w:rPr>
        <w:t>[21]</w:t>
      </w:r>
      <w:r w:rsidR="003C3DAA">
        <w:rPr>
          <w:rFonts w:ascii="Times New Roman" w:eastAsia="Times New Roman" w:hAnsi="Times New Roman"/>
          <w:lang w:val="en-US"/>
        </w:rPr>
        <w:fldChar w:fldCharType="end"/>
      </w:r>
      <w:r w:rsidR="003C3DAA">
        <w:rPr>
          <w:rFonts w:ascii="Times New Roman" w:eastAsia="Times New Roman" w:hAnsi="Times New Roman"/>
          <w:lang w:val="en-US"/>
        </w:rPr>
        <w:fldChar w:fldCharType="begin" w:fldLock="1"/>
      </w:r>
      <w:r w:rsidR="00FD585C">
        <w:rPr>
          <w:rFonts w:ascii="Times New Roman" w:eastAsia="Times New Roman" w:hAnsi="Times New Roman"/>
          <w:lang w:val="en-US"/>
        </w:rPr>
        <w:instrText>ADDIN CSL_CITATION {"citationItems":[{"id":"ITEM-1","itemData":{"DOI":"10.35877/454RI.asci3784","ISSN":"26850591","abstract":"The target for bioethanol fuel-grade blending in Indonesia has yet to be achieved, indicating significant barriers to the development of a sustainable industry. This study aims to identify key variables and develop an ecosystem model that supports Sustainable Competitive Advantage (SCA) in the Fuel-Grade Bioethanol Industry (FGBI) in Indonesia. Adopting the Resource-Based View (RBV) and Institutional Theory (IT) approaches, this study analyzes the interaction between internal and external factors influencing industry sustainability. Utilizing an exploratory inductive qualitative method covering the period 2006 to 2024, the research identifies three key RBV variables: (1) demand, (2) raw materials, and (3) technology as well as three coercive IT variables: (1) price formulation, (2) trade structure, and (3) tariffs and incentives as critical elements in achieving SCA. The findings indicate that coercive IT alone is ineffective in achieving SCA without integration with RBV. As both an academic and practical contribution, this study proposes a sustainable ecosystem model for FGBI in Indonesia. Further quantitative testing is needed to examine inter-element dynamics and evaluate the model’s long-term effectiveness. The implications for stakeholders highlight the importance of integrating policy with RBV principles to ensure the sustainability of the industry.","author":[{"dropping-particle":"","family":"Rachman","given":"Izmirta","non-dropping-particle":"","parse-names":false,"suffix":""}],"container-title":"Journal of Applied Science, Engineering, Technology, and Education","id":"ITEM-1","issue":"1","issued":{"date-parts":[["2025"]]},"page":"1-16","title":"Sustainable Competitive Advantage in Indonesia’s Bioethanol Industry: Key Variables and Ecosystem Model","type":"article-journal","volume":"7"},"uris":["http://www.mendeley.com/documents/?uuid=fafd60f9-917d-47ad-8968-357d7f4ad281"]}],"mendeley":{"formattedCitation":"[22]","plainTextFormattedCitation":"[22]","previouslyFormattedCitation":"[22]"},"properties":{"noteIndex":0},"schema":"https://github.com/citation-style-language/schema/raw/master/csl-citation.json"}</w:instrText>
      </w:r>
      <w:r w:rsidR="003C3DAA">
        <w:rPr>
          <w:rFonts w:ascii="Times New Roman" w:eastAsia="Times New Roman" w:hAnsi="Times New Roman"/>
          <w:lang w:val="en-US"/>
        </w:rPr>
        <w:fldChar w:fldCharType="separate"/>
      </w:r>
      <w:r w:rsidR="003C3DAA" w:rsidRPr="003C3DAA">
        <w:rPr>
          <w:rFonts w:ascii="Times New Roman" w:eastAsia="Times New Roman" w:hAnsi="Times New Roman"/>
          <w:noProof/>
          <w:lang w:val="en-US"/>
        </w:rPr>
        <w:t>[22]</w:t>
      </w:r>
      <w:r w:rsidR="003C3DAA">
        <w:rPr>
          <w:rFonts w:ascii="Times New Roman" w:eastAsia="Times New Roman" w:hAnsi="Times New Roman"/>
          <w:lang w:val="en-US"/>
        </w:rPr>
        <w:fldChar w:fldCharType="end"/>
      </w:r>
      <w:r w:rsidRPr="00D42BF6">
        <w:rPr>
          <w:rFonts w:ascii="Times New Roman" w:eastAsia="Times New Roman" w:hAnsi="Times New Roman"/>
          <w:lang w:val="en-US"/>
        </w:rPr>
        <w:t xml:space="preserve">. As such, the effective implementation of Annex V remains </w:t>
      </w:r>
      <w:r w:rsidRPr="00D42BF6">
        <w:rPr>
          <w:rFonts w:ascii="Times New Roman" w:eastAsia="Times New Roman" w:hAnsi="Times New Roman"/>
          <w:lang w:val="en-US"/>
        </w:rPr>
        <w:lastRenderedPageBreak/>
        <w:t>both a regulatory necessity and a developmental opportunity for enhancing sustainable maritime governance.</w:t>
      </w:r>
    </w:p>
    <w:p w14:paraId="7843AF39" w14:textId="77777777" w:rsidR="009050F6" w:rsidRDefault="009050F6" w:rsidP="009050F6">
      <w:pPr>
        <w:spacing w:after="0" w:line="240" w:lineRule="auto"/>
        <w:ind w:left="0" w:hanging="2"/>
        <w:jc w:val="both"/>
        <w:rPr>
          <w:rFonts w:ascii="Times New Roman" w:eastAsia="Times New Roman" w:hAnsi="Times New Roman"/>
          <w:b/>
          <w:color w:val="000000"/>
        </w:rPr>
      </w:pPr>
    </w:p>
    <w:p w14:paraId="67BCDA08" w14:textId="77777777" w:rsidR="00362367" w:rsidRDefault="00000000">
      <w:pPr>
        <w:pStyle w:val="Heading1"/>
        <w:ind w:left="0" w:hanging="2"/>
      </w:pPr>
      <w:r>
        <w:t>CONCLUSION &gt; T.N Roman 11 Bold</w:t>
      </w:r>
    </w:p>
    <w:p w14:paraId="512974DF" w14:textId="1276BE01" w:rsidR="00942161" w:rsidRPr="00942161" w:rsidRDefault="00942161" w:rsidP="00942161">
      <w:pPr>
        <w:ind w:left="0" w:hanging="2"/>
        <w:jc w:val="both"/>
        <w:rPr>
          <w:rFonts w:ascii="Times New Roman" w:eastAsia="Times New Roman" w:hAnsi="Times New Roman"/>
        </w:rPr>
      </w:pPr>
      <w:r w:rsidRPr="00942161">
        <w:rPr>
          <w:rFonts w:ascii="Times New Roman" w:eastAsia="Times New Roman" w:hAnsi="Times New Roman"/>
        </w:rPr>
        <w:t>The implementation of MARPOL Annex V in Indonesia illustrates a persistent gap between regulatory frameworks and practical enforcement. Despite the country's ratification of MARPOL 73/78, only 30% of Indonesian-flagged vessels comply with waste management standards, highlighting issues such as inadequate crew training, insufficient port waste facilities, and fragmented institutional oversight. These challenges are compounded by overlapping responsibilities among maritime authorities, resulting in weak coordination and enforcement. This study, using a mixed-methods approach and the Institutional Analysis and Development (IAD) framework, underscores the need for an integrated, multi-stakeholder strategy. Drawing from best practices in Singapore and Malaysia, it proposes stronger legal enforcement, standardized certification for ship crews, and infrastructure investment to improve compliance. These findings contribute to the discourse on sustainable maritime governance and offer practical recommendations for enhancing marine environmental protection in Indonesia. Strengthening Annex V implementation is essential to align with international standards and safeguard ocean health for future generations.</w:t>
      </w:r>
      <w:r w:rsidR="00FD585C">
        <w:rPr>
          <w:rFonts w:ascii="Times New Roman" w:eastAsia="Times New Roman" w:hAnsi="Times New Roman"/>
        </w:rPr>
        <w:t xml:space="preserve"> </w:t>
      </w:r>
    </w:p>
    <w:p w14:paraId="2806AFA8" w14:textId="77777777" w:rsidR="00362367" w:rsidRPr="00942161" w:rsidRDefault="00362367">
      <w:pPr>
        <w:spacing w:after="0" w:line="240" w:lineRule="auto"/>
        <w:ind w:left="0" w:hanging="2"/>
        <w:jc w:val="both"/>
        <w:rPr>
          <w:rFonts w:ascii="Times New Roman" w:eastAsia="Times New Roman" w:hAnsi="Times New Roman"/>
        </w:rPr>
      </w:pPr>
    </w:p>
    <w:bookmarkEnd w:id="1"/>
    <w:p w14:paraId="238D7A67" w14:textId="183D0C40" w:rsidR="00362367" w:rsidRDefault="00000000">
      <w:pPr>
        <w:pStyle w:val="Heading1"/>
        <w:ind w:left="0" w:hanging="2"/>
      </w:pPr>
      <w:r>
        <w:t xml:space="preserve">REFERENCES </w:t>
      </w:r>
    </w:p>
    <w:p w14:paraId="4623C851" w14:textId="06AA6560" w:rsidR="00FD585C" w:rsidRPr="00FD585C" w:rsidRDefault="00FF4CD3" w:rsidP="00D84166">
      <w:pPr>
        <w:widowControl w:val="0"/>
        <w:autoSpaceDE w:val="0"/>
        <w:autoSpaceDN w:val="0"/>
        <w:adjustRightInd w:val="0"/>
        <w:spacing w:after="0" w:line="240" w:lineRule="auto"/>
        <w:ind w:leftChars="0" w:left="425" w:hangingChars="193" w:hanging="425"/>
        <w:jc w:val="both"/>
        <w:rPr>
          <w:rFonts w:ascii="Times New Roman" w:hAnsi="Times New Roman"/>
          <w:noProof/>
        </w:rPr>
      </w:pPr>
      <w:r>
        <w:rPr>
          <w:rFonts w:ascii="Times New Roman" w:eastAsia="Times New Roman" w:hAnsi="Times New Roman"/>
        </w:rPr>
        <w:fldChar w:fldCharType="begin" w:fldLock="1"/>
      </w:r>
      <w:r>
        <w:rPr>
          <w:rFonts w:ascii="Times New Roman" w:eastAsia="Times New Roman" w:hAnsi="Times New Roman"/>
        </w:rPr>
        <w:instrText xml:space="preserve">ADDIN Mendeley Bibliography CSL_BIBLIOGRAPHY </w:instrText>
      </w:r>
      <w:r>
        <w:rPr>
          <w:rFonts w:ascii="Times New Roman" w:eastAsia="Times New Roman" w:hAnsi="Times New Roman"/>
        </w:rPr>
        <w:fldChar w:fldCharType="separate"/>
      </w:r>
      <w:r w:rsidR="00FD585C" w:rsidRPr="00FD585C">
        <w:rPr>
          <w:rFonts w:ascii="Times New Roman" w:hAnsi="Times New Roman"/>
          <w:noProof/>
        </w:rPr>
        <w:t>[1]</w:t>
      </w:r>
      <w:r w:rsidR="00FD585C" w:rsidRPr="00FD585C">
        <w:rPr>
          <w:rFonts w:ascii="Times New Roman" w:hAnsi="Times New Roman"/>
          <w:noProof/>
        </w:rPr>
        <w:tab/>
        <w:t xml:space="preserve">IMO, </w:t>
      </w:r>
      <w:r w:rsidR="00FD585C" w:rsidRPr="00FD585C">
        <w:rPr>
          <w:rFonts w:ascii="Times New Roman" w:hAnsi="Times New Roman"/>
          <w:i/>
          <w:iCs/>
          <w:noProof/>
        </w:rPr>
        <w:t>International Maritime Organization Maritime Knowledge Centre ( Mkc ) Current Awareness Bulletin February 2019</w:t>
      </w:r>
      <w:r w:rsidR="00FD585C" w:rsidRPr="00FD585C">
        <w:rPr>
          <w:rFonts w:ascii="Times New Roman" w:hAnsi="Times New Roman"/>
          <w:noProof/>
        </w:rPr>
        <w:t>, no. February. 2019.</w:t>
      </w:r>
    </w:p>
    <w:p w14:paraId="65C8B898" w14:textId="77777777" w:rsidR="00FD585C" w:rsidRPr="00FD585C" w:rsidRDefault="00FD585C" w:rsidP="00D84166">
      <w:pPr>
        <w:widowControl w:val="0"/>
        <w:autoSpaceDE w:val="0"/>
        <w:autoSpaceDN w:val="0"/>
        <w:adjustRightInd w:val="0"/>
        <w:spacing w:after="0" w:line="240" w:lineRule="auto"/>
        <w:ind w:leftChars="0" w:left="425" w:hangingChars="193" w:hanging="425"/>
        <w:jc w:val="both"/>
        <w:rPr>
          <w:rFonts w:ascii="Times New Roman" w:hAnsi="Times New Roman"/>
          <w:noProof/>
        </w:rPr>
      </w:pPr>
      <w:r w:rsidRPr="00FD585C">
        <w:rPr>
          <w:rFonts w:ascii="Times New Roman" w:hAnsi="Times New Roman"/>
          <w:noProof/>
        </w:rPr>
        <w:t>[2]</w:t>
      </w:r>
      <w:r w:rsidRPr="00FD585C">
        <w:rPr>
          <w:rFonts w:ascii="Times New Roman" w:hAnsi="Times New Roman"/>
          <w:noProof/>
        </w:rPr>
        <w:tab/>
        <w:t xml:space="preserve">R. Johnson and S. Lee, “Gaps in Flag State Implementation: A Global Analysis,” </w:t>
      </w:r>
      <w:r w:rsidRPr="00FD585C">
        <w:rPr>
          <w:rFonts w:ascii="Times New Roman" w:hAnsi="Times New Roman"/>
          <w:i/>
          <w:iCs/>
          <w:noProof/>
        </w:rPr>
        <w:t>IMO Press</w:t>
      </w:r>
      <w:r w:rsidRPr="00FD585C">
        <w:rPr>
          <w:rFonts w:ascii="Times New Roman" w:hAnsi="Times New Roman"/>
          <w:noProof/>
        </w:rPr>
        <w:t>, 2023.</w:t>
      </w:r>
    </w:p>
    <w:p w14:paraId="605E9202" w14:textId="77777777" w:rsidR="00FD585C" w:rsidRPr="00FD585C" w:rsidRDefault="00FD585C" w:rsidP="00D84166">
      <w:pPr>
        <w:widowControl w:val="0"/>
        <w:autoSpaceDE w:val="0"/>
        <w:autoSpaceDN w:val="0"/>
        <w:adjustRightInd w:val="0"/>
        <w:spacing w:after="0" w:line="240" w:lineRule="auto"/>
        <w:ind w:leftChars="0" w:left="425" w:hangingChars="193" w:hanging="425"/>
        <w:jc w:val="both"/>
        <w:rPr>
          <w:rFonts w:ascii="Times New Roman" w:hAnsi="Times New Roman"/>
          <w:noProof/>
        </w:rPr>
      </w:pPr>
      <w:r w:rsidRPr="00FD585C">
        <w:rPr>
          <w:rFonts w:ascii="Times New Roman" w:hAnsi="Times New Roman"/>
          <w:noProof/>
        </w:rPr>
        <w:t>[3]</w:t>
      </w:r>
      <w:r w:rsidRPr="00FD585C">
        <w:rPr>
          <w:rFonts w:ascii="Times New Roman" w:hAnsi="Times New Roman"/>
          <w:noProof/>
        </w:rPr>
        <w:tab/>
        <w:t>M. Tohir, “The Role of Sea Toll Ship</w:t>
      </w:r>
      <w:r w:rsidRPr="00FD585C">
        <w:rPr>
          <w:rFonts w:ascii="Times New Roman" w:hAnsi="Times New Roman"/>
          <w:noProof/>
        </w:rPr>
        <w:t>ping in Inter-Island Commodity Distribution : A Literature Review Study,” vol. 2, no. 4, pp. 163–172, 2025.</w:t>
      </w:r>
    </w:p>
    <w:p w14:paraId="27143B0F" w14:textId="77777777" w:rsidR="00FD585C" w:rsidRPr="00FD585C" w:rsidRDefault="00FD585C" w:rsidP="00D84166">
      <w:pPr>
        <w:widowControl w:val="0"/>
        <w:autoSpaceDE w:val="0"/>
        <w:autoSpaceDN w:val="0"/>
        <w:adjustRightInd w:val="0"/>
        <w:spacing w:after="0" w:line="240" w:lineRule="auto"/>
        <w:ind w:leftChars="0" w:left="425" w:hangingChars="193" w:hanging="425"/>
        <w:jc w:val="both"/>
        <w:rPr>
          <w:rFonts w:ascii="Times New Roman" w:hAnsi="Times New Roman"/>
          <w:noProof/>
        </w:rPr>
      </w:pPr>
      <w:r w:rsidRPr="00FD585C">
        <w:rPr>
          <w:rFonts w:ascii="Times New Roman" w:hAnsi="Times New Roman"/>
          <w:noProof/>
        </w:rPr>
        <w:t>[4]</w:t>
      </w:r>
      <w:r w:rsidRPr="00FD585C">
        <w:rPr>
          <w:rFonts w:ascii="Times New Roman" w:hAnsi="Times New Roman"/>
          <w:noProof/>
        </w:rPr>
        <w:tab/>
        <w:t xml:space="preserve">International Maritime Organization, “International Code of Safety for High-Speed Craft ( 1994 HSC Code ) Supplement,” </w:t>
      </w:r>
      <w:r w:rsidRPr="00FD585C">
        <w:rPr>
          <w:rFonts w:ascii="Times New Roman" w:hAnsi="Times New Roman"/>
          <w:i/>
          <w:iCs/>
          <w:noProof/>
        </w:rPr>
        <w:t>Int. Marit. Organ.</w:t>
      </w:r>
      <w:r w:rsidRPr="00FD585C">
        <w:rPr>
          <w:rFonts w:ascii="Times New Roman" w:hAnsi="Times New Roman"/>
          <w:noProof/>
        </w:rPr>
        <w:t>, vol. 1994, no. January 2020, pp. 4–7, 2021.</w:t>
      </w:r>
    </w:p>
    <w:p w14:paraId="4E2A6A3E" w14:textId="77777777" w:rsidR="00FD585C" w:rsidRPr="00FD585C" w:rsidRDefault="00FD585C" w:rsidP="00D84166">
      <w:pPr>
        <w:widowControl w:val="0"/>
        <w:autoSpaceDE w:val="0"/>
        <w:autoSpaceDN w:val="0"/>
        <w:adjustRightInd w:val="0"/>
        <w:spacing w:after="0" w:line="240" w:lineRule="auto"/>
        <w:ind w:leftChars="0" w:left="425" w:hangingChars="193" w:hanging="425"/>
        <w:jc w:val="both"/>
        <w:rPr>
          <w:rFonts w:ascii="Times New Roman" w:hAnsi="Times New Roman"/>
          <w:noProof/>
        </w:rPr>
      </w:pPr>
      <w:r w:rsidRPr="00FD585C">
        <w:rPr>
          <w:rFonts w:ascii="Times New Roman" w:hAnsi="Times New Roman"/>
          <w:noProof/>
        </w:rPr>
        <w:t>[5]</w:t>
      </w:r>
      <w:r w:rsidRPr="00FD585C">
        <w:rPr>
          <w:rFonts w:ascii="Times New Roman" w:hAnsi="Times New Roman"/>
          <w:noProof/>
        </w:rPr>
        <w:tab/>
        <w:t>Direktorat Jenderal Perhubungan Laut, “Laporan Kinerja Instansi Pemerintah Tahun 2024,” 2024.</w:t>
      </w:r>
    </w:p>
    <w:p w14:paraId="4C3AA46A" w14:textId="77777777" w:rsidR="00FD585C" w:rsidRPr="00FD585C" w:rsidRDefault="00FD585C" w:rsidP="00D84166">
      <w:pPr>
        <w:widowControl w:val="0"/>
        <w:autoSpaceDE w:val="0"/>
        <w:autoSpaceDN w:val="0"/>
        <w:adjustRightInd w:val="0"/>
        <w:spacing w:after="0" w:line="240" w:lineRule="auto"/>
        <w:ind w:leftChars="0" w:left="425" w:hangingChars="193" w:hanging="425"/>
        <w:jc w:val="both"/>
        <w:rPr>
          <w:rFonts w:ascii="Times New Roman" w:hAnsi="Times New Roman"/>
          <w:noProof/>
        </w:rPr>
      </w:pPr>
      <w:r w:rsidRPr="00FD585C">
        <w:rPr>
          <w:rFonts w:ascii="Times New Roman" w:hAnsi="Times New Roman"/>
          <w:noProof/>
        </w:rPr>
        <w:t>[6]</w:t>
      </w:r>
      <w:r w:rsidRPr="00FD585C">
        <w:rPr>
          <w:rFonts w:ascii="Times New Roman" w:hAnsi="Times New Roman"/>
          <w:noProof/>
        </w:rPr>
        <w:tab/>
        <w:t>R. Nopiah, R. A. Ekaputri, and B. Andy, “Connectivity Infrastructure Spending and Its Indicator Achievement : Case Study of Southern Sumatra Region,” vol. 02, no. 02, 2024.</w:t>
      </w:r>
    </w:p>
    <w:p w14:paraId="00C252D3" w14:textId="77777777" w:rsidR="00FD585C" w:rsidRPr="00FD585C" w:rsidRDefault="00FD585C" w:rsidP="00D84166">
      <w:pPr>
        <w:widowControl w:val="0"/>
        <w:autoSpaceDE w:val="0"/>
        <w:autoSpaceDN w:val="0"/>
        <w:adjustRightInd w:val="0"/>
        <w:spacing w:after="0" w:line="240" w:lineRule="auto"/>
        <w:ind w:leftChars="0" w:left="425" w:hangingChars="193" w:hanging="425"/>
        <w:jc w:val="both"/>
        <w:rPr>
          <w:rFonts w:ascii="Times New Roman" w:hAnsi="Times New Roman"/>
          <w:noProof/>
        </w:rPr>
      </w:pPr>
      <w:r w:rsidRPr="00FD585C">
        <w:rPr>
          <w:rFonts w:ascii="Times New Roman" w:hAnsi="Times New Roman"/>
          <w:noProof/>
        </w:rPr>
        <w:t>[7]</w:t>
      </w:r>
      <w:r w:rsidRPr="00FD585C">
        <w:rPr>
          <w:rFonts w:ascii="Times New Roman" w:hAnsi="Times New Roman"/>
          <w:noProof/>
        </w:rPr>
        <w:tab/>
        <w:t xml:space="preserve">K. S. Susianti, A. A. I. S. Wahyuni, and F. Nofandi, “ANALISIS PENGOLAHAN SAMPAH DI KAPAL KMP. VIRGO 18 GUNA MENCEGAH PENCEMARAN LAUT SESUAI MARPOL 73/78 ANNEX V,” </w:t>
      </w:r>
      <w:r w:rsidRPr="00FD585C">
        <w:rPr>
          <w:rFonts w:ascii="Times New Roman" w:hAnsi="Times New Roman"/>
          <w:i/>
          <w:iCs/>
          <w:noProof/>
        </w:rPr>
        <w:t>Sh. Oper. Eng. Proceeding</w:t>
      </w:r>
      <w:r w:rsidRPr="00FD585C">
        <w:rPr>
          <w:rFonts w:ascii="Times New Roman" w:hAnsi="Times New Roman"/>
          <w:noProof/>
        </w:rPr>
        <w:t>, vol. 1, no. September, pp. 326–331, 2023.</w:t>
      </w:r>
    </w:p>
    <w:p w14:paraId="39F013BD" w14:textId="77777777" w:rsidR="00FD585C" w:rsidRPr="00FD585C" w:rsidRDefault="00FD585C" w:rsidP="00D84166">
      <w:pPr>
        <w:widowControl w:val="0"/>
        <w:autoSpaceDE w:val="0"/>
        <w:autoSpaceDN w:val="0"/>
        <w:adjustRightInd w:val="0"/>
        <w:spacing w:after="0" w:line="240" w:lineRule="auto"/>
        <w:ind w:leftChars="0" w:left="425" w:hangingChars="193" w:hanging="425"/>
        <w:jc w:val="both"/>
        <w:rPr>
          <w:rFonts w:ascii="Times New Roman" w:hAnsi="Times New Roman"/>
          <w:noProof/>
        </w:rPr>
      </w:pPr>
      <w:r w:rsidRPr="00FD585C">
        <w:rPr>
          <w:rFonts w:ascii="Times New Roman" w:hAnsi="Times New Roman"/>
          <w:noProof/>
        </w:rPr>
        <w:t>[8]</w:t>
      </w:r>
      <w:r w:rsidRPr="00FD585C">
        <w:rPr>
          <w:rFonts w:ascii="Times New Roman" w:hAnsi="Times New Roman"/>
          <w:noProof/>
        </w:rPr>
        <w:tab/>
        <w:t xml:space="preserve">D. Bulandari, Widodo, and B. A. Yulianto, “Tackling Offshore Oil Spills to Achieve Maritime Security in Indonesia,” </w:t>
      </w:r>
      <w:r w:rsidRPr="00FD585C">
        <w:rPr>
          <w:rFonts w:ascii="Times New Roman" w:hAnsi="Times New Roman"/>
          <w:i/>
          <w:iCs/>
          <w:noProof/>
        </w:rPr>
        <w:t>Int. J. Law Soc.</w:t>
      </w:r>
      <w:r w:rsidRPr="00FD585C">
        <w:rPr>
          <w:rFonts w:ascii="Times New Roman" w:hAnsi="Times New Roman"/>
          <w:noProof/>
        </w:rPr>
        <w:t>, vol. 1, no. 1, pp. 25–35, 2022, doi: 10.59683/ijls.v1i1.5.</w:t>
      </w:r>
    </w:p>
    <w:p w14:paraId="4A31FE25" w14:textId="77777777" w:rsidR="00FD585C" w:rsidRPr="00FD585C" w:rsidRDefault="00FD585C" w:rsidP="00D84166">
      <w:pPr>
        <w:widowControl w:val="0"/>
        <w:autoSpaceDE w:val="0"/>
        <w:autoSpaceDN w:val="0"/>
        <w:adjustRightInd w:val="0"/>
        <w:spacing w:after="0" w:line="240" w:lineRule="auto"/>
        <w:ind w:leftChars="0" w:left="425" w:hangingChars="193" w:hanging="425"/>
        <w:jc w:val="both"/>
        <w:rPr>
          <w:rFonts w:ascii="Times New Roman" w:hAnsi="Times New Roman"/>
          <w:noProof/>
        </w:rPr>
      </w:pPr>
      <w:r w:rsidRPr="00FD585C">
        <w:rPr>
          <w:rFonts w:ascii="Times New Roman" w:hAnsi="Times New Roman"/>
          <w:noProof/>
        </w:rPr>
        <w:t>[9]</w:t>
      </w:r>
      <w:r w:rsidRPr="00FD585C">
        <w:rPr>
          <w:rFonts w:ascii="Times New Roman" w:hAnsi="Times New Roman"/>
          <w:noProof/>
        </w:rPr>
        <w:tab/>
        <w:t>E. Nurmala, R. Sulastriani, and A. Mahyuzar, “Penerapan Garbage Management Plan sesuai Marpol Annex V di SV . Patrona 118 Implementation of the Garbage Management Plan by MARPOL Annex V on the SV . Patrona 118,” vol. 1, no. 2, pp. 24–32, 2024.</w:t>
      </w:r>
    </w:p>
    <w:p w14:paraId="7AEFB77E" w14:textId="77777777" w:rsidR="00FD585C" w:rsidRPr="00FD585C" w:rsidRDefault="00FD585C" w:rsidP="00D84166">
      <w:pPr>
        <w:widowControl w:val="0"/>
        <w:autoSpaceDE w:val="0"/>
        <w:autoSpaceDN w:val="0"/>
        <w:adjustRightInd w:val="0"/>
        <w:spacing w:after="0" w:line="240" w:lineRule="auto"/>
        <w:ind w:leftChars="0" w:left="425" w:hangingChars="193" w:hanging="425"/>
        <w:jc w:val="both"/>
        <w:rPr>
          <w:rFonts w:ascii="Times New Roman" w:hAnsi="Times New Roman"/>
          <w:noProof/>
        </w:rPr>
      </w:pPr>
      <w:r w:rsidRPr="00FD585C">
        <w:rPr>
          <w:rFonts w:ascii="Times New Roman" w:hAnsi="Times New Roman"/>
          <w:noProof/>
        </w:rPr>
        <w:t>[10]</w:t>
      </w:r>
      <w:r w:rsidRPr="00FD585C">
        <w:rPr>
          <w:rFonts w:ascii="Times New Roman" w:hAnsi="Times New Roman"/>
          <w:noProof/>
        </w:rPr>
        <w:tab/>
        <w:t xml:space="preserve">C. Serra-Gonçalves, J. L. Lavers, H. L. Tait, A. M. Fischer, and A. L. Bond, “Assessing the effectiveness of MARPOL Annex V at reducing marine debris on Australian beaches,” </w:t>
      </w:r>
      <w:r w:rsidRPr="00FD585C">
        <w:rPr>
          <w:rFonts w:ascii="Times New Roman" w:hAnsi="Times New Roman"/>
          <w:i/>
          <w:iCs/>
          <w:noProof/>
        </w:rPr>
        <w:t>Mar. Pollut. Bull.</w:t>
      </w:r>
      <w:r w:rsidRPr="00FD585C">
        <w:rPr>
          <w:rFonts w:ascii="Times New Roman" w:hAnsi="Times New Roman"/>
          <w:noProof/>
        </w:rPr>
        <w:t>, vol. 191, no. November 2022, p. 114929, 2023, doi: 10.1016/j.marpolbul.2023.114929.</w:t>
      </w:r>
    </w:p>
    <w:p w14:paraId="595F45BF" w14:textId="77777777" w:rsidR="00FD585C" w:rsidRPr="00FD585C" w:rsidRDefault="00FD585C" w:rsidP="00D84166">
      <w:pPr>
        <w:widowControl w:val="0"/>
        <w:autoSpaceDE w:val="0"/>
        <w:autoSpaceDN w:val="0"/>
        <w:adjustRightInd w:val="0"/>
        <w:spacing w:after="0" w:line="240" w:lineRule="auto"/>
        <w:ind w:leftChars="0" w:left="425" w:hangingChars="193" w:hanging="425"/>
        <w:jc w:val="both"/>
        <w:rPr>
          <w:rFonts w:ascii="Times New Roman" w:hAnsi="Times New Roman"/>
          <w:noProof/>
        </w:rPr>
      </w:pPr>
      <w:r w:rsidRPr="00FD585C">
        <w:rPr>
          <w:rFonts w:ascii="Times New Roman" w:hAnsi="Times New Roman"/>
          <w:noProof/>
        </w:rPr>
        <w:t>[11]</w:t>
      </w:r>
      <w:r w:rsidRPr="00FD585C">
        <w:rPr>
          <w:rFonts w:ascii="Times New Roman" w:hAnsi="Times New Roman"/>
          <w:noProof/>
        </w:rPr>
        <w:tab/>
        <w:t>S. Hoque, D. Andrioti, K. Pike, and M. Hasan, “Knowledge, Practice, And Economic Impacts Of COVID-19 On Small-Scale Coastal Fishing Communities In Bangladesh: Policy Recommendations For Improved Livelihoods,” no. January, 2020.</w:t>
      </w:r>
    </w:p>
    <w:p w14:paraId="37039CA9" w14:textId="77777777" w:rsidR="00FD585C" w:rsidRPr="00FD585C" w:rsidRDefault="00FD585C" w:rsidP="00D84166">
      <w:pPr>
        <w:widowControl w:val="0"/>
        <w:autoSpaceDE w:val="0"/>
        <w:autoSpaceDN w:val="0"/>
        <w:adjustRightInd w:val="0"/>
        <w:spacing w:after="0" w:line="240" w:lineRule="auto"/>
        <w:ind w:leftChars="0" w:left="425" w:hangingChars="193" w:hanging="425"/>
        <w:jc w:val="both"/>
        <w:rPr>
          <w:rFonts w:ascii="Times New Roman" w:hAnsi="Times New Roman"/>
          <w:noProof/>
        </w:rPr>
      </w:pPr>
      <w:r w:rsidRPr="00FD585C">
        <w:rPr>
          <w:rFonts w:ascii="Times New Roman" w:hAnsi="Times New Roman"/>
          <w:noProof/>
        </w:rPr>
        <w:lastRenderedPageBreak/>
        <w:t>[12]</w:t>
      </w:r>
      <w:r w:rsidRPr="00FD585C">
        <w:rPr>
          <w:rFonts w:ascii="Times New Roman" w:hAnsi="Times New Roman"/>
          <w:noProof/>
        </w:rPr>
        <w:tab/>
        <w:t xml:space="preserve">C. A. Aurora, D. K. Harjono, and B. Nadapdap, “Optimalisasi Peran Hukum Perusahaan Pelayaran Terhadap Pencegahan Pencemaran Laut Oleh Sampah Sesuai Marine Pollution (Marpol) 73/78 Annex-V Dari Kapal,” </w:t>
      </w:r>
      <w:r w:rsidRPr="00FD585C">
        <w:rPr>
          <w:rFonts w:ascii="Times New Roman" w:hAnsi="Times New Roman"/>
          <w:i/>
          <w:iCs/>
          <w:noProof/>
        </w:rPr>
        <w:t>J. Syntax Admiration</w:t>
      </w:r>
      <w:r w:rsidRPr="00FD585C">
        <w:rPr>
          <w:rFonts w:ascii="Times New Roman" w:hAnsi="Times New Roman"/>
          <w:noProof/>
        </w:rPr>
        <w:t>, vol. 4, no. 12, pp. 2444–2458, 2023, doi: 10.46799/jsa.v4i12.941.</w:t>
      </w:r>
    </w:p>
    <w:p w14:paraId="209DC4EE" w14:textId="77777777" w:rsidR="00FD585C" w:rsidRPr="00FD585C" w:rsidRDefault="00FD585C" w:rsidP="00D84166">
      <w:pPr>
        <w:widowControl w:val="0"/>
        <w:autoSpaceDE w:val="0"/>
        <w:autoSpaceDN w:val="0"/>
        <w:adjustRightInd w:val="0"/>
        <w:spacing w:after="0" w:line="240" w:lineRule="auto"/>
        <w:ind w:leftChars="0" w:left="425" w:hangingChars="193" w:hanging="425"/>
        <w:jc w:val="both"/>
        <w:rPr>
          <w:rFonts w:ascii="Times New Roman" w:hAnsi="Times New Roman"/>
          <w:noProof/>
        </w:rPr>
      </w:pPr>
      <w:r w:rsidRPr="00FD585C">
        <w:rPr>
          <w:rFonts w:ascii="Times New Roman" w:hAnsi="Times New Roman"/>
          <w:noProof/>
        </w:rPr>
        <w:t>[13]</w:t>
      </w:r>
      <w:r w:rsidRPr="00FD585C">
        <w:rPr>
          <w:rFonts w:ascii="Times New Roman" w:hAnsi="Times New Roman"/>
          <w:noProof/>
        </w:rPr>
        <w:tab/>
        <w:t xml:space="preserve">Y. Tanaka, </w:t>
      </w:r>
      <w:r w:rsidRPr="00FD585C">
        <w:rPr>
          <w:rFonts w:ascii="Times New Roman" w:hAnsi="Times New Roman"/>
          <w:i/>
          <w:iCs/>
          <w:noProof/>
        </w:rPr>
        <w:t>The International Law of the Sea</w:t>
      </w:r>
      <w:r w:rsidRPr="00FD585C">
        <w:rPr>
          <w:rFonts w:ascii="Times New Roman" w:hAnsi="Times New Roman"/>
          <w:noProof/>
        </w:rPr>
        <w:t>. Oxford: Oxford University Press, 2019.</w:t>
      </w:r>
    </w:p>
    <w:p w14:paraId="5F98A784" w14:textId="77777777" w:rsidR="00FD585C" w:rsidRPr="00FD585C" w:rsidRDefault="00FD585C" w:rsidP="00D84166">
      <w:pPr>
        <w:widowControl w:val="0"/>
        <w:autoSpaceDE w:val="0"/>
        <w:autoSpaceDN w:val="0"/>
        <w:adjustRightInd w:val="0"/>
        <w:spacing w:after="0" w:line="240" w:lineRule="auto"/>
        <w:ind w:leftChars="0" w:left="425" w:hangingChars="193" w:hanging="425"/>
        <w:jc w:val="both"/>
        <w:rPr>
          <w:rFonts w:ascii="Times New Roman" w:hAnsi="Times New Roman"/>
          <w:noProof/>
        </w:rPr>
      </w:pPr>
      <w:r w:rsidRPr="00FD585C">
        <w:rPr>
          <w:rFonts w:ascii="Times New Roman" w:hAnsi="Times New Roman"/>
          <w:noProof/>
        </w:rPr>
        <w:t>[14]</w:t>
      </w:r>
      <w:r w:rsidRPr="00FD585C">
        <w:rPr>
          <w:rFonts w:ascii="Times New Roman" w:hAnsi="Times New Roman"/>
          <w:noProof/>
        </w:rPr>
        <w:tab/>
        <w:t xml:space="preserve">International Maritime Organization, </w:t>
      </w:r>
      <w:r w:rsidRPr="00FD585C">
        <w:rPr>
          <w:rFonts w:ascii="Times New Roman" w:hAnsi="Times New Roman"/>
          <w:i/>
          <w:iCs/>
          <w:noProof/>
        </w:rPr>
        <w:t>MARPOL Articles, Protocols, Annexes and unified interpretations of the International Convention for the Prevention of Pollution from Ships, 1973, as modified by the 1978 and 1997 Protocols</w:t>
      </w:r>
      <w:r w:rsidRPr="00FD585C">
        <w:rPr>
          <w:rFonts w:ascii="Times New Roman" w:hAnsi="Times New Roman"/>
          <w:noProof/>
        </w:rPr>
        <w:t>. International Maritime Organization, 2022. doi: https://doi.org/10.62454/KF520E.</w:t>
      </w:r>
    </w:p>
    <w:p w14:paraId="7E5F509C" w14:textId="77777777" w:rsidR="00FD585C" w:rsidRPr="00FD585C" w:rsidRDefault="00FD585C" w:rsidP="00D84166">
      <w:pPr>
        <w:widowControl w:val="0"/>
        <w:autoSpaceDE w:val="0"/>
        <w:autoSpaceDN w:val="0"/>
        <w:adjustRightInd w:val="0"/>
        <w:spacing w:after="0" w:line="240" w:lineRule="auto"/>
        <w:ind w:leftChars="0" w:left="425" w:hangingChars="193" w:hanging="425"/>
        <w:jc w:val="both"/>
        <w:rPr>
          <w:rFonts w:ascii="Times New Roman" w:hAnsi="Times New Roman"/>
          <w:noProof/>
        </w:rPr>
      </w:pPr>
      <w:r w:rsidRPr="00FD585C">
        <w:rPr>
          <w:rFonts w:ascii="Times New Roman" w:hAnsi="Times New Roman"/>
          <w:noProof/>
        </w:rPr>
        <w:t>[15]</w:t>
      </w:r>
      <w:r w:rsidRPr="00FD585C">
        <w:rPr>
          <w:rFonts w:ascii="Times New Roman" w:hAnsi="Times New Roman"/>
          <w:noProof/>
        </w:rPr>
        <w:tab/>
        <w:t>L. Rees, “An analysis of MARPOL Regulation 43A through the principle of prevention by Leah Rees Submitted in partial fulfilment of the requirements for the degree LLM International Law In the Faculty of Law , University of Pretoria Supervisor : Dire Tladi © U n i v,” University of Pretoria, 2023.</w:t>
      </w:r>
    </w:p>
    <w:p w14:paraId="29A472D3" w14:textId="77777777" w:rsidR="00FD585C" w:rsidRPr="00FD585C" w:rsidRDefault="00FD585C" w:rsidP="00D84166">
      <w:pPr>
        <w:widowControl w:val="0"/>
        <w:autoSpaceDE w:val="0"/>
        <w:autoSpaceDN w:val="0"/>
        <w:adjustRightInd w:val="0"/>
        <w:spacing w:after="0" w:line="240" w:lineRule="auto"/>
        <w:ind w:leftChars="0" w:left="425" w:hangingChars="193" w:hanging="425"/>
        <w:jc w:val="both"/>
        <w:rPr>
          <w:rFonts w:ascii="Times New Roman" w:hAnsi="Times New Roman"/>
          <w:noProof/>
        </w:rPr>
      </w:pPr>
      <w:r w:rsidRPr="00FD585C">
        <w:rPr>
          <w:rFonts w:ascii="Times New Roman" w:hAnsi="Times New Roman"/>
          <w:noProof/>
        </w:rPr>
        <w:t>[16]</w:t>
      </w:r>
      <w:r w:rsidRPr="00FD585C">
        <w:rPr>
          <w:rFonts w:ascii="Times New Roman" w:hAnsi="Times New Roman"/>
          <w:noProof/>
        </w:rPr>
        <w:tab/>
        <w:t xml:space="preserve">Nursyamsu, H. M. Mansur, and S. S. Daeli, “Optimalisasi penerapan Marpol 73/78 Annex V pada KMP Legundi guna mencegah pencemaran laut,” </w:t>
      </w:r>
      <w:r w:rsidRPr="00FD585C">
        <w:rPr>
          <w:rFonts w:ascii="Times New Roman" w:hAnsi="Times New Roman"/>
          <w:i/>
          <w:iCs/>
          <w:noProof/>
        </w:rPr>
        <w:t>E-Journal Mar. Insid.</w:t>
      </w:r>
      <w:r w:rsidRPr="00FD585C">
        <w:rPr>
          <w:rFonts w:ascii="Times New Roman" w:hAnsi="Times New Roman"/>
          <w:noProof/>
        </w:rPr>
        <w:t>, vol. 5, no. December, pp. 17–23, 2023, doi: 10.62391/ejmi.v5i2.66.</w:t>
      </w:r>
    </w:p>
    <w:p w14:paraId="24D5CFC3" w14:textId="77777777" w:rsidR="00FD585C" w:rsidRPr="00FD585C" w:rsidRDefault="00FD585C" w:rsidP="00D84166">
      <w:pPr>
        <w:widowControl w:val="0"/>
        <w:autoSpaceDE w:val="0"/>
        <w:autoSpaceDN w:val="0"/>
        <w:adjustRightInd w:val="0"/>
        <w:spacing w:after="0" w:line="240" w:lineRule="auto"/>
        <w:ind w:leftChars="0" w:left="425" w:hangingChars="193" w:hanging="425"/>
        <w:jc w:val="both"/>
        <w:rPr>
          <w:rFonts w:ascii="Times New Roman" w:hAnsi="Times New Roman"/>
          <w:noProof/>
        </w:rPr>
      </w:pPr>
      <w:r w:rsidRPr="00FD585C">
        <w:rPr>
          <w:rFonts w:ascii="Times New Roman" w:hAnsi="Times New Roman"/>
          <w:noProof/>
        </w:rPr>
        <w:t>[17]</w:t>
      </w:r>
      <w:r w:rsidRPr="00FD585C">
        <w:rPr>
          <w:rFonts w:ascii="Times New Roman" w:hAnsi="Times New Roman"/>
          <w:noProof/>
        </w:rPr>
        <w:tab/>
        <w:t xml:space="preserve">Y. A. V. Winarni, “Implementasi Marine Pollution (MARPOL) 73/78 Annex V Peraturan Tentang Pencegahan Polusi Sampah/Limbah yang Berasal dari K.M Adhiguna Tarahan,” </w:t>
      </w:r>
      <w:r w:rsidRPr="00FD585C">
        <w:rPr>
          <w:rFonts w:ascii="Times New Roman" w:hAnsi="Times New Roman"/>
          <w:i/>
          <w:iCs/>
          <w:noProof/>
        </w:rPr>
        <w:t>J. Sains dan Teknol. Marit.</w:t>
      </w:r>
      <w:r w:rsidRPr="00FD585C">
        <w:rPr>
          <w:rFonts w:ascii="Times New Roman" w:hAnsi="Times New Roman"/>
          <w:noProof/>
        </w:rPr>
        <w:t>, vol. 23, no. 2, pp. 201–210, 2023.</w:t>
      </w:r>
    </w:p>
    <w:p w14:paraId="39902DC7" w14:textId="77777777" w:rsidR="00FD585C" w:rsidRPr="00FD585C" w:rsidRDefault="00FD585C" w:rsidP="00D84166">
      <w:pPr>
        <w:widowControl w:val="0"/>
        <w:autoSpaceDE w:val="0"/>
        <w:autoSpaceDN w:val="0"/>
        <w:adjustRightInd w:val="0"/>
        <w:spacing w:after="0" w:line="240" w:lineRule="auto"/>
        <w:ind w:leftChars="0" w:left="425" w:hangingChars="193" w:hanging="425"/>
        <w:jc w:val="both"/>
        <w:rPr>
          <w:rFonts w:ascii="Times New Roman" w:hAnsi="Times New Roman"/>
          <w:noProof/>
        </w:rPr>
      </w:pPr>
      <w:r w:rsidRPr="00FD585C">
        <w:rPr>
          <w:rFonts w:ascii="Times New Roman" w:hAnsi="Times New Roman"/>
          <w:noProof/>
        </w:rPr>
        <w:t>[18]</w:t>
      </w:r>
      <w:r w:rsidRPr="00FD585C">
        <w:rPr>
          <w:rFonts w:ascii="Times New Roman" w:hAnsi="Times New Roman"/>
          <w:noProof/>
        </w:rPr>
        <w:tab/>
        <w:t>GESAMP, “ANNEX 4 - GESAMP / EHS COMPOSITE LIST GESAMP Hazard Profiles EHS Name 8 June 2021 CAS No GESAMP Hazard Profiles 8 June 2021 A1a A1b,” 2022.</w:t>
      </w:r>
    </w:p>
    <w:p w14:paraId="6B38FF23" w14:textId="77777777" w:rsidR="00FD585C" w:rsidRPr="00FD585C" w:rsidRDefault="00FD585C" w:rsidP="00D84166">
      <w:pPr>
        <w:widowControl w:val="0"/>
        <w:autoSpaceDE w:val="0"/>
        <w:autoSpaceDN w:val="0"/>
        <w:adjustRightInd w:val="0"/>
        <w:spacing w:after="0" w:line="240" w:lineRule="auto"/>
        <w:ind w:leftChars="0" w:left="425" w:hangingChars="193" w:hanging="425"/>
        <w:jc w:val="both"/>
        <w:rPr>
          <w:rFonts w:ascii="Times New Roman" w:hAnsi="Times New Roman"/>
          <w:noProof/>
        </w:rPr>
      </w:pPr>
      <w:r w:rsidRPr="00FD585C">
        <w:rPr>
          <w:rFonts w:ascii="Times New Roman" w:hAnsi="Times New Roman"/>
          <w:noProof/>
        </w:rPr>
        <w:t>[19]</w:t>
      </w:r>
      <w:r w:rsidRPr="00FD585C">
        <w:rPr>
          <w:rFonts w:ascii="Times New Roman" w:hAnsi="Times New Roman"/>
          <w:noProof/>
        </w:rPr>
        <w:tab/>
        <w:t>United Nation Inland Transport, “Economic and Social Council World Forum for Harmonization of Vehicle Regul</w:t>
      </w:r>
      <w:r w:rsidRPr="00FD585C">
        <w:rPr>
          <w:rFonts w:ascii="Times New Roman" w:hAnsi="Times New Roman"/>
          <w:noProof/>
        </w:rPr>
        <w:t>ations,” 2023.</w:t>
      </w:r>
    </w:p>
    <w:p w14:paraId="04A0C560" w14:textId="77777777" w:rsidR="00FD585C" w:rsidRPr="00FD585C" w:rsidRDefault="00FD585C" w:rsidP="00D84166">
      <w:pPr>
        <w:widowControl w:val="0"/>
        <w:autoSpaceDE w:val="0"/>
        <w:autoSpaceDN w:val="0"/>
        <w:adjustRightInd w:val="0"/>
        <w:spacing w:after="0" w:line="240" w:lineRule="auto"/>
        <w:ind w:leftChars="0" w:left="425" w:hangingChars="193" w:hanging="425"/>
        <w:jc w:val="both"/>
        <w:rPr>
          <w:rFonts w:ascii="Times New Roman" w:hAnsi="Times New Roman"/>
          <w:noProof/>
        </w:rPr>
      </w:pPr>
      <w:r w:rsidRPr="00FD585C">
        <w:rPr>
          <w:rFonts w:ascii="Times New Roman" w:hAnsi="Times New Roman"/>
          <w:noProof/>
        </w:rPr>
        <w:t>[20]</w:t>
      </w:r>
      <w:r w:rsidRPr="00FD585C">
        <w:rPr>
          <w:rFonts w:ascii="Times New Roman" w:hAnsi="Times New Roman"/>
          <w:noProof/>
        </w:rPr>
        <w:tab/>
        <w:t xml:space="preserve">A. S. Chairunnisa, “Legal and Practical Aspects of MARPOL Port State Control Inspections,” in </w:t>
      </w:r>
      <w:r w:rsidRPr="00FD585C">
        <w:rPr>
          <w:rFonts w:ascii="Times New Roman" w:hAnsi="Times New Roman"/>
          <w:i/>
          <w:iCs/>
          <w:noProof/>
        </w:rPr>
        <w:t>Marine Pollution</w:t>
      </w:r>
      <w:r w:rsidRPr="00FD585C">
        <w:rPr>
          <w:rFonts w:ascii="Times New Roman" w:hAnsi="Times New Roman"/>
          <w:noProof/>
        </w:rPr>
        <w:t>, 2020.</w:t>
      </w:r>
    </w:p>
    <w:p w14:paraId="26C09778" w14:textId="77777777" w:rsidR="00FD585C" w:rsidRPr="00FD585C" w:rsidRDefault="00FD585C" w:rsidP="00D84166">
      <w:pPr>
        <w:widowControl w:val="0"/>
        <w:autoSpaceDE w:val="0"/>
        <w:autoSpaceDN w:val="0"/>
        <w:adjustRightInd w:val="0"/>
        <w:spacing w:after="0" w:line="240" w:lineRule="auto"/>
        <w:ind w:leftChars="0" w:left="425" w:hangingChars="193" w:hanging="425"/>
        <w:jc w:val="both"/>
        <w:rPr>
          <w:rFonts w:ascii="Times New Roman" w:hAnsi="Times New Roman"/>
          <w:noProof/>
        </w:rPr>
      </w:pPr>
      <w:r w:rsidRPr="00FD585C">
        <w:rPr>
          <w:rFonts w:ascii="Times New Roman" w:hAnsi="Times New Roman"/>
          <w:noProof/>
        </w:rPr>
        <w:t>[21]</w:t>
      </w:r>
      <w:r w:rsidRPr="00FD585C">
        <w:rPr>
          <w:rFonts w:ascii="Times New Roman" w:hAnsi="Times New Roman"/>
          <w:noProof/>
        </w:rPr>
        <w:tab/>
        <w:t xml:space="preserve">H. Palippui, “Environmental Performance of the Shipping Industry : A Case Study of MARPOL Violations,” in </w:t>
      </w:r>
      <w:r w:rsidRPr="00FD585C">
        <w:rPr>
          <w:rFonts w:ascii="Times New Roman" w:hAnsi="Times New Roman"/>
          <w:i/>
          <w:iCs/>
          <w:noProof/>
        </w:rPr>
        <w:t>Marine Pollution</w:t>
      </w:r>
      <w:r w:rsidRPr="00FD585C">
        <w:rPr>
          <w:rFonts w:ascii="Times New Roman" w:hAnsi="Times New Roman"/>
          <w:noProof/>
        </w:rPr>
        <w:t>, 2020.</w:t>
      </w:r>
    </w:p>
    <w:p w14:paraId="457F94C9" w14:textId="77777777" w:rsidR="00FD585C" w:rsidRPr="00FD585C" w:rsidRDefault="00FD585C" w:rsidP="00D84166">
      <w:pPr>
        <w:widowControl w:val="0"/>
        <w:autoSpaceDE w:val="0"/>
        <w:autoSpaceDN w:val="0"/>
        <w:adjustRightInd w:val="0"/>
        <w:spacing w:after="0" w:line="240" w:lineRule="auto"/>
        <w:ind w:leftChars="0" w:left="425" w:hangingChars="193" w:hanging="425"/>
        <w:jc w:val="both"/>
        <w:rPr>
          <w:rFonts w:ascii="Times New Roman" w:hAnsi="Times New Roman"/>
          <w:noProof/>
        </w:rPr>
      </w:pPr>
      <w:r w:rsidRPr="00FD585C">
        <w:rPr>
          <w:rFonts w:ascii="Times New Roman" w:hAnsi="Times New Roman"/>
          <w:noProof/>
        </w:rPr>
        <w:t>[22]</w:t>
      </w:r>
      <w:r w:rsidRPr="00FD585C">
        <w:rPr>
          <w:rFonts w:ascii="Times New Roman" w:hAnsi="Times New Roman"/>
          <w:noProof/>
        </w:rPr>
        <w:tab/>
        <w:t xml:space="preserve">I. Rachman, “Sustainable Competitive Advantage in Indonesia’s Bioethanol Industry: Key Variables and Ecosystem Model,” </w:t>
      </w:r>
      <w:r w:rsidRPr="00FD585C">
        <w:rPr>
          <w:rFonts w:ascii="Times New Roman" w:hAnsi="Times New Roman"/>
          <w:i/>
          <w:iCs/>
          <w:noProof/>
        </w:rPr>
        <w:t>J. Appl. Sci. Eng. Technol. Educ.</w:t>
      </w:r>
      <w:r w:rsidRPr="00FD585C">
        <w:rPr>
          <w:rFonts w:ascii="Times New Roman" w:hAnsi="Times New Roman"/>
          <w:noProof/>
        </w:rPr>
        <w:t>, vol. 7, no. 1, pp. 1–16, 2025, doi: 10.35877/454RI.asci3784.</w:t>
      </w:r>
    </w:p>
    <w:p w14:paraId="077745E4" w14:textId="7E78F7B0" w:rsidR="00362367" w:rsidRDefault="00FF4CD3" w:rsidP="00D84166">
      <w:pPr>
        <w:spacing w:after="0" w:line="240" w:lineRule="auto"/>
        <w:ind w:leftChars="0" w:left="425" w:hangingChars="193" w:hanging="425"/>
        <w:jc w:val="both"/>
        <w:rPr>
          <w:rFonts w:ascii="Times New Roman" w:eastAsia="Times New Roman" w:hAnsi="Times New Roman"/>
        </w:rPr>
      </w:pPr>
      <w:r>
        <w:rPr>
          <w:rFonts w:ascii="Times New Roman" w:eastAsia="Times New Roman" w:hAnsi="Times New Roman"/>
        </w:rPr>
        <w:fldChar w:fldCharType="end"/>
      </w:r>
    </w:p>
    <w:p w14:paraId="05C0DFCC" w14:textId="77777777" w:rsidR="00362367" w:rsidRDefault="00362367">
      <w:pPr>
        <w:spacing w:after="0" w:line="240" w:lineRule="auto"/>
        <w:ind w:left="0" w:hanging="2"/>
        <w:jc w:val="both"/>
        <w:rPr>
          <w:rFonts w:ascii="Times New Roman" w:eastAsia="Times New Roman" w:hAnsi="Times New Roman"/>
        </w:rPr>
      </w:pPr>
    </w:p>
    <w:p w14:paraId="53564FC7" w14:textId="77777777" w:rsidR="00362367" w:rsidRDefault="00362367">
      <w:pPr>
        <w:spacing w:after="0" w:line="240" w:lineRule="auto"/>
        <w:ind w:left="0" w:hanging="2"/>
        <w:jc w:val="both"/>
        <w:rPr>
          <w:rFonts w:ascii="Times New Roman" w:eastAsia="Times New Roman" w:hAnsi="Times New Roman"/>
        </w:rPr>
      </w:pPr>
    </w:p>
    <w:p w14:paraId="313F67C0" w14:textId="77777777" w:rsidR="00362367" w:rsidRDefault="00362367">
      <w:pPr>
        <w:spacing w:after="0" w:line="240" w:lineRule="auto"/>
        <w:ind w:left="0" w:hanging="2"/>
        <w:jc w:val="both"/>
        <w:rPr>
          <w:rFonts w:ascii="Times New Roman" w:eastAsia="Times New Roman" w:hAnsi="Times New Roman"/>
        </w:rPr>
      </w:pPr>
    </w:p>
    <w:sectPr w:rsidR="00362367">
      <w:type w:val="continuous"/>
      <w:pgSz w:w="11906" w:h="16838"/>
      <w:pgMar w:top="1134" w:right="1134" w:bottom="1134" w:left="1134" w:header="709" w:footer="709" w:gutter="0"/>
      <w:cols w:num="2" w:space="720" w:equalWidth="0">
        <w:col w:w="4535" w:space="567"/>
        <w:col w:w="4535"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0B5C28" w14:textId="77777777" w:rsidR="006703D7" w:rsidRDefault="006703D7">
      <w:pPr>
        <w:spacing w:after="0" w:line="240" w:lineRule="auto"/>
        <w:ind w:left="0" w:hanging="2"/>
      </w:pPr>
      <w:r>
        <w:separator/>
      </w:r>
    </w:p>
  </w:endnote>
  <w:endnote w:type="continuationSeparator" w:id="0">
    <w:p w14:paraId="32C64C12" w14:textId="77777777" w:rsidR="006703D7" w:rsidRDefault="006703D7">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A0E6BC4-0920-42C7-B87F-6E01EAFFD4E5}"/>
    <w:embedBold r:id="rId2" w:fontKey="{1455FB57-C301-4A48-9074-D92BC1F31AFB}"/>
    <w:embedItalic r:id="rId3" w:fontKey="{9B9F99A9-C811-41A2-847D-7D3977CC924B}"/>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embedRegular r:id="rId4" w:fontKey="{6843E491-BB88-4CD3-85F2-832B3005B287}"/>
  </w:font>
  <w:font w:name="Consolas">
    <w:panose1 w:val="020B0609020204030204"/>
    <w:charset w:val="00"/>
    <w:family w:val="modern"/>
    <w:pitch w:val="fixed"/>
    <w:sig w:usb0="E00006FF" w:usb1="0000FCFF" w:usb2="00000001" w:usb3="00000000" w:csb0="0000019F" w:csb1="00000000"/>
    <w:embedRegular r:id="rId5" w:fontKey="{09BEACC0-B88F-42F9-BB7A-83A851869E4C}"/>
  </w:font>
  <w:font w:name="Georgia">
    <w:panose1 w:val="02040502050405020303"/>
    <w:charset w:val="00"/>
    <w:family w:val="roman"/>
    <w:pitch w:val="variable"/>
    <w:sig w:usb0="00000287" w:usb1="00000000" w:usb2="00000000" w:usb3="00000000" w:csb0="0000009F" w:csb1="00000000"/>
    <w:embedRegular r:id="rId6" w:fontKey="{FD048019-BD52-4B48-94D8-706BB4D74E0C}"/>
    <w:embedItalic r:id="rId7" w:fontKey="{63A90F39-2D51-4A86-88FD-02B31EE48B06}"/>
  </w:font>
  <w:font w:name="Cambria">
    <w:panose1 w:val="02040503050406030204"/>
    <w:charset w:val="00"/>
    <w:family w:val="roman"/>
    <w:pitch w:val="variable"/>
    <w:sig w:usb0="E00006FF" w:usb1="420024FF" w:usb2="02000000" w:usb3="00000000" w:csb0="0000019F" w:csb1="00000000"/>
    <w:embedRegular r:id="rId8" w:fontKey="{5F3F1C79-CB32-4F1E-AD2F-6B7F9C1F9E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2B1B9" w14:textId="77777777" w:rsidR="00362367" w:rsidRDefault="00000000">
    <w:pPr>
      <w:pBdr>
        <w:top w:val="nil"/>
        <w:left w:val="nil"/>
        <w:bottom w:val="nil"/>
        <w:right w:val="nil"/>
        <w:between w:val="nil"/>
      </w:pBdr>
      <w:tabs>
        <w:tab w:val="center" w:pos="4513"/>
        <w:tab w:val="right" w:pos="9026"/>
        <w:tab w:val="center" w:pos="4513"/>
        <w:tab w:val="right" w:pos="9639"/>
      </w:tabs>
      <w:spacing w:after="0" w:line="240" w:lineRule="auto"/>
      <w:ind w:left="0" w:hanging="2"/>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METEOR, Vol. XX, No. XX Month 20XX</w:t>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fldChar w:fldCharType="begin"/>
    </w:r>
    <w:r>
      <w:rPr>
        <w:rFonts w:ascii="Times New Roman" w:eastAsia="Times New Roman" w:hAnsi="Times New Roman"/>
        <w:color w:val="000000"/>
        <w:sz w:val="24"/>
        <w:szCs w:val="24"/>
      </w:rPr>
      <w:instrText>PAGE</w:instrText>
    </w:r>
    <w:r>
      <w:rPr>
        <w:rFonts w:ascii="Times New Roman" w:eastAsia="Times New Roman" w:hAnsi="Times New Roman"/>
        <w:color w:val="000000"/>
        <w:sz w:val="24"/>
        <w:szCs w:val="24"/>
      </w:rPr>
      <w:fldChar w:fldCharType="separate"/>
    </w:r>
    <w:r w:rsidR="00B332B6">
      <w:rPr>
        <w:rFonts w:ascii="Times New Roman" w:eastAsia="Times New Roman" w:hAnsi="Times New Roman"/>
        <w:noProof/>
        <w:color w:val="000000"/>
        <w:sz w:val="24"/>
        <w:szCs w:val="24"/>
      </w:rPr>
      <w:t>1</w:t>
    </w:r>
    <w:r>
      <w:rPr>
        <w:rFonts w:ascii="Times New Roman" w:eastAsia="Times New Roman" w:hAnsi="Times New Roman"/>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FC420F" w14:textId="77777777" w:rsidR="006703D7" w:rsidRDefault="006703D7">
      <w:pPr>
        <w:spacing w:after="0" w:line="240" w:lineRule="auto"/>
        <w:ind w:left="0" w:hanging="2"/>
      </w:pPr>
      <w:r>
        <w:separator/>
      </w:r>
    </w:p>
  </w:footnote>
  <w:footnote w:type="continuationSeparator" w:id="0">
    <w:p w14:paraId="33147D99" w14:textId="77777777" w:rsidR="006703D7" w:rsidRDefault="006703D7">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AC1D3A"/>
    <w:multiLevelType w:val="multilevel"/>
    <w:tmpl w:val="EA3CC2C4"/>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975452729">
    <w:abstractNumId w:val="0"/>
  </w:num>
  <w:num w:numId="2" w16cid:durableId="17845715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2367"/>
    <w:rsid w:val="00096B2C"/>
    <w:rsid w:val="000A149A"/>
    <w:rsid w:val="000A606E"/>
    <w:rsid w:val="000C593E"/>
    <w:rsid w:val="00141B89"/>
    <w:rsid w:val="00151106"/>
    <w:rsid w:val="00331399"/>
    <w:rsid w:val="00362367"/>
    <w:rsid w:val="003C3DAA"/>
    <w:rsid w:val="003C7FC9"/>
    <w:rsid w:val="003E5669"/>
    <w:rsid w:val="00455027"/>
    <w:rsid w:val="0047271F"/>
    <w:rsid w:val="004727AB"/>
    <w:rsid w:val="0054620D"/>
    <w:rsid w:val="006703D7"/>
    <w:rsid w:val="0067503D"/>
    <w:rsid w:val="00717390"/>
    <w:rsid w:val="007931EE"/>
    <w:rsid w:val="009050F6"/>
    <w:rsid w:val="00942161"/>
    <w:rsid w:val="009F3F4F"/>
    <w:rsid w:val="00AC1881"/>
    <w:rsid w:val="00B23257"/>
    <w:rsid w:val="00B247D3"/>
    <w:rsid w:val="00B332B6"/>
    <w:rsid w:val="00B71D29"/>
    <w:rsid w:val="00C25971"/>
    <w:rsid w:val="00C4783F"/>
    <w:rsid w:val="00C531E8"/>
    <w:rsid w:val="00D42BF6"/>
    <w:rsid w:val="00D70035"/>
    <w:rsid w:val="00D84166"/>
    <w:rsid w:val="00FA3108"/>
    <w:rsid w:val="00FD585C"/>
    <w:rsid w:val="00FF4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BC36FC"/>
  <w15:docId w15:val="{9634F790-FE4C-41BD-B32F-0DC8FDBDF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zh-C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5669"/>
    <w:pPr>
      <w:suppressAutoHyphens/>
      <w:ind w:leftChars="-1" w:left="-1" w:hangingChars="1" w:hanging="1"/>
      <w:textDirection w:val="btLr"/>
      <w:textAlignment w:val="top"/>
      <w:outlineLvl w:val="0"/>
    </w:pPr>
    <w:rPr>
      <w:rFonts w:cs="Times New Roman"/>
      <w:position w:val="-1"/>
      <w:lang w:val="id-ID"/>
    </w:rPr>
  </w:style>
  <w:style w:type="paragraph" w:styleId="Heading1">
    <w:name w:val="heading 1"/>
    <w:basedOn w:val="Normal"/>
    <w:next w:val="Normal"/>
    <w:uiPriority w:val="9"/>
    <w:qFormat/>
    <w:pPr>
      <w:keepNext/>
      <w:numPr>
        <w:numId w:val="1"/>
      </w:numPr>
      <w:suppressAutoHyphens w:val="0"/>
      <w:spacing w:after="115" w:line="240" w:lineRule="auto"/>
      <w:ind w:left="-1" w:hanging="1"/>
    </w:pPr>
    <w:rPr>
      <w:rFonts w:ascii="Times New Roman" w:eastAsia="Times New Roman" w:hAnsi="Times New Roman"/>
      <w:b/>
      <w:smallCaps/>
      <w:szCs w:val="20"/>
      <w:lang w:eastAsia="zh-CN"/>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rPr>
      <w:rFonts w:ascii="Times New Roman" w:eastAsia="Times New Roman" w:hAnsi="Times New Roman"/>
      <w:b/>
      <w:smallCaps/>
      <w:w w:val="100"/>
      <w:position w:val="-1"/>
      <w:sz w:val="22"/>
      <w:effect w:val="none"/>
      <w:vertAlign w:val="baseline"/>
      <w:cs w:val="0"/>
      <w:em w:val="none"/>
      <w:lang w:val="id-ID" w:eastAsia="zh-CN"/>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pPr>
      <w:spacing w:line="240" w:lineRule="auto"/>
    </w:pPr>
    <w:rPr>
      <w:sz w:val="20"/>
      <w:szCs w:val="20"/>
    </w:rPr>
  </w:style>
  <w:style w:type="character" w:customStyle="1" w:styleId="CommentTextChar">
    <w:name w:val="Comment Text Char"/>
    <w:rPr>
      <w:w w:val="100"/>
      <w:position w:val="-1"/>
      <w:sz w:val="20"/>
      <w:szCs w:val="20"/>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sz w:val="20"/>
      <w:szCs w:val="20"/>
      <w:effect w:val="none"/>
      <w:vertAlign w:val="baseline"/>
      <w:cs w:val="0"/>
      <w:em w:val="none"/>
    </w:rPr>
  </w:style>
  <w:style w:type="character" w:styleId="Emphasis">
    <w:name w:val="Emphasis"/>
    <w:rPr>
      <w:i/>
      <w:iCs/>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rPr>
      <w:w w:val="100"/>
      <w:position w:val="-1"/>
      <w:effect w:val="none"/>
      <w:vertAlign w:val="baseline"/>
      <w:cs w:val="0"/>
      <w:em w:val="none"/>
    </w:rPr>
  </w:style>
  <w:style w:type="character" w:styleId="FootnoteReference">
    <w:name w:val="footnote reference"/>
    <w:qFormat/>
    <w:rPr>
      <w:w w:val="100"/>
      <w:position w:val="-1"/>
      <w:effect w:val="none"/>
      <w:vertAlign w:val="superscript"/>
      <w:cs w:val="0"/>
      <w:em w:val="none"/>
    </w:rPr>
  </w:style>
  <w:style w:type="paragraph" w:styleId="FootnoteText">
    <w:name w:val="footnote text"/>
    <w:basedOn w:val="Normal"/>
    <w:qFormat/>
    <w:pPr>
      <w:spacing w:after="0" w:line="240" w:lineRule="auto"/>
    </w:pPr>
    <w:rPr>
      <w:sz w:val="20"/>
      <w:szCs w:val="20"/>
    </w:rPr>
  </w:style>
  <w:style w:type="character" w:customStyle="1" w:styleId="FootnoteTextChar">
    <w:name w:val="Footnote Text Char"/>
    <w:rPr>
      <w:w w:val="100"/>
      <w:position w:val="-1"/>
      <w:sz w:val="20"/>
      <w:szCs w:val="20"/>
      <w:effect w:val="none"/>
      <w:vertAlign w:val="baseline"/>
      <w:cs w:val="0"/>
      <w:em w:val="none"/>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rPr>
      <w:w w:val="100"/>
      <w:position w:val="-1"/>
      <w:effect w:val="none"/>
      <w:vertAlign w:val="baseline"/>
      <w:cs w:val="0"/>
      <w:em w:val="none"/>
    </w:rPr>
  </w:style>
  <w:style w:type="paragraph" w:styleId="HTMLPreformatted">
    <w:name w:val="HTML Preformatted"/>
    <w:basedOn w:val="Normal"/>
    <w:qFormat/>
    <w:pPr>
      <w:spacing w:after="0" w:line="240" w:lineRule="auto"/>
    </w:pPr>
    <w:rPr>
      <w:rFonts w:ascii="Consolas" w:hAnsi="Consolas"/>
      <w:sz w:val="20"/>
      <w:szCs w:val="20"/>
    </w:rPr>
  </w:style>
  <w:style w:type="character" w:customStyle="1" w:styleId="HTMLPreformattedChar">
    <w:name w:val="HTML Preformatted Char"/>
    <w:rPr>
      <w:rFonts w:ascii="Consolas" w:hAnsi="Consolas"/>
      <w:w w:val="100"/>
      <w:position w:val="-1"/>
      <w:sz w:val="20"/>
      <w:szCs w:val="20"/>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Times New Roman" w:eastAsia="Times New Roman" w:hAnsi="Times New Roman"/>
      <w:position w:val="-1"/>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pPr>
      <w:ind w:left="720"/>
      <w:contextualSpacing/>
    </w:pPr>
  </w:style>
  <w:style w:type="character" w:customStyle="1" w:styleId="shorttext">
    <w:name w:val="short_text"/>
    <w:rPr>
      <w:w w:val="100"/>
      <w:position w:val="-1"/>
      <w:effect w:val="none"/>
      <w:vertAlign w:val="baseline"/>
      <w:cs w:val="0"/>
      <w:em w:val="none"/>
    </w:rPr>
  </w:style>
  <w:style w:type="table" w:customStyle="1" w:styleId="PlainTable21">
    <w:name w:val="Plain Table 21"/>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7E7E7E"/>
        <w:bottom w:val="single" w:sz="4" w:space="0" w:color="7E7E7E"/>
      </w:tblBorders>
    </w:tblPr>
  </w:style>
  <w:style w:type="character" w:styleId="Mention">
    <w:name w:val="Mention"/>
    <w:qFormat/>
    <w:rPr>
      <w:color w:val="2B579A"/>
      <w:w w:val="100"/>
      <w:position w:val="-1"/>
      <w:effect w:val="none"/>
      <w:shd w:val="clear" w:color="auto" w:fill="E6E6E6"/>
      <w:vertAlign w:val="baseline"/>
      <w:cs w:val="0"/>
      <w:em w:val="none"/>
    </w:rPr>
  </w:style>
  <w:style w:type="character" w:styleId="PlaceholderText">
    <w:name w:val="Placeholder Text"/>
    <w:rPr>
      <w:color w:val="808080"/>
      <w:w w:val="100"/>
      <w:position w:val="-1"/>
      <w:effect w:val="none"/>
      <w:vertAlign w:val="baseline"/>
      <w:cs w:val="0"/>
      <w:em w:val="none"/>
    </w:rPr>
  </w:style>
  <w:style w:type="paragraph" w:customStyle="1" w:styleId="JSKReferenceItem">
    <w:name w:val="JSK Reference Item"/>
    <w:basedOn w:val="Normal"/>
    <w:pPr>
      <w:tabs>
        <w:tab w:val="left" w:pos="432"/>
        <w:tab w:val="num" w:pos="720"/>
      </w:tabs>
      <w:suppressAutoHyphens w:val="0"/>
      <w:spacing w:after="0" w:line="240" w:lineRule="auto"/>
      <w:jc w:val="both"/>
    </w:pPr>
    <w:rPr>
      <w:rFonts w:ascii="Times New Roman" w:eastAsia="Times New Roman" w:hAnsi="Times New Roman"/>
      <w:sz w:val="16"/>
      <w:szCs w:val="24"/>
      <w:lang w:eastAsia="zh-CN"/>
    </w:rPr>
  </w:style>
  <w:style w:type="paragraph" w:styleId="Bibliography">
    <w:name w:val="Bibliography"/>
    <w:basedOn w:val="Normal"/>
    <w:next w:val="Normal"/>
    <w:qFormat/>
    <w:pPr>
      <w:spacing w:after="160" w:line="256" w:lineRule="auto"/>
    </w:pPr>
    <w:rPr>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rPr>
    <w:tblPr>
      <w:tblStyleRowBandSize w:val="1"/>
      <w:tblStyleColBandSize w:val="1"/>
    </w:tblPr>
  </w:style>
  <w:style w:type="table" w:customStyle="1" w:styleId="a0">
    <w:basedOn w:val="TableNormal"/>
    <w:rPr>
      <w:rFonts w:ascii="Times New Roman" w:eastAsia="Times New Roman" w:hAnsi="Times New Roman" w:cs="Times New Roman"/>
    </w:rPr>
    <w:tblPr>
      <w:tblStyleRowBandSize w:val="1"/>
      <w:tblStyleColBandSize w:val="1"/>
    </w:tblPr>
  </w:style>
  <w:style w:type="table" w:customStyle="1" w:styleId="a1">
    <w:basedOn w:val="TableNormal"/>
    <w:rPr>
      <w:rFonts w:ascii="Times New Roman" w:eastAsia="Times New Roman" w:hAnsi="Times New Roman" w:cs="Times New Roman"/>
    </w:rPr>
    <w:tblPr>
      <w:tblStyleRowBandSize w:val="1"/>
      <w:tblStyleColBandSize w:val="1"/>
    </w:tblPr>
  </w:style>
  <w:style w:type="table" w:customStyle="1" w:styleId="a2">
    <w:basedOn w:val="TableNormal"/>
    <w:rPr>
      <w:rFonts w:ascii="Times New Roman" w:eastAsia="Times New Roman" w:hAnsi="Times New Roman" w:cs="Times New Roman"/>
    </w:rPr>
    <w:tblPr>
      <w:tblStyleRowBandSize w:val="1"/>
      <w:tblStyleColBandSize w:val="1"/>
    </w:tblPr>
  </w:style>
  <w:style w:type="table" w:customStyle="1" w:styleId="a3">
    <w:basedOn w:val="TableNormal"/>
    <w:rPr>
      <w:rFonts w:ascii="Times New Roman" w:eastAsia="Times New Roman" w:hAnsi="Times New Roman" w:cs="Times New Roman"/>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273779">
      <w:bodyDiv w:val="1"/>
      <w:marLeft w:val="0"/>
      <w:marRight w:val="0"/>
      <w:marTop w:val="0"/>
      <w:marBottom w:val="0"/>
      <w:divBdr>
        <w:top w:val="none" w:sz="0" w:space="0" w:color="auto"/>
        <w:left w:val="none" w:sz="0" w:space="0" w:color="auto"/>
        <w:bottom w:val="none" w:sz="0" w:space="0" w:color="auto"/>
        <w:right w:val="none" w:sz="0" w:space="0" w:color="auto"/>
      </w:divBdr>
    </w:div>
    <w:div w:id="93748182">
      <w:bodyDiv w:val="1"/>
      <w:marLeft w:val="0"/>
      <w:marRight w:val="0"/>
      <w:marTop w:val="0"/>
      <w:marBottom w:val="0"/>
      <w:divBdr>
        <w:top w:val="none" w:sz="0" w:space="0" w:color="auto"/>
        <w:left w:val="none" w:sz="0" w:space="0" w:color="auto"/>
        <w:bottom w:val="none" w:sz="0" w:space="0" w:color="auto"/>
        <w:right w:val="none" w:sz="0" w:space="0" w:color="auto"/>
      </w:divBdr>
    </w:div>
    <w:div w:id="124324551">
      <w:bodyDiv w:val="1"/>
      <w:marLeft w:val="0"/>
      <w:marRight w:val="0"/>
      <w:marTop w:val="0"/>
      <w:marBottom w:val="0"/>
      <w:divBdr>
        <w:top w:val="none" w:sz="0" w:space="0" w:color="auto"/>
        <w:left w:val="none" w:sz="0" w:space="0" w:color="auto"/>
        <w:bottom w:val="none" w:sz="0" w:space="0" w:color="auto"/>
        <w:right w:val="none" w:sz="0" w:space="0" w:color="auto"/>
      </w:divBdr>
    </w:div>
    <w:div w:id="147788996">
      <w:bodyDiv w:val="1"/>
      <w:marLeft w:val="0"/>
      <w:marRight w:val="0"/>
      <w:marTop w:val="0"/>
      <w:marBottom w:val="0"/>
      <w:divBdr>
        <w:top w:val="none" w:sz="0" w:space="0" w:color="auto"/>
        <w:left w:val="none" w:sz="0" w:space="0" w:color="auto"/>
        <w:bottom w:val="none" w:sz="0" w:space="0" w:color="auto"/>
        <w:right w:val="none" w:sz="0" w:space="0" w:color="auto"/>
      </w:divBdr>
    </w:div>
    <w:div w:id="189950285">
      <w:bodyDiv w:val="1"/>
      <w:marLeft w:val="0"/>
      <w:marRight w:val="0"/>
      <w:marTop w:val="0"/>
      <w:marBottom w:val="0"/>
      <w:divBdr>
        <w:top w:val="none" w:sz="0" w:space="0" w:color="auto"/>
        <w:left w:val="none" w:sz="0" w:space="0" w:color="auto"/>
        <w:bottom w:val="none" w:sz="0" w:space="0" w:color="auto"/>
        <w:right w:val="none" w:sz="0" w:space="0" w:color="auto"/>
      </w:divBdr>
    </w:div>
    <w:div w:id="246379202">
      <w:bodyDiv w:val="1"/>
      <w:marLeft w:val="0"/>
      <w:marRight w:val="0"/>
      <w:marTop w:val="0"/>
      <w:marBottom w:val="0"/>
      <w:divBdr>
        <w:top w:val="none" w:sz="0" w:space="0" w:color="auto"/>
        <w:left w:val="none" w:sz="0" w:space="0" w:color="auto"/>
        <w:bottom w:val="none" w:sz="0" w:space="0" w:color="auto"/>
        <w:right w:val="none" w:sz="0" w:space="0" w:color="auto"/>
      </w:divBdr>
    </w:div>
    <w:div w:id="279919683">
      <w:bodyDiv w:val="1"/>
      <w:marLeft w:val="0"/>
      <w:marRight w:val="0"/>
      <w:marTop w:val="0"/>
      <w:marBottom w:val="0"/>
      <w:divBdr>
        <w:top w:val="none" w:sz="0" w:space="0" w:color="auto"/>
        <w:left w:val="none" w:sz="0" w:space="0" w:color="auto"/>
        <w:bottom w:val="none" w:sz="0" w:space="0" w:color="auto"/>
        <w:right w:val="none" w:sz="0" w:space="0" w:color="auto"/>
      </w:divBdr>
    </w:div>
    <w:div w:id="314073197">
      <w:bodyDiv w:val="1"/>
      <w:marLeft w:val="0"/>
      <w:marRight w:val="0"/>
      <w:marTop w:val="0"/>
      <w:marBottom w:val="0"/>
      <w:divBdr>
        <w:top w:val="none" w:sz="0" w:space="0" w:color="auto"/>
        <w:left w:val="none" w:sz="0" w:space="0" w:color="auto"/>
        <w:bottom w:val="none" w:sz="0" w:space="0" w:color="auto"/>
        <w:right w:val="none" w:sz="0" w:space="0" w:color="auto"/>
      </w:divBdr>
    </w:div>
    <w:div w:id="390887387">
      <w:bodyDiv w:val="1"/>
      <w:marLeft w:val="0"/>
      <w:marRight w:val="0"/>
      <w:marTop w:val="0"/>
      <w:marBottom w:val="0"/>
      <w:divBdr>
        <w:top w:val="none" w:sz="0" w:space="0" w:color="auto"/>
        <w:left w:val="none" w:sz="0" w:space="0" w:color="auto"/>
        <w:bottom w:val="none" w:sz="0" w:space="0" w:color="auto"/>
        <w:right w:val="none" w:sz="0" w:space="0" w:color="auto"/>
      </w:divBdr>
    </w:div>
    <w:div w:id="399135635">
      <w:bodyDiv w:val="1"/>
      <w:marLeft w:val="0"/>
      <w:marRight w:val="0"/>
      <w:marTop w:val="0"/>
      <w:marBottom w:val="0"/>
      <w:divBdr>
        <w:top w:val="none" w:sz="0" w:space="0" w:color="auto"/>
        <w:left w:val="none" w:sz="0" w:space="0" w:color="auto"/>
        <w:bottom w:val="none" w:sz="0" w:space="0" w:color="auto"/>
        <w:right w:val="none" w:sz="0" w:space="0" w:color="auto"/>
      </w:divBdr>
    </w:div>
    <w:div w:id="446700387">
      <w:bodyDiv w:val="1"/>
      <w:marLeft w:val="0"/>
      <w:marRight w:val="0"/>
      <w:marTop w:val="0"/>
      <w:marBottom w:val="0"/>
      <w:divBdr>
        <w:top w:val="none" w:sz="0" w:space="0" w:color="auto"/>
        <w:left w:val="none" w:sz="0" w:space="0" w:color="auto"/>
        <w:bottom w:val="none" w:sz="0" w:space="0" w:color="auto"/>
        <w:right w:val="none" w:sz="0" w:space="0" w:color="auto"/>
      </w:divBdr>
    </w:div>
    <w:div w:id="473716082">
      <w:bodyDiv w:val="1"/>
      <w:marLeft w:val="0"/>
      <w:marRight w:val="0"/>
      <w:marTop w:val="0"/>
      <w:marBottom w:val="0"/>
      <w:divBdr>
        <w:top w:val="none" w:sz="0" w:space="0" w:color="auto"/>
        <w:left w:val="none" w:sz="0" w:space="0" w:color="auto"/>
        <w:bottom w:val="none" w:sz="0" w:space="0" w:color="auto"/>
        <w:right w:val="none" w:sz="0" w:space="0" w:color="auto"/>
      </w:divBdr>
    </w:div>
    <w:div w:id="845562059">
      <w:bodyDiv w:val="1"/>
      <w:marLeft w:val="0"/>
      <w:marRight w:val="0"/>
      <w:marTop w:val="0"/>
      <w:marBottom w:val="0"/>
      <w:divBdr>
        <w:top w:val="none" w:sz="0" w:space="0" w:color="auto"/>
        <w:left w:val="none" w:sz="0" w:space="0" w:color="auto"/>
        <w:bottom w:val="none" w:sz="0" w:space="0" w:color="auto"/>
        <w:right w:val="none" w:sz="0" w:space="0" w:color="auto"/>
      </w:divBdr>
    </w:div>
    <w:div w:id="932125485">
      <w:bodyDiv w:val="1"/>
      <w:marLeft w:val="0"/>
      <w:marRight w:val="0"/>
      <w:marTop w:val="0"/>
      <w:marBottom w:val="0"/>
      <w:divBdr>
        <w:top w:val="none" w:sz="0" w:space="0" w:color="auto"/>
        <w:left w:val="none" w:sz="0" w:space="0" w:color="auto"/>
        <w:bottom w:val="none" w:sz="0" w:space="0" w:color="auto"/>
        <w:right w:val="none" w:sz="0" w:space="0" w:color="auto"/>
      </w:divBdr>
    </w:div>
    <w:div w:id="1067262981">
      <w:bodyDiv w:val="1"/>
      <w:marLeft w:val="0"/>
      <w:marRight w:val="0"/>
      <w:marTop w:val="0"/>
      <w:marBottom w:val="0"/>
      <w:divBdr>
        <w:top w:val="none" w:sz="0" w:space="0" w:color="auto"/>
        <w:left w:val="none" w:sz="0" w:space="0" w:color="auto"/>
        <w:bottom w:val="none" w:sz="0" w:space="0" w:color="auto"/>
        <w:right w:val="none" w:sz="0" w:space="0" w:color="auto"/>
      </w:divBdr>
    </w:div>
    <w:div w:id="1305040987">
      <w:bodyDiv w:val="1"/>
      <w:marLeft w:val="0"/>
      <w:marRight w:val="0"/>
      <w:marTop w:val="0"/>
      <w:marBottom w:val="0"/>
      <w:divBdr>
        <w:top w:val="none" w:sz="0" w:space="0" w:color="auto"/>
        <w:left w:val="none" w:sz="0" w:space="0" w:color="auto"/>
        <w:bottom w:val="none" w:sz="0" w:space="0" w:color="auto"/>
        <w:right w:val="none" w:sz="0" w:space="0" w:color="auto"/>
      </w:divBdr>
    </w:div>
    <w:div w:id="1391343169">
      <w:bodyDiv w:val="1"/>
      <w:marLeft w:val="0"/>
      <w:marRight w:val="0"/>
      <w:marTop w:val="0"/>
      <w:marBottom w:val="0"/>
      <w:divBdr>
        <w:top w:val="none" w:sz="0" w:space="0" w:color="auto"/>
        <w:left w:val="none" w:sz="0" w:space="0" w:color="auto"/>
        <w:bottom w:val="none" w:sz="0" w:space="0" w:color="auto"/>
        <w:right w:val="none" w:sz="0" w:space="0" w:color="auto"/>
      </w:divBdr>
    </w:div>
    <w:div w:id="1514412570">
      <w:bodyDiv w:val="1"/>
      <w:marLeft w:val="0"/>
      <w:marRight w:val="0"/>
      <w:marTop w:val="0"/>
      <w:marBottom w:val="0"/>
      <w:divBdr>
        <w:top w:val="none" w:sz="0" w:space="0" w:color="auto"/>
        <w:left w:val="none" w:sz="0" w:space="0" w:color="auto"/>
        <w:bottom w:val="none" w:sz="0" w:space="0" w:color="auto"/>
        <w:right w:val="none" w:sz="0" w:space="0" w:color="auto"/>
      </w:divBdr>
    </w:div>
    <w:div w:id="1617062801">
      <w:bodyDiv w:val="1"/>
      <w:marLeft w:val="0"/>
      <w:marRight w:val="0"/>
      <w:marTop w:val="0"/>
      <w:marBottom w:val="0"/>
      <w:divBdr>
        <w:top w:val="none" w:sz="0" w:space="0" w:color="auto"/>
        <w:left w:val="none" w:sz="0" w:space="0" w:color="auto"/>
        <w:bottom w:val="none" w:sz="0" w:space="0" w:color="auto"/>
        <w:right w:val="none" w:sz="0" w:space="0" w:color="auto"/>
      </w:divBdr>
    </w:div>
    <w:div w:id="1841196714">
      <w:bodyDiv w:val="1"/>
      <w:marLeft w:val="0"/>
      <w:marRight w:val="0"/>
      <w:marTop w:val="0"/>
      <w:marBottom w:val="0"/>
      <w:divBdr>
        <w:top w:val="none" w:sz="0" w:space="0" w:color="auto"/>
        <w:left w:val="none" w:sz="0" w:space="0" w:color="auto"/>
        <w:bottom w:val="none" w:sz="0" w:space="0" w:color="auto"/>
        <w:right w:val="none" w:sz="0" w:space="0" w:color="auto"/>
      </w:divBdr>
    </w:div>
    <w:div w:id="1925067045">
      <w:bodyDiv w:val="1"/>
      <w:marLeft w:val="0"/>
      <w:marRight w:val="0"/>
      <w:marTop w:val="0"/>
      <w:marBottom w:val="0"/>
      <w:divBdr>
        <w:top w:val="none" w:sz="0" w:space="0" w:color="auto"/>
        <w:left w:val="none" w:sz="0" w:space="0" w:color="auto"/>
        <w:bottom w:val="none" w:sz="0" w:space="0" w:color="auto"/>
        <w:right w:val="none" w:sz="0" w:space="0" w:color="auto"/>
      </w:divBdr>
    </w:div>
    <w:div w:id="1934319126">
      <w:bodyDiv w:val="1"/>
      <w:marLeft w:val="0"/>
      <w:marRight w:val="0"/>
      <w:marTop w:val="0"/>
      <w:marBottom w:val="0"/>
      <w:divBdr>
        <w:top w:val="none" w:sz="0" w:space="0" w:color="auto"/>
        <w:left w:val="none" w:sz="0" w:space="0" w:color="auto"/>
        <w:bottom w:val="none" w:sz="0" w:space="0" w:color="auto"/>
        <w:right w:val="none" w:sz="0" w:space="0" w:color="auto"/>
      </w:divBdr>
    </w:div>
    <w:div w:id="19433416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PEnQsj4AGCs37DaRn+dkE7ccXQ==">CgMxLjAyCGguZ2pkZ3hzOAByITF2RHRodGZ6VnFnZFdnMHdaQUI3dDR6YmNsWGYzdEc2OA==</go:docsCustomData>
</go:gDocsCustomXmlDataStorage>
</file>

<file path=customXml/itemProps1.xml><?xml version="1.0" encoding="utf-8"?>
<ds:datastoreItem xmlns:ds="http://schemas.openxmlformats.org/officeDocument/2006/customXml" ds:itemID="{0615D603-95D5-4748-9C13-4C3386FCC4C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Pages>
  <Words>7012</Words>
  <Characters>39972</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amir marssy</dc:creator>
  <cp:lastModifiedBy>femmy schouten</cp:lastModifiedBy>
  <cp:revision>5</cp:revision>
  <dcterms:created xsi:type="dcterms:W3CDTF">2025-06-13T10:14:00Z</dcterms:created>
  <dcterms:modified xsi:type="dcterms:W3CDTF">2025-06-16T04:17:00Z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c26d4ed2-6649-3c98-b1bc-f01e14c1205e</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ProductBuildVer">
    <vt:lpwstr>1033-12.2.0.16909</vt:lpwstr>
  </property>
  <property fmtid="{D5CDD505-2E9C-101B-9397-08002B2CF9AE}" pid="26" name="ICV">
    <vt:lpwstr>A5F6502890384A6EA7908DF100A197EA_13</vt:lpwstr>
  </property>
</Properties>
</file>