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881E" w14:textId="77777777" w:rsidR="00855102" w:rsidRPr="00855102" w:rsidRDefault="00855102" w:rsidP="00855102">
      <w:pPr>
        <w:jc w:val="center"/>
        <w:rPr>
          <w:rFonts w:ascii="Book Antiqua" w:hAnsi="Book Antiqua"/>
          <w:b/>
          <w:bCs/>
          <w:sz w:val="40"/>
          <w:szCs w:val="40"/>
        </w:rPr>
      </w:pP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Revitalisasi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Perpustakaan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Maritim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dalam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Penguatan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Literasi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dan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Kebijakan</w:t>
      </w:r>
      <w:proofErr w:type="spellEnd"/>
      <w:r w:rsidRPr="00855102">
        <w:rPr>
          <w:rFonts w:ascii="Book Antiqua" w:hAnsi="Book Antiqua"/>
          <w:b/>
          <w:bCs/>
          <w:sz w:val="40"/>
          <w:szCs w:val="40"/>
        </w:rPr>
        <w:t xml:space="preserve"> </w:t>
      </w:r>
      <w:proofErr w:type="spellStart"/>
      <w:r w:rsidRPr="00855102">
        <w:rPr>
          <w:rFonts w:ascii="Book Antiqua" w:hAnsi="Book Antiqua"/>
          <w:b/>
          <w:bCs/>
          <w:sz w:val="40"/>
          <w:szCs w:val="40"/>
        </w:rPr>
        <w:t>Pelayaran</w:t>
      </w:r>
      <w:proofErr w:type="spellEnd"/>
    </w:p>
    <w:p w14:paraId="00D1E4A2" w14:textId="29F98C9A" w:rsidR="00176C97" w:rsidRDefault="00333079" w:rsidP="00BA4CDF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vertAlign w:val="superscript"/>
        </w:rPr>
        <w:t>*</w:t>
      </w:r>
      <w:r w:rsidR="00855102" w:rsidRPr="00855102">
        <w:rPr>
          <w:rFonts w:ascii="Book Antiqua" w:hAnsi="Book Antiqua"/>
          <w:vertAlign w:val="superscript"/>
        </w:rPr>
        <w:t>1</w:t>
      </w:r>
      <w:r w:rsidR="00855102" w:rsidRPr="00855102">
        <w:rPr>
          <w:rFonts w:ascii="Book Antiqua" w:hAnsi="Book Antiqua"/>
        </w:rPr>
        <w:t>Mika Engelina Malau</w:t>
      </w:r>
      <w:r w:rsidR="00855102">
        <w:rPr>
          <w:rFonts w:ascii="Book Antiqua" w:hAnsi="Book Antiqua"/>
        </w:rPr>
        <w:t xml:space="preserve">, </w:t>
      </w:r>
      <w:r w:rsidR="00855102" w:rsidRPr="00855102">
        <w:rPr>
          <w:rFonts w:ascii="Book Antiqua" w:hAnsi="Book Antiqua"/>
          <w:vertAlign w:val="superscript"/>
        </w:rPr>
        <w:t>2</w:t>
      </w:r>
      <w:r w:rsidR="00176C97">
        <w:rPr>
          <w:rFonts w:ascii="Book Antiqua" w:hAnsi="Book Antiqua"/>
        </w:rPr>
        <w:t>April Gunawan Malau</w:t>
      </w:r>
      <w:r w:rsidR="00855102">
        <w:rPr>
          <w:rFonts w:ascii="Book Antiqua" w:hAnsi="Book Antiqua"/>
        </w:rPr>
        <w:t xml:space="preserve">, </w:t>
      </w:r>
    </w:p>
    <w:p w14:paraId="0F3CC663" w14:textId="77777777" w:rsidR="00176C97" w:rsidRDefault="00BA4CDF" w:rsidP="00BA4CDF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vertAlign w:val="superscript"/>
        </w:rPr>
        <w:t>*</w:t>
      </w:r>
      <w:r w:rsidR="00855102" w:rsidRPr="00855102">
        <w:rPr>
          <w:rFonts w:ascii="Book Antiqua" w:hAnsi="Book Antiqua"/>
          <w:vertAlign w:val="superscript"/>
        </w:rPr>
        <w:t>1</w:t>
      </w:r>
      <w:r w:rsidR="00176C97">
        <w:rPr>
          <w:rFonts w:ascii="Book Antiqua" w:hAnsi="Book Antiqua"/>
        </w:rPr>
        <w:t xml:space="preserve">Mahasiswa S-1 </w:t>
      </w:r>
      <w:proofErr w:type="spellStart"/>
      <w:r w:rsidR="00855102">
        <w:rPr>
          <w:rFonts w:ascii="Book Antiqua" w:hAnsi="Book Antiqua"/>
        </w:rPr>
        <w:t>Ilmu</w:t>
      </w:r>
      <w:proofErr w:type="spellEnd"/>
      <w:r w:rsidR="00855102">
        <w:rPr>
          <w:rFonts w:ascii="Book Antiqua" w:hAnsi="Book Antiqua"/>
        </w:rPr>
        <w:t xml:space="preserve"> </w:t>
      </w:r>
      <w:proofErr w:type="spellStart"/>
      <w:r w:rsidR="00855102">
        <w:rPr>
          <w:rFonts w:ascii="Book Antiqua" w:hAnsi="Book Antiqua"/>
        </w:rPr>
        <w:t>Perpustakaan</w:t>
      </w:r>
      <w:proofErr w:type="spellEnd"/>
      <w:r w:rsidR="00176C97">
        <w:rPr>
          <w:rFonts w:ascii="Book Antiqua" w:hAnsi="Book Antiqua"/>
        </w:rPr>
        <w:t xml:space="preserve"> – Universitas Terbuka</w:t>
      </w:r>
    </w:p>
    <w:p w14:paraId="29938BE6" w14:textId="77777777" w:rsidR="00855102" w:rsidRDefault="00855102" w:rsidP="00BA4CDF">
      <w:pPr>
        <w:spacing w:line="240" w:lineRule="auto"/>
        <w:jc w:val="center"/>
        <w:rPr>
          <w:rFonts w:ascii="Book Antiqua" w:hAnsi="Book Antiqua"/>
        </w:rPr>
      </w:pPr>
      <w:r w:rsidRPr="00333079">
        <w:rPr>
          <w:rFonts w:ascii="Book Antiqua" w:hAnsi="Book Antiqua"/>
          <w:vertAlign w:val="superscript"/>
        </w:rPr>
        <w:t xml:space="preserve">2 </w:t>
      </w:r>
      <w:r>
        <w:rPr>
          <w:rFonts w:ascii="Book Antiqua" w:hAnsi="Book Antiqua"/>
        </w:rPr>
        <w:t xml:space="preserve">Dosen </w:t>
      </w:r>
      <w:proofErr w:type="spellStart"/>
      <w:r>
        <w:rPr>
          <w:rFonts w:ascii="Book Antiqua" w:hAnsi="Book Antiqua"/>
        </w:rPr>
        <w:t>Pengajar</w:t>
      </w:r>
      <w:proofErr w:type="spellEnd"/>
      <w:r>
        <w:rPr>
          <w:rFonts w:ascii="Book Antiqua" w:hAnsi="Book Antiqua"/>
        </w:rPr>
        <w:t xml:space="preserve"> S-2 </w:t>
      </w:r>
      <w:proofErr w:type="spellStart"/>
      <w:r>
        <w:rPr>
          <w:rFonts w:ascii="Book Antiqua" w:hAnsi="Book Antiqua"/>
        </w:rPr>
        <w:t>Terapan</w:t>
      </w:r>
      <w:proofErr w:type="spellEnd"/>
      <w:r>
        <w:rPr>
          <w:rFonts w:ascii="Book Antiqua" w:hAnsi="Book Antiqua"/>
        </w:rPr>
        <w:t xml:space="preserve"> – </w:t>
      </w:r>
      <w:proofErr w:type="spellStart"/>
      <w:r>
        <w:rPr>
          <w:rFonts w:ascii="Book Antiqua" w:hAnsi="Book Antiqua"/>
        </w:rPr>
        <w:t>Sekolah</w:t>
      </w:r>
      <w:proofErr w:type="spellEnd"/>
      <w:r>
        <w:rPr>
          <w:rFonts w:ascii="Book Antiqua" w:hAnsi="Book Antiqua"/>
        </w:rPr>
        <w:t xml:space="preserve"> Tinggi </w:t>
      </w:r>
      <w:proofErr w:type="spellStart"/>
      <w:r>
        <w:rPr>
          <w:rFonts w:ascii="Book Antiqua" w:hAnsi="Book Antiqua"/>
        </w:rPr>
        <w:t>Ilmu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Pelayaran</w:t>
      </w:r>
      <w:proofErr w:type="spellEnd"/>
      <w:r>
        <w:rPr>
          <w:rFonts w:ascii="Book Antiqua" w:hAnsi="Book Antiqua"/>
        </w:rPr>
        <w:t xml:space="preserve"> Jakarta</w:t>
      </w:r>
    </w:p>
    <w:p w14:paraId="1C6AC3EC" w14:textId="77777777" w:rsidR="00855102" w:rsidRDefault="003949E3" w:rsidP="00BA4CDF">
      <w:pPr>
        <w:spacing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Pos-</w:t>
      </w:r>
      <w:proofErr w:type="spellStart"/>
      <w:r>
        <w:rPr>
          <w:rFonts w:ascii="Book Antiqua" w:hAnsi="Book Antiqua"/>
        </w:rPr>
        <w:t>el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korespondensi</w:t>
      </w:r>
      <w:proofErr w:type="spellEnd"/>
      <w:r>
        <w:rPr>
          <w:rFonts w:ascii="Book Antiqua" w:hAnsi="Book Antiqua"/>
        </w:rPr>
        <w:t xml:space="preserve"> </w:t>
      </w:r>
      <w:hyperlink r:id="rId6" w:history="1">
        <w:r w:rsidRPr="00D626EF">
          <w:rPr>
            <w:rStyle w:val="Hyperlink"/>
            <w:rFonts w:ascii="Book Antiqua" w:hAnsi="Book Antiqua"/>
          </w:rPr>
          <w:t>mikamalau933@gmail.com</w:t>
        </w:r>
      </w:hyperlink>
      <w:r>
        <w:rPr>
          <w:rFonts w:ascii="Book Antiqua" w:hAnsi="Book Antiqua"/>
        </w:rPr>
        <w:t xml:space="preserve"> </w:t>
      </w:r>
    </w:p>
    <w:p w14:paraId="46EAE9E5" w14:textId="77777777" w:rsidR="00176C97" w:rsidRPr="00176C97" w:rsidRDefault="00176C97" w:rsidP="00176C97">
      <w:pPr>
        <w:jc w:val="both"/>
        <w:rPr>
          <w:rFonts w:ascii="Book Antiqua" w:hAnsi="Book Antiqua"/>
        </w:rPr>
      </w:pPr>
    </w:p>
    <w:p w14:paraId="3D1BDE61" w14:textId="77777777" w:rsidR="00855102" w:rsidRPr="00855102" w:rsidRDefault="00176C97" w:rsidP="00855102">
      <w:pPr>
        <w:jc w:val="both"/>
        <w:rPr>
          <w:rFonts w:ascii="Book Antiqua" w:hAnsi="Book Antiqua"/>
        </w:rPr>
      </w:pPr>
      <w:proofErr w:type="spellStart"/>
      <w:r w:rsidRPr="00176C97">
        <w:rPr>
          <w:rFonts w:ascii="Book Antiqua" w:hAnsi="Book Antiqua"/>
          <w:b/>
          <w:bCs/>
        </w:rPr>
        <w:t>Abstrak</w:t>
      </w:r>
      <w:proofErr w:type="spellEnd"/>
      <w:r w:rsidRPr="00176C97">
        <w:rPr>
          <w:rFonts w:ascii="Book Antiqua" w:hAnsi="Book Antiqua"/>
          <w:b/>
          <w:bCs/>
        </w:rPr>
        <w:t>:</w:t>
      </w:r>
      <w:r>
        <w:rPr>
          <w:rFonts w:ascii="Book Antiqua" w:hAnsi="Book Antiqua"/>
          <w:b/>
          <w:bCs/>
        </w:rPr>
        <w:t xml:space="preserve"> </w:t>
      </w:r>
      <w:r w:rsidR="00855102" w:rsidRPr="00855102">
        <w:rPr>
          <w:rFonts w:ascii="Book Antiqua" w:hAnsi="Book Antiqua"/>
        </w:rPr>
        <w:t xml:space="preserve">Penelitian ini </w:t>
      </w:r>
      <w:proofErr w:type="spellStart"/>
      <w:r w:rsidR="00855102" w:rsidRPr="00855102">
        <w:rPr>
          <w:rFonts w:ascii="Book Antiqua" w:hAnsi="Book Antiqua"/>
        </w:rPr>
        <w:t>bertujuan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untuk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mengkaji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peran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strategis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perpustakaan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dalam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mendukung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penguatan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literasi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hukum</w:t>
      </w:r>
      <w:proofErr w:type="spellEnd"/>
      <w:r w:rsidR="00855102" w:rsidRPr="00855102">
        <w:rPr>
          <w:rFonts w:ascii="Book Antiqua" w:hAnsi="Book Antiqua"/>
        </w:rPr>
        <w:t xml:space="preserve"> dan </w:t>
      </w:r>
      <w:proofErr w:type="spellStart"/>
      <w:r w:rsidR="00855102" w:rsidRPr="00855102">
        <w:rPr>
          <w:rFonts w:ascii="Book Antiqua" w:hAnsi="Book Antiqua"/>
        </w:rPr>
        <w:t>kebijakan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pelayaran</w:t>
      </w:r>
      <w:proofErr w:type="spellEnd"/>
      <w:r w:rsidR="00855102" w:rsidRPr="00855102">
        <w:rPr>
          <w:rFonts w:ascii="Book Antiqua" w:hAnsi="Book Antiqua"/>
        </w:rPr>
        <w:t xml:space="preserve"> di </w:t>
      </w:r>
      <w:proofErr w:type="spellStart"/>
      <w:r w:rsidR="00855102" w:rsidRPr="00855102">
        <w:rPr>
          <w:rFonts w:ascii="Book Antiqua" w:hAnsi="Book Antiqua"/>
        </w:rPr>
        <w:t>lingkungan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pendidikan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vokasi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. </w:t>
      </w:r>
      <w:proofErr w:type="spellStart"/>
      <w:r w:rsidR="00855102" w:rsidRPr="00855102">
        <w:rPr>
          <w:rFonts w:ascii="Book Antiqua" w:hAnsi="Book Antiqua"/>
        </w:rPr>
        <w:t>Dengan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pendekatan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kualitatif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deskriptif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studi</w:t>
      </w:r>
      <w:proofErr w:type="spellEnd"/>
      <w:r w:rsidR="00855102" w:rsidRPr="00855102">
        <w:rPr>
          <w:rFonts w:ascii="Book Antiqua" w:hAnsi="Book Antiqua"/>
        </w:rPr>
        <w:t xml:space="preserve"> ini </w:t>
      </w:r>
      <w:proofErr w:type="spellStart"/>
      <w:r w:rsidR="00855102" w:rsidRPr="00855102">
        <w:rPr>
          <w:rFonts w:ascii="Book Antiqua" w:hAnsi="Book Antiqua"/>
        </w:rPr>
        <w:t>melibatkan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satu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profesional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, dua </w:t>
      </w:r>
      <w:proofErr w:type="spellStart"/>
      <w:r w:rsidR="00855102" w:rsidRPr="00855102">
        <w:rPr>
          <w:rFonts w:ascii="Book Antiqua" w:hAnsi="Book Antiqua"/>
        </w:rPr>
        <w:t>dosen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vokasi</w:t>
      </w:r>
      <w:proofErr w:type="spellEnd"/>
      <w:r w:rsidR="00855102" w:rsidRPr="00855102">
        <w:rPr>
          <w:rFonts w:ascii="Book Antiqua" w:hAnsi="Book Antiqua"/>
        </w:rPr>
        <w:t xml:space="preserve">, dan </w:t>
      </w:r>
      <w:proofErr w:type="spellStart"/>
      <w:r w:rsidR="00855102" w:rsidRPr="00855102">
        <w:rPr>
          <w:rFonts w:ascii="Book Antiqua" w:hAnsi="Book Antiqua"/>
        </w:rPr>
        <w:t>tiga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lulusan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sekolah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pelayaran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sebagai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informan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utama</w:t>
      </w:r>
      <w:proofErr w:type="spellEnd"/>
      <w:r w:rsidR="00855102" w:rsidRPr="00855102">
        <w:rPr>
          <w:rFonts w:ascii="Book Antiqua" w:hAnsi="Book Antiqua"/>
        </w:rPr>
        <w:t xml:space="preserve">. </w:t>
      </w:r>
      <w:proofErr w:type="spellStart"/>
      <w:r w:rsidR="00855102" w:rsidRPr="00855102">
        <w:rPr>
          <w:rFonts w:ascii="Book Antiqua" w:hAnsi="Book Antiqua"/>
        </w:rPr>
        <w:t>Temuan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penelitian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menunjukkan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bahwa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perpustakaan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saat</w:t>
      </w:r>
      <w:proofErr w:type="spellEnd"/>
      <w:r w:rsidR="00855102" w:rsidRPr="00855102">
        <w:rPr>
          <w:rFonts w:ascii="Book Antiqua" w:hAnsi="Book Antiqua"/>
        </w:rPr>
        <w:t xml:space="preserve"> ini </w:t>
      </w:r>
      <w:proofErr w:type="spellStart"/>
      <w:r w:rsidR="00855102" w:rsidRPr="00855102">
        <w:rPr>
          <w:rFonts w:ascii="Book Antiqua" w:hAnsi="Book Antiqua"/>
        </w:rPr>
        <w:t>belum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dimanfaatkan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secara</w:t>
      </w:r>
      <w:proofErr w:type="spellEnd"/>
      <w:r w:rsidR="00855102" w:rsidRPr="00855102">
        <w:rPr>
          <w:rFonts w:ascii="Book Antiqua" w:hAnsi="Book Antiqua"/>
        </w:rPr>
        <w:t xml:space="preserve"> optimal </w:t>
      </w:r>
      <w:proofErr w:type="spellStart"/>
      <w:r w:rsidR="00855102" w:rsidRPr="00855102">
        <w:rPr>
          <w:rFonts w:ascii="Book Antiqua" w:hAnsi="Book Antiqua"/>
        </w:rPr>
        <w:t>sebagai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pusat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literasi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hukum</w:t>
      </w:r>
      <w:proofErr w:type="spellEnd"/>
      <w:r w:rsidR="00855102" w:rsidRPr="00855102">
        <w:rPr>
          <w:rFonts w:ascii="Book Antiqua" w:hAnsi="Book Antiqua"/>
        </w:rPr>
        <w:t xml:space="preserve"> dan </w:t>
      </w:r>
      <w:proofErr w:type="spellStart"/>
      <w:r w:rsidR="00855102" w:rsidRPr="00855102">
        <w:rPr>
          <w:rFonts w:ascii="Book Antiqua" w:hAnsi="Book Antiqua"/>
        </w:rPr>
        <w:t>kebijakan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. </w:t>
      </w:r>
      <w:proofErr w:type="spellStart"/>
      <w:r w:rsidR="00855102" w:rsidRPr="00855102">
        <w:rPr>
          <w:rFonts w:ascii="Book Antiqua" w:hAnsi="Book Antiqua"/>
        </w:rPr>
        <w:t>Meskipun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skor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efektivitas</w:t>
      </w:r>
      <w:proofErr w:type="spellEnd"/>
      <w:r w:rsidR="00855102" w:rsidRPr="00855102">
        <w:rPr>
          <w:rFonts w:ascii="Book Antiqua" w:hAnsi="Book Antiqua"/>
        </w:rPr>
        <w:t xml:space="preserve"> dan </w:t>
      </w:r>
      <w:proofErr w:type="spellStart"/>
      <w:r w:rsidR="00855102" w:rsidRPr="00855102">
        <w:rPr>
          <w:rFonts w:ascii="Book Antiqua" w:hAnsi="Book Antiqua"/>
        </w:rPr>
        <w:t>efisiensi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dalam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pembelajaran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manajemen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pelayaran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bisnis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, dan </w:t>
      </w:r>
      <w:proofErr w:type="spellStart"/>
      <w:r w:rsidR="00855102" w:rsidRPr="00855102">
        <w:rPr>
          <w:rFonts w:ascii="Book Antiqua" w:hAnsi="Book Antiqua"/>
        </w:rPr>
        <w:t>keuangan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kelautan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tergolong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tinggi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terdapat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kelemahan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signifikan</w:t>
      </w:r>
      <w:proofErr w:type="spellEnd"/>
      <w:r w:rsidR="00855102" w:rsidRPr="00855102">
        <w:rPr>
          <w:rFonts w:ascii="Book Antiqua" w:hAnsi="Book Antiqua"/>
        </w:rPr>
        <w:t xml:space="preserve"> pada </w:t>
      </w:r>
      <w:proofErr w:type="spellStart"/>
      <w:r w:rsidR="00855102" w:rsidRPr="00855102">
        <w:rPr>
          <w:rFonts w:ascii="Book Antiqua" w:hAnsi="Book Antiqua"/>
        </w:rPr>
        <w:t>aspek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ketersediaan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relevansi</w:t>
      </w:r>
      <w:proofErr w:type="spellEnd"/>
      <w:r w:rsidR="00855102" w:rsidRPr="00855102">
        <w:rPr>
          <w:rFonts w:ascii="Book Antiqua" w:hAnsi="Book Antiqua"/>
        </w:rPr>
        <w:t xml:space="preserve">, dan </w:t>
      </w:r>
      <w:proofErr w:type="spellStart"/>
      <w:r w:rsidR="00855102" w:rsidRPr="00855102">
        <w:rPr>
          <w:rFonts w:ascii="Book Antiqua" w:hAnsi="Book Antiqua"/>
        </w:rPr>
        <w:t>keterkinian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bahan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pustaka</w:t>
      </w:r>
      <w:proofErr w:type="spellEnd"/>
      <w:r w:rsidR="00855102" w:rsidRPr="00855102">
        <w:rPr>
          <w:rFonts w:ascii="Book Antiqua" w:hAnsi="Book Antiqua"/>
        </w:rPr>
        <w:t xml:space="preserve">. </w:t>
      </w:r>
      <w:proofErr w:type="spellStart"/>
      <w:r w:rsidR="00855102" w:rsidRPr="00855102">
        <w:rPr>
          <w:rFonts w:ascii="Book Antiqua" w:hAnsi="Book Antiqua"/>
        </w:rPr>
        <w:t>Literasi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terhadap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dokumen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internasional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seperti</w:t>
      </w:r>
      <w:proofErr w:type="spellEnd"/>
      <w:r w:rsidR="00855102" w:rsidRPr="00855102">
        <w:rPr>
          <w:rFonts w:ascii="Book Antiqua" w:hAnsi="Book Antiqua"/>
        </w:rPr>
        <w:t xml:space="preserve"> UNCLOS, STCW, SOLAS, MARPOL, dan MLC </w:t>
      </w:r>
      <w:proofErr w:type="spellStart"/>
      <w:r w:rsidR="00855102" w:rsidRPr="00855102">
        <w:rPr>
          <w:rFonts w:ascii="Book Antiqua" w:hAnsi="Book Antiqua"/>
        </w:rPr>
        <w:t>masih</w:t>
      </w:r>
      <w:proofErr w:type="spellEnd"/>
      <w:r w:rsidR="00855102" w:rsidRPr="00855102">
        <w:rPr>
          <w:rFonts w:ascii="Book Antiqua" w:hAnsi="Book Antiqua"/>
        </w:rPr>
        <w:t xml:space="preserve"> minim </w:t>
      </w:r>
      <w:proofErr w:type="spellStart"/>
      <w:r w:rsidR="00855102" w:rsidRPr="00855102">
        <w:rPr>
          <w:rFonts w:ascii="Book Antiqua" w:hAnsi="Book Antiqua"/>
        </w:rPr>
        <w:t>dalam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praktik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pembelajaran</w:t>
      </w:r>
      <w:proofErr w:type="spellEnd"/>
      <w:r w:rsidR="00855102" w:rsidRPr="00855102">
        <w:rPr>
          <w:rFonts w:ascii="Book Antiqua" w:hAnsi="Book Antiqua"/>
        </w:rPr>
        <w:t xml:space="preserve">. Oleh </w:t>
      </w:r>
      <w:proofErr w:type="spellStart"/>
      <w:r w:rsidR="00855102" w:rsidRPr="00855102">
        <w:rPr>
          <w:rFonts w:ascii="Book Antiqua" w:hAnsi="Book Antiqua"/>
        </w:rPr>
        <w:t>karena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itu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revitalisasi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sistem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kepustakaan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menjadi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keharusan</w:t>
      </w:r>
      <w:proofErr w:type="spellEnd"/>
      <w:r w:rsidR="00855102" w:rsidRPr="00855102">
        <w:rPr>
          <w:rFonts w:ascii="Book Antiqua" w:hAnsi="Book Antiqua"/>
        </w:rPr>
        <w:t xml:space="preserve"> agar </w:t>
      </w:r>
      <w:proofErr w:type="spellStart"/>
      <w:r w:rsidR="00855102" w:rsidRPr="00855102">
        <w:rPr>
          <w:rFonts w:ascii="Book Antiqua" w:hAnsi="Book Antiqua"/>
        </w:rPr>
        <w:t>dapat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menunjang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pembentukan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pelaut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profesional</w:t>
      </w:r>
      <w:proofErr w:type="spellEnd"/>
      <w:r w:rsidR="00855102" w:rsidRPr="00855102">
        <w:rPr>
          <w:rFonts w:ascii="Book Antiqua" w:hAnsi="Book Antiqua"/>
        </w:rPr>
        <w:t xml:space="preserve"> yang </w:t>
      </w:r>
      <w:proofErr w:type="spellStart"/>
      <w:r w:rsidR="00855102" w:rsidRPr="00855102">
        <w:rPr>
          <w:rFonts w:ascii="Book Antiqua" w:hAnsi="Book Antiqua"/>
        </w:rPr>
        <w:t>sadar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hukum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adaptif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terhadap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kebijakan</w:t>
      </w:r>
      <w:proofErr w:type="spellEnd"/>
      <w:r w:rsidR="00855102" w:rsidRPr="00855102">
        <w:rPr>
          <w:rFonts w:ascii="Book Antiqua" w:hAnsi="Book Antiqua"/>
        </w:rPr>
        <w:t xml:space="preserve"> global, </w:t>
      </w:r>
      <w:proofErr w:type="spellStart"/>
      <w:r w:rsidR="00855102" w:rsidRPr="00855102">
        <w:rPr>
          <w:rFonts w:ascii="Book Antiqua" w:hAnsi="Book Antiqua"/>
        </w:rPr>
        <w:t>serta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mampu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mengelola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tantangan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regulatif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pelayaran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internasional</w:t>
      </w:r>
      <w:proofErr w:type="spellEnd"/>
      <w:r w:rsidR="00855102" w:rsidRPr="00855102">
        <w:rPr>
          <w:rFonts w:ascii="Book Antiqua" w:hAnsi="Book Antiqua"/>
        </w:rPr>
        <w:t xml:space="preserve">. Penelitian ini </w:t>
      </w:r>
      <w:proofErr w:type="spellStart"/>
      <w:r w:rsidR="00855102" w:rsidRPr="00855102">
        <w:rPr>
          <w:rFonts w:ascii="Book Antiqua" w:hAnsi="Book Antiqua"/>
        </w:rPr>
        <w:t>merekomendasikan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integrasi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pustaka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ke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dalam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kurikulum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pelatihan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literasi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informasi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 xml:space="preserve">, </w:t>
      </w:r>
      <w:proofErr w:type="spellStart"/>
      <w:r w:rsidR="00855102" w:rsidRPr="00855102">
        <w:rPr>
          <w:rFonts w:ascii="Book Antiqua" w:hAnsi="Book Antiqua"/>
        </w:rPr>
        <w:t>serta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peningkatan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kompetensi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pustakawan</w:t>
      </w:r>
      <w:proofErr w:type="spellEnd"/>
      <w:r w:rsidR="00855102" w:rsidRPr="00855102">
        <w:rPr>
          <w:rFonts w:ascii="Book Antiqua" w:hAnsi="Book Antiqua"/>
        </w:rPr>
        <w:t xml:space="preserve"> </w:t>
      </w:r>
      <w:proofErr w:type="spellStart"/>
      <w:r w:rsidR="00855102" w:rsidRPr="00855102">
        <w:rPr>
          <w:rFonts w:ascii="Book Antiqua" w:hAnsi="Book Antiqua"/>
        </w:rPr>
        <w:t>maritim</w:t>
      </w:r>
      <w:proofErr w:type="spellEnd"/>
      <w:r w:rsidR="00855102" w:rsidRPr="00855102">
        <w:rPr>
          <w:rFonts w:ascii="Book Antiqua" w:hAnsi="Book Antiqua"/>
        </w:rPr>
        <w:t>.</w:t>
      </w:r>
    </w:p>
    <w:p w14:paraId="712F0BD9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  <w:b/>
          <w:bCs/>
        </w:rPr>
        <w:t xml:space="preserve">Kata </w:t>
      </w:r>
      <w:proofErr w:type="spellStart"/>
      <w:r w:rsidRPr="00855102">
        <w:rPr>
          <w:rFonts w:ascii="Book Antiqua" w:hAnsi="Book Antiqua"/>
          <w:b/>
          <w:bCs/>
        </w:rPr>
        <w:t>kunci</w:t>
      </w:r>
      <w:proofErr w:type="spellEnd"/>
      <w:r w:rsidRPr="00855102">
        <w:rPr>
          <w:rFonts w:ascii="Book Antiqua" w:hAnsi="Book Antiqua"/>
          <w:b/>
          <w:bCs/>
        </w:rPr>
        <w:t>:</w:t>
      </w:r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perpustakaan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maritim</w:t>
      </w:r>
      <w:proofErr w:type="spellEnd"/>
      <w:r w:rsidRPr="00855102">
        <w:rPr>
          <w:rFonts w:ascii="Book Antiqua" w:hAnsi="Book Antiqua"/>
          <w:i/>
          <w:iCs/>
        </w:rPr>
        <w:t xml:space="preserve">, </w:t>
      </w:r>
      <w:proofErr w:type="spellStart"/>
      <w:r w:rsidRPr="00855102">
        <w:rPr>
          <w:rFonts w:ascii="Book Antiqua" w:hAnsi="Book Antiqua"/>
          <w:i/>
          <w:iCs/>
        </w:rPr>
        <w:t>literasi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hukum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pelayaran</w:t>
      </w:r>
      <w:proofErr w:type="spellEnd"/>
      <w:r w:rsidRPr="00855102">
        <w:rPr>
          <w:rFonts w:ascii="Book Antiqua" w:hAnsi="Book Antiqua"/>
          <w:i/>
          <w:iCs/>
        </w:rPr>
        <w:t xml:space="preserve">, </w:t>
      </w:r>
      <w:proofErr w:type="spellStart"/>
      <w:r w:rsidRPr="00855102">
        <w:rPr>
          <w:rFonts w:ascii="Book Antiqua" w:hAnsi="Book Antiqua"/>
          <w:i/>
          <w:iCs/>
        </w:rPr>
        <w:t>pendidikan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vokasi</w:t>
      </w:r>
      <w:proofErr w:type="spellEnd"/>
      <w:r w:rsidRPr="00855102">
        <w:rPr>
          <w:rFonts w:ascii="Book Antiqua" w:hAnsi="Book Antiqua"/>
          <w:i/>
          <w:iCs/>
        </w:rPr>
        <w:t xml:space="preserve">, </w:t>
      </w:r>
      <w:proofErr w:type="spellStart"/>
      <w:r w:rsidRPr="00855102">
        <w:rPr>
          <w:rFonts w:ascii="Book Antiqua" w:hAnsi="Book Antiqua"/>
          <w:i/>
          <w:iCs/>
        </w:rPr>
        <w:t>kebijakan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maritim</w:t>
      </w:r>
      <w:proofErr w:type="spellEnd"/>
      <w:r w:rsidRPr="00855102">
        <w:rPr>
          <w:rFonts w:ascii="Book Antiqua" w:hAnsi="Book Antiqua"/>
          <w:i/>
          <w:iCs/>
        </w:rPr>
        <w:t xml:space="preserve">, </w:t>
      </w:r>
      <w:proofErr w:type="spellStart"/>
      <w:r w:rsidRPr="00855102">
        <w:rPr>
          <w:rFonts w:ascii="Book Antiqua" w:hAnsi="Book Antiqua"/>
          <w:i/>
          <w:iCs/>
        </w:rPr>
        <w:t>literasi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informasi</w:t>
      </w:r>
      <w:proofErr w:type="spellEnd"/>
    </w:p>
    <w:p w14:paraId="34E67127" w14:textId="77777777" w:rsidR="00855102" w:rsidRPr="00176C97" w:rsidRDefault="00855102" w:rsidP="00176C97">
      <w:pPr>
        <w:jc w:val="both"/>
        <w:rPr>
          <w:rFonts w:ascii="Book Antiqua" w:hAnsi="Book Antiqua"/>
        </w:rPr>
      </w:pPr>
    </w:p>
    <w:p w14:paraId="078FBF9C" w14:textId="77777777" w:rsidR="00176C97" w:rsidRDefault="00176C97" w:rsidP="00176C97">
      <w:pPr>
        <w:jc w:val="both"/>
        <w:rPr>
          <w:rFonts w:ascii="Book Antiqua" w:hAnsi="Book Antiqua"/>
        </w:rPr>
      </w:pPr>
    </w:p>
    <w:p w14:paraId="30B6805D" w14:textId="77777777" w:rsidR="00176C97" w:rsidRDefault="00176C97" w:rsidP="00176C97">
      <w:pPr>
        <w:jc w:val="both"/>
        <w:rPr>
          <w:rFonts w:ascii="Book Antiqua" w:hAnsi="Book Antiqua"/>
        </w:rPr>
      </w:pPr>
    </w:p>
    <w:p w14:paraId="64674E91" w14:textId="77777777" w:rsidR="00333079" w:rsidRDefault="00333079" w:rsidP="00855102">
      <w:pPr>
        <w:pStyle w:val="Heading1"/>
        <w:sectPr w:rsidR="00333079" w:rsidSect="00BA4CDF">
          <w:headerReference w:type="default" r:id="rId7"/>
          <w:footerReference w:type="default" r:id="rId8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14:paraId="6A3E0842" w14:textId="77777777" w:rsidR="00855102" w:rsidRDefault="00855102" w:rsidP="00855102">
      <w:pPr>
        <w:pStyle w:val="Heading1"/>
      </w:pPr>
      <w:proofErr w:type="spellStart"/>
      <w:r w:rsidRPr="00855102">
        <w:lastRenderedPageBreak/>
        <w:t>Pendahuluan</w:t>
      </w:r>
      <w:proofErr w:type="spellEnd"/>
      <w:r w:rsidRPr="00855102">
        <w:t xml:space="preserve"> </w:t>
      </w:r>
    </w:p>
    <w:p w14:paraId="68CFC848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negara </w:t>
      </w:r>
      <w:proofErr w:type="spellStart"/>
      <w:r w:rsidRPr="00855102">
        <w:rPr>
          <w:rFonts w:ascii="Book Antiqua" w:hAnsi="Book Antiqua"/>
        </w:rPr>
        <w:t>kepulauan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terbesar</w:t>
      </w:r>
      <w:proofErr w:type="spellEnd"/>
      <w:r w:rsidRPr="00855102">
        <w:rPr>
          <w:rFonts w:ascii="Book Antiqua" w:hAnsi="Book Antiqua"/>
        </w:rPr>
        <w:t xml:space="preserve"> di dunia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17.000 </w:t>
      </w:r>
      <w:proofErr w:type="spellStart"/>
      <w:r w:rsidRPr="00855102">
        <w:rPr>
          <w:rFonts w:ascii="Book Antiqua" w:hAnsi="Book Antiqua"/>
        </w:rPr>
        <w:t>pulau</w:t>
      </w:r>
      <w:proofErr w:type="spellEnd"/>
      <w:r w:rsidRPr="00855102">
        <w:rPr>
          <w:rFonts w:ascii="Book Antiqua" w:hAnsi="Book Antiqua"/>
        </w:rPr>
        <w:t xml:space="preserve"> dan garis </w:t>
      </w:r>
      <w:proofErr w:type="spellStart"/>
      <w:r w:rsidRPr="00855102">
        <w:rPr>
          <w:rFonts w:ascii="Book Antiqua" w:hAnsi="Book Antiqua"/>
        </w:rPr>
        <w:t>pantai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terpanjang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kedua</w:t>
      </w:r>
      <w:proofErr w:type="spellEnd"/>
      <w:r w:rsidRPr="00855102">
        <w:rPr>
          <w:rFonts w:ascii="Book Antiqua" w:hAnsi="Book Antiqua"/>
        </w:rPr>
        <w:t xml:space="preserve"> di dunia, Indonesia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kepentingan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manusia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unggul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tangguh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adaptif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tuntutan</w:t>
      </w:r>
      <w:proofErr w:type="spellEnd"/>
      <w:r w:rsidRPr="00855102">
        <w:rPr>
          <w:rFonts w:ascii="Book Antiqua" w:hAnsi="Book Antiqua"/>
        </w:rPr>
        <w:t xml:space="preserve"> global. </w:t>
      </w:r>
      <w:proofErr w:type="spellStart"/>
      <w:r w:rsidRPr="00855102">
        <w:rPr>
          <w:rFonts w:ascii="Book Antiqua" w:hAnsi="Book Antiqua"/>
        </w:rPr>
        <w:t>Letaknya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berada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jalur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perdagangan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menjadikan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bagian</w:t>
      </w:r>
      <w:proofErr w:type="spellEnd"/>
      <w:r w:rsidRPr="00855102">
        <w:rPr>
          <w:rFonts w:ascii="Book Antiqua" w:hAnsi="Book Antiqua"/>
        </w:rPr>
        <w:t xml:space="preserve"> integral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logistik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dunia, di mana </w:t>
      </w:r>
      <w:proofErr w:type="spellStart"/>
      <w:r w:rsidRPr="00855102">
        <w:rPr>
          <w:rFonts w:ascii="Book Antiqua" w:hAnsi="Book Antiqua"/>
        </w:rPr>
        <w:t>lalu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lintas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niaga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penegakan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pengelolaan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pelabuhan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elemen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krusial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pembangunan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 (United Nations, 1982). Salah </w:t>
      </w:r>
      <w:proofErr w:type="spellStart"/>
      <w:r w:rsidRPr="00855102">
        <w:rPr>
          <w:rFonts w:ascii="Book Antiqua" w:hAnsi="Book Antiqua"/>
        </w:rPr>
        <w:t>satu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membentuk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kompeten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. Hal ini </w:t>
      </w:r>
      <w:proofErr w:type="spellStart"/>
      <w:r w:rsidRPr="00855102">
        <w:rPr>
          <w:rFonts w:ascii="Book Antiqua" w:hAnsi="Book Antiqua"/>
        </w:rPr>
        <w:t>mencakup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i/>
          <w:iCs/>
        </w:rPr>
        <w:t>Standards of Training, Certification and Watchkeeping for Seafarers (STCW)</w:t>
      </w:r>
      <w:r w:rsidRPr="00855102">
        <w:rPr>
          <w:rFonts w:ascii="Book Antiqua" w:hAnsi="Book Antiqua"/>
        </w:rPr>
        <w:t xml:space="preserve"> dan </w:t>
      </w:r>
      <w:r w:rsidRPr="00855102">
        <w:rPr>
          <w:rFonts w:ascii="Book Antiqua" w:hAnsi="Book Antiqua"/>
          <w:i/>
          <w:iCs/>
        </w:rPr>
        <w:t>International Convention for the Safety of Life at Sea (SOLAS)</w:t>
      </w:r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ditetapkan</w:t>
      </w:r>
      <w:proofErr w:type="spellEnd"/>
      <w:r w:rsidRPr="00855102">
        <w:rPr>
          <w:rFonts w:ascii="Book Antiqua" w:hAnsi="Book Antiqua"/>
        </w:rPr>
        <w:t xml:space="preserve"> oleh IMO (International Maritime Organization, 2017; 2022).</w:t>
      </w:r>
    </w:p>
    <w:p w14:paraId="0643591D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Dalam </w:t>
      </w:r>
      <w:proofErr w:type="spellStart"/>
      <w:r w:rsidRPr="00855102">
        <w:rPr>
          <w:rFonts w:ascii="Book Antiqua" w:hAnsi="Book Antiqua"/>
        </w:rPr>
        <w:t>konteks</w:t>
      </w:r>
      <w:proofErr w:type="spellEnd"/>
      <w:r w:rsidRPr="00855102">
        <w:rPr>
          <w:rFonts w:ascii="Book Antiqua" w:hAnsi="Book Antiqua"/>
        </w:rPr>
        <w:t xml:space="preserve"> ini,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semakin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penyimpanan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mendalam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aplikatif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Transformasi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fungsi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administratif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reflektif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kritis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mendesak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seiring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meningkatnya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kompleksitas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interkonektivitas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yurisdiksi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(Creswell, 2013; Lincoln &amp; Guba, 1985).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sekadar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tambahan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melainkan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fondasi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membentuk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tunduk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aturan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menavigasi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yuridis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tanggung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kecelakaan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hingga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sengketa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arbitrase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(ITF Seafarers, 2020).</w:t>
      </w:r>
    </w:p>
    <w:p w14:paraId="60BE50AD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lembaga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di Indonesia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sepenuhnya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berkembang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Dalam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seringkali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diposisikan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pelengkap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administratif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simpul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menstimulasi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Padahal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paradigma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potensi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besar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membentuk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kebiasaan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riset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etika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kuat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</w:t>
      </w:r>
      <w:proofErr w:type="spellEnd"/>
      <w:r w:rsidRPr="00855102">
        <w:rPr>
          <w:rFonts w:ascii="Book Antiqua" w:hAnsi="Book Antiqua"/>
        </w:rPr>
        <w:t xml:space="preserve"> para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(</w:t>
      </w:r>
      <w:proofErr w:type="spellStart"/>
      <w:r w:rsidRPr="00855102">
        <w:rPr>
          <w:rFonts w:ascii="Book Antiqua" w:hAnsi="Book Antiqua"/>
        </w:rPr>
        <w:t>Direktorat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Jenderal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Laut, 2021). </w:t>
      </w:r>
      <w:proofErr w:type="spellStart"/>
      <w:r w:rsidRPr="00855102">
        <w:rPr>
          <w:rFonts w:ascii="Book Antiqua" w:hAnsi="Book Antiqua"/>
        </w:rPr>
        <w:t>Terlebih</w:t>
      </w:r>
      <w:proofErr w:type="spellEnd"/>
      <w:r w:rsidRPr="00855102">
        <w:rPr>
          <w:rFonts w:ascii="Book Antiqua" w:hAnsi="Book Antiqua"/>
        </w:rPr>
        <w:t xml:space="preserve"> di era digital,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bertransformasi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digital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lastRenderedPageBreak/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jurnal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IMO, UNCLOS, MARPOL,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ekonomi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>.</w:t>
      </w:r>
    </w:p>
    <w:p w14:paraId="0029DDF5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konteks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berarti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membaca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menulis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melainkan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mencakup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kompetensi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menganalisis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mulai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pengangkutan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hingga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laporan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asuransi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ini juga </w:t>
      </w:r>
      <w:proofErr w:type="spellStart"/>
      <w:r w:rsidRPr="00855102">
        <w:rPr>
          <w:rFonts w:ascii="Book Antiqua" w:hAnsi="Book Antiqua"/>
        </w:rPr>
        <w:t>melibatkan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keterampilan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validitas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menavigasi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kompleksitas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berbeda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</w:t>
      </w:r>
      <w:proofErr w:type="spellEnd"/>
      <w:r w:rsidRPr="00855102">
        <w:rPr>
          <w:rFonts w:ascii="Book Antiqua" w:hAnsi="Book Antiqua"/>
        </w:rPr>
        <w:t xml:space="preserve"> negara (International </w:t>
      </w:r>
      <w:proofErr w:type="spellStart"/>
      <w:r w:rsidRPr="00855102">
        <w:rPr>
          <w:rFonts w:ascii="Book Antiqua" w:hAnsi="Book Antiqua"/>
        </w:rPr>
        <w:t>Labour</w:t>
      </w:r>
      <w:proofErr w:type="spellEnd"/>
      <w:r w:rsidRPr="00855102">
        <w:rPr>
          <w:rFonts w:ascii="Book Antiqua" w:hAnsi="Book Antiqua"/>
        </w:rPr>
        <w:t xml:space="preserve"> Organization, 2006; IMO, 2021). Oleh </w:t>
      </w:r>
      <w:proofErr w:type="spellStart"/>
      <w:r w:rsidRPr="00855102">
        <w:rPr>
          <w:rFonts w:ascii="Book Antiqua" w:hAnsi="Book Antiqua"/>
        </w:rPr>
        <w:t>sebab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ditanamkan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sejak</w:t>
      </w:r>
      <w:proofErr w:type="spellEnd"/>
      <w:r w:rsidRPr="00855102">
        <w:rPr>
          <w:rFonts w:ascii="Book Antiqua" w:hAnsi="Book Antiqua"/>
        </w:rPr>
        <w:t xml:space="preserve"> masa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terkini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perangkat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simulasi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katalogisasi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responsif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vokasional</w:t>
      </w:r>
      <w:proofErr w:type="spellEnd"/>
      <w:r w:rsidRPr="00855102">
        <w:rPr>
          <w:rFonts w:ascii="Book Antiqua" w:hAnsi="Book Antiqua"/>
        </w:rPr>
        <w:t>.</w:t>
      </w:r>
    </w:p>
    <w:p w14:paraId="6134C310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Realitas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lapangan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besar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memadai</w:t>
      </w:r>
      <w:proofErr w:type="spellEnd"/>
      <w:r w:rsidRPr="00855102">
        <w:rPr>
          <w:rFonts w:ascii="Book Antiqua" w:hAnsi="Book Antiqua"/>
        </w:rPr>
        <w:t xml:space="preserve">. Banyak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i/>
          <w:iCs/>
        </w:rPr>
        <w:t>UNCLOS</w:t>
      </w:r>
      <w:r w:rsidRPr="00855102">
        <w:rPr>
          <w:rFonts w:ascii="Book Antiqua" w:hAnsi="Book Antiqua"/>
        </w:rPr>
        <w:t xml:space="preserve">, </w:t>
      </w:r>
      <w:r w:rsidRPr="00855102">
        <w:rPr>
          <w:rFonts w:ascii="Book Antiqua" w:hAnsi="Book Antiqua"/>
          <w:i/>
          <w:iCs/>
        </w:rPr>
        <w:t>STCW</w:t>
      </w:r>
      <w:r w:rsidRPr="00855102">
        <w:rPr>
          <w:rFonts w:ascii="Book Antiqua" w:hAnsi="Book Antiqua"/>
        </w:rPr>
        <w:t xml:space="preserve">, dan </w:t>
      </w:r>
      <w:r w:rsidRPr="00855102">
        <w:rPr>
          <w:rFonts w:ascii="Book Antiqua" w:hAnsi="Book Antiqua"/>
          <w:i/>
          <w:iCs/>
        </w:rPr>
        <w:t>MLC</w:t>
      </w:r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diperbaharui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tersedia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versi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bahasa</w:t>
      </w:r>
      <w:proofErr w:type="spellEnd"/>
      <w:r w:rsidRPr="00855102">
        <w:rPr>
          <w:rFonts w:ascii="Book Antiqua" w:hAnsi="Book Antiqua"/>
        </w:rPr>
        <w:t xml:space="preserve"> Indonesia, </w:t>
      </w:r>
      <w:proofErr w:type="spellStart"/>
      <w:r w:rsidRPr="00855102">
        <w:rPr>
          <w:rFonts w:ascii="Book Antiqua" w:hAnsi="Book Antiqua"/>
        </w:rPr>
        <w:t>sehingga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menyulitkan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keterbatasan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bahasa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asing</w:t>
      </w:r>
      <w:proofErr w:type="spellEnd"/>
      <w:r w:rsidRPr="00855102">
        <w:rPr>
          <w:rFonts w:ascii="Book Antiqua" w:hAnsi="Book Antiqua"/>
        </w:rPr>
        <w:t xml:space="preserve"> (International Maritime Organization, 2022). </w:t>
      </w:r>
      <w:proofErr w:type="spellStart"/>
      <w:r w:rsidRPr="00855102">
        <w:rPr>
          <w:rFonts w:ascii="Book Antiqua" w:hAnsi="Book Antiqua"/>
        </w:rPr>
        <w:t>Jurnal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studi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lokal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pun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tersedia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daring. Di </w:t>
      </w:r>
      <w:proofErr w:type="spellStart"/>
      <w:r w:rsidRPr="00855102">
        <w:rPr>
          <w:rFonts w:ascii="Book Antiqua" w:hAnsi="Book Antiqua"/>
        </w:rPr>
        <w:t>sisi</w:t>
      </w:r>
      <w:proofErr w:type="spellEnd"/>
      <w:r w:rsidRPr="00855102">
        <w:rPr>
          <w:rFonts w:ascii="Book Antiqua" w:hAnsi="Book Antiqua"/>
        </w:rPr>
        <w:t xml:space="preserve"> lain, </w:t>
      </w:r>
      <w:proofErr w:type="spellStart"/>
      <w:r w:rsidRPr="00855102">
        <w:rPr>
          <w:rFonts w:ascii="Book Antiqua" w:hAnsi="Book Antiqua"/>
        </w:rPr>
        <w:t>jumlah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spesialis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sangat </w:t>
      </w:r>
      <w:proofErr w:type="spellStart"/>
      <w:r w:rsidRPr="00855102">
        <w:rPr>
          <w:rFonts w:ascii="Book Antiqua" w:hAnsi="Book Antiqua"/>
        </w:rPr>
        <w:t>terbatas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sehingga</w:t>
      </w:r>
      <w:proofErr w:type="spellEnd"/>
      <w:r w:rsidRPr="00855102">
        <w:rPr>
          <w:rFonts w:ascii="Book Antiqua" w:hAnsi="Book Antiqua"/>
        </w:rPr>
        <w:t xml:space="preserve"> proses </w:t>
      </w:r>
      <w:proofErr w:type="spellStart"/>
      <w:r w:rsidRPr="00855102">
        <w:rPr>
          <w:rFonts w:ascii="Book Antiqua" w:hAnsi="Book Antiqua"/>
        </w:rPr>
        <w:t>kurasi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ajar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berjalan</w:t>
      </w:r>
      <w:proofErr w:type="spellEnd"/>
      <w:r w:rsidRPr="00855102">
        <w:rPr>
          <w:rFonts w:ascii="Book Antiqua" w:hAnsi="Book Antiqua"/>
        </w:rPr>
        <w:t xml:space="preserve"> optimal.</w:t>
      </w:r>
    </w:p>
    <w:p w14:paraId="402C2C75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Dampaknya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berkembang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dangkal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normatif</w:t>
      </w:r>
      <w:proofErr w:type="spellEnd"/>
      <w:r w:rsidRPr="00855102">
        <w:rPr>
          <w:rFonts w:ascii="Book Antiqua" w:hAnsi="Book Antiqua"/>
        </w:rPr>
        <w:t xml:space="preserve">. Mereka </w:t>
      </w:r>
      <w:proofErr w:type="spellStart"/>
      <w:r w:rsidRPr="00855102">
        <w:rPr>
          <w:rFonts w:ascii="Book Antiqua" w:hAnsi="Book Antiqua"/>
        </w:rPr>
        <w:t>mengenal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istilah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konteks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struktur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logika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prosedur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yuridis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menyelesaikan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konflik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. Hal ini </w:t>
      </w:r>
      <w:proofErr w:type="spellStart"/>
      <w:r w:rsidRPr="00855102">
        <w:rPr>
          <w:rFonts w:ascii="Book Antiqua" w:hAnsi="Book Antiqua"/>
        </w:rPr>
        <w:t>bertentangan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cita-cita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ingin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melahirkan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sadar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cakap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membaca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mengambil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keputusan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koridor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(International </w:t>
      </w:r>
      <w:proofErr w:type="spellStart"/>
      <w:r w:rsidRPr="00855102">
        <w:rPr>
          <w:rFonts w:ascii="Book Antiqua" w:hAnsi="Book Antiqua"/>
        </w:rPr>
        <w:t>Labour</w:t>
      </w:r>
      <w:proofErr w:type="spellEnd"/>
      <w:r w:rsidRPr="00855102">
        <w:rPr>
          <w:rFonts w:ascii="Book Antiqua" w:hAnsi="Book Antiqua"/>
        </w:rPr>
        <w:t xml:space="preserve"> Organization, 2006; IMO, 2017).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semakin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mendesak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terlibat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interaksi</w:t>
      </w:r>
      <w:proofErr w:type="spellEnd"/>
      <w:r w:rsidRPr="00855102">
        <w:rPr>
          <w:rFonts w:ascii="Book Antiqua" w:hAnsi="Book Antiqua"/>
        </w:rPr>
        <w:t xml:space="preserve"> global yang </w:t>
      </w:r>
      <w:proofErr w:type="spellStart"/>
      <w:r w:rsidRPr="00855102">
        <w:rPr>
          <w:rFonts w:ascii="Book Antiqua" w:hAnsi="Book Antiqua"/>
        </w:rPr>
        <w:t>melibatkan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ketentuan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negara lain,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penyitaan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deportasi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awak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pelanggaran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lingkungan</w:t>
      </w:r>
      <w:proofErr w:type="spellEnd"/>
      <w:r w:rsidRPr="00855102">
        <w:rPr>
          <w:rFonts w:ascii="Book Antiqua" w:hAnsi="Book Antiqua"/>
        </w:rPr>
        <w:t>.</w:t>
      </w:r>
    </w:p>
    <w:p w14:paraId="79B25F17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tersebut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direposisi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proaktif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responsif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perkembangan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global.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dilengkapi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primer (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putusan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pengadilan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arbitrase</w:t>
      </w:r>
      <w:proofErr w:type="spellEnd"/>
      <w:r w:rsidRPr="00855102">
        <w:rPr>
          <w:rFonts w:ascii="Book Antiqua" w:hAnsi="Book Antiqua"/>
        </w:rPr>
        <w:t xml:space="preserve">), </w:t>
      </w:r>
      <w:proofErr w:type="spellStart"/>
      <w:r w:rsidRPr="00855102">
        <w:rPr>
          <w:rFonts w:ascii="Book Antiqua" w:hAnsi="Book Antiqua"/>
        </w:rPr>
        <w:t>perangkat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lunak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pencarian</w:t>
      </w:r>
      <w:proofErr w:type="spellEnd"/>
      <w:r w:rsidRPr="00855102">
        <w:rPr>
          <w:rFonts w:ascii="Book Antiqua" w:hAnsi="Book Antiqua"/>
        </w:rPr>
        <w:t xml:space="preserve"> data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layanan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lastRenderedPageBreak/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pengajar</w:t>
      </w:r>
      <w:proofErr w:type="spellEnd"/>
      <w:r w:rsidRPr="00855102">
        <w:rPr>
          <w:rFonts w:ascii="Book Antiqua" w:hAnsi="Book Antiqua"/>
        </w:rPr>
        <w:t xml:space="preserve">. Selain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institusional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mengintegrasikan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, agar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pasif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melainkan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jantung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(</w:t>
      </w:r>
      <w:proofErr w:type="spellStart"/>
      <w:r w:rsidRPr="00855102">
        <w:rPr>
          <w:rFonts w:ascii="Book Antiqua" w:hAnsi="Book Antiqua"/>
        </w:rPr>
        <w:t>Budianto</w:t>
      </w:r>
      <w:proofErr w:type="spellEnd"/>
      <w:r w:rsidRPr="00855102">
        <w:rPr>
          <w:rFonts w:ascii="Book Antiqua" w:hAnsi="Book Antiqua"/>
        </w:rPr>
        <w:t xml:space="preserve">, 2019; </w:t>
      </w:r>
      <w:proofErr w:type="spellStart"/>
      <w:r w:rsidRPr="00855102">
        <w:rPr>
          <w:rFonts w:ascii="Book Antiqua" w:hAnsi="Book Antiqua"/>
        </w:rPr>
        <w:t>Direktorat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Jenderal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Laut, 2021).</w:t>
      </w:r>
    </w:p>
    <w:p w14:paraId="4AF6E659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penguatan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pengembangan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reformasi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melainkan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syarat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mutlak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menciptakan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Indonesia yang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bersaing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global. Mereka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andal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kecerdasan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yuridis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nalar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regulatif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mengelola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dinamis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adaptif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kontekstual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fondasi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menumbuhkan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profesionalisme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tanggung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saing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Indonesia di </w:t>
      </w:r>
      <w:proofErr w:type="spellStart"/>
      <w:r w:rsidRPr="00855102">
        <w:rPr>
          <w:rFonts w:ascii="Book Antiqua" w:hAnsi="Book Antiqua"/>
        </w:rPr>
        <w:t>abad</w:t>
      </w:r>
      <w:proofErr w:type="spellEnd"/>
      <w:r w:rsidRPr="00855102">
        <w:rPr>
          <w:rFonts w:ascii="Book Antiqua" w:hAnsi="Book Antiqua"/>
        </w:rPr>
        <w:t xml:space="preserve"> ke-21.</w:t>
      </w:r>
    </w:p>
    <w:p w14:paraId="7CEFBADF" w14:textId="77777777" w:rsidR="00855102" w:rsidRPr="00855102" w:rsidRDefault="00855102" w:rsidP="00855102">
      <w:pPr>
        <w:pStyle w:val="Heading1"/>
      </w:pPr>
      <w:r w:rsidRPr="00855102">
        <w:t xml:space="preserve">Metode </w:t>
      </w:r>
    </w:p>
    <w:p w14:paraId="13E0F559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Penelitian ini </w:t>
      </w:r>
      <w:proofErr w:type="spellStart"/>
      <w:r w:rsidRPr="00855102">
        <w:rPr>
          <w:rFonts w:ascii="Book Antiqua" w:hAnsi="Book Antiqua"/>
        </w:rPr>
        <w:t>menggunakan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kualitatif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desain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deskriptif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karena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bertujuan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bagaimana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diaplikasikan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konteks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ini sangat </w:t>
      </w:r>
      <w:proofErr w:type="spellStart"/>
      <w:r w:rsidRPr="00855102">
        <w:rPr>
          <w:rFonts w:ascii="Book Antiqua" w:hAnsi="Book Antiqua"/>
        </w:rPr>
        <w:t>relevan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mengeksplorasi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makna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pengalaman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kritis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pelaku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praktisi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membentuk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kecakapan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(Creswell, 2013; Lincoln &amp; Guba, 1985). </w:t>
      </w:r>
      <w:proofErr w:type="spellStart"/>
      <w:r w:rsidRPr="00855102">
        <w:rPr>
          <w:rFonts w:ascii="Book Antiqua" w:hAnsi="Book Antiqua"/>
        </w:rPr>
        <w:t>Mengingat</w:t>
      </w:r>
      <w:proofErr w:type="spellEnd"/>
      <w:r w:rsidRPr="00855102">
        <w:rPr>
          <w:rFonts w:ascii="Book Antiqua" w:hAnsi="Book Antiqua"/>
        </w:rPr>
        <w:t xml:space="preserve"> dunia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diatur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berbagai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instrumen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UNCLOS, STCW, dan SOLAS (IMO, 2022; United Nations, 1982), </w:t>
      </w:r>
      <w:proofErr w:type="spellStart"/>
      <w:r w:rsidRPr="00855102">
        <w:rPr>
          <w:rFonts w:ascii="Book Antiqua" w:hAnsi="Book Antiqua"/>
        </w:rPr>
        <w:t>maka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didik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mengakses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menerapkan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kontekstual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krusial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hal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 sangat </w:t>
      </w:r>
      <w:proofErr w:type="spellStart"/>
      <w:r w:rsidRPr="00855102">
        <w:rPr>
          <w:rFonts w:ascii="Book Antiqua" w:hAnsi="Book Antiqua"/>
        </w:rPr>
        <w:t>bergantung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kualitas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layanan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>.</w:t>
      </w:r>
    </w:p>
    <w:p w14:paraId="38312662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Tiga </w:t>
      </w:r>
      <w:proofErr w:type="spellStart"/>
      <w:r w:rsidRPr="00855102">
        <w:rPr>
          <w:rFonts w:ascii="Book Antiqua" w:hAnsi="Book Antiqua"/>
        </w:rPr>
        <w:t>kategori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dilibatkan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penelitian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teknik</w:t>
      </w:r>
      <w:proofErr w:type="spellEnd"/>
      <w:r w:rsidRPr="00855102">
        <w:rPr>
          <w:rFonts w:ascii="Book Antiqua" w:hAnsi="Book Antiqua"/>
        </w:rPr>
        <w:t xml:space="preserve"> purposive sampling, yang </w:t>
      </w:r>
      <w:proofErr w:type="spellStart"/>
      <w:r w:rsidRPr="00855102">
        <w:rPr>
          <w:rFonts w:ascii="Book Antiqua" w:hAnsi="Book Antiqua"/>
        </w:rPr>
        <w:t>menekankan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kedalaman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pengalaman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relevansi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posisi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tujuan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studi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Kategori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seorang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pakar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yang </w:t>
      </w:r>
      <w:proofErr w:type="spellStart"/>
      <w:r w:rsidRPr="00855102">
        <w:rPr>
          <w:rFonts w:ascii="Book Antiqua" w:hAnsi="Book Antiqua"/>
        </w:rPr>
        <w:t>merupakan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pengusaha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pengambil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keputusan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sektor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kepelabuhanan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pengalamannya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menerapkan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Nasional </w:t>
      </w:r>
      <w:proofErr w:type="spellStart"/>
      <w:r w:rsidRPr="00855102">
        <w:rPr>
          <w:rFonts w:ascii="Book Antiqua" w:hAnsi="Book Antiqua"/>
        </w:rPr>
        <w:t>Transportasi</w:t>
      </w:r>
      <w:proofErr w:type="spellEnd"/>
      <w:r w:rsidRPr="00855102">
        <w:rPr>
          <w:rFonts w:ascii="Book Antiqua" w:hAnsi="Book Antiqua"/>
        </w:rPr>
        <w:t xml:space="preserve"> Laut (</w:t>
      </w:r>
      <w:proofErr w:type="spellStart"/>
      <w:r w:rsidRPr="00855102">
        <w:rPr>
          <w:rFonts w:ascii="Book Antiqua" w:hAnsi="Book Antiqua"/>
        </w:rPr>
        <w:t>Direktorat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Jenderal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Laut, 2021),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memberikan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pandangan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tentang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dimiliki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agar </w:t>
      </w:r>
      <w:proofErr w:type="spellStart"/>
      <w:r w:rsidRPr="00855102">
        <w:rPr>
          <w:rFonts w:ascii="Book Antiqua" w:hAnsi="Book Antiqua"/>
        </w:rPr>
        <w:t>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bersaing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global. </w:t>
      </w:r>
      <w:proofErr w:type="spellStart"/>
      <w:r w:rsidRPr="00855102">
        <w:rPr>
          <w:rFonts w:ascii="Book Antiqua" w:hAnsi="Book Antiqua"/>
        </w:rPr>
        <w:t>Kategori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kedua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terdiri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atas</w:t>
      </w:r>
      <w:proofErr w:type="spellEnd"/>
      <w:r w:rsidRPr="00855102">
        <w:rPr>
          <w:rFonts w:ascii="Book Antiqua" w:hAnsi="Book Antiqua"/>
        </w:rPr>
        <w:t xml:space="preserve"> dua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mengajar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lastRenderedPageBreak/>
        <w:t>bidang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pelabuhan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Mereka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ajar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STCW, MLC, dan MARPOL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pengajaran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sejauh</w:t>
      </w:r>
      <w:proofErr w:type="spellEnd"/>
      <w:r w:rsidRPr="00855102">
        <w:rPr>
          <w:rFonts w:ascii="Book Antiqua" w:hAnsi="Book Antiqua"/>
        </w:rPr>
        <w:t xml:space="preserve"> mana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mendukung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praktik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Kategori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ketiga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sekolah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kejuruan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bekerja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industri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langsung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menghadapi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peraturan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diatur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MLC (International </w:t>
      </w:r>
      <w:proofErr w:type="spellStart"/>
      <w:r w:rsidRPr="00855102">
        <w:rPr>
          <w:rFonts w:ascii="Book Antiqua" w:hAnsi="Book Antiqua"/>
        </w:rPr>
        <w:t>Labour</w:t>
      </w:r>
      <w:proofErr w:type="spellEnd"/>
      <w:r w:rsidRPr="00855102">
        <w:rPr>
          <w:rFonts w:ascii="Book Antiqua" w:hAnsi="Book Antiqua"/>
        </w:rPr>
        <w:t xml:space="preserve"> Organization, 2006).</w:t>
      </w:r>
    </w:p>
    <w:p w14:paraId="509A4947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Pengumpulan</w:t>
      </w:r>
      <w:proofErr w:type="spellEnd"/>
      <w:r w:rsidRPr="00855102">
        <w:rPr>
          <w:rFonts w:ascii="Book Antiqua" w:hAnsi="Book Antiqua"/>
        </w:rPr>
        <w:t xml:space="preserve"> data </w:t>
      </w:r>
      <w:proofErr w:type="spellStart"/>
      <w:r w:rsidRPr="00855102">
        <w:rPr>
          <w:rFonts w:ascii="Book Antiqua" w:hAnsi="Book Antiqua"/>
        </w:rPr>
        <w:t>dilakukan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wawancara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mendalam</w:t>
      </w:r>
      <w:proofErr w:type="spellEnd"/>
      <w:r w:rsidRPr="00855102">
        <w:rPr>
          <w:rFonts w:ascii="Book Antiqua" w:hAnsi="Book Antiqua"/>
        </w:rPr>
        <w:t xml:space="preserve"> semi-</w:t>
      </w:r>
      <w:proofErr w:type="spellStart"/>
      <w:r w:rsidRPr="00855102">
        <w:rPr>
          <w:rFonts w:ascii="Book Antiqua" w:hAnsi="Book Antiqua"/>
        </w:rPr>
        <w:t>terstruktur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memungkinkan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penggalian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narasi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reflektif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fleksibel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tetap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terarah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kerangka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Wawancara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dilaksanakan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daring dan luring,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memperhatikan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protokol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etika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informed consent dan </w:t>
      </w:r>
      <w:proofErr w:type="spellStart"/>
      <w:r w:rsidRPr="00855102">
        <w:rPr>
          <w:rFonts w:ascii="Book Antiqua" w:hAnsi="Book Antiqua"/>
        </w:rPr>
        <w:t>kerahasiaan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identitas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. Panduan </w:t>
      </w:r>
      <w:proofErr w:type="spellStart"/>
      <w:r w:rsidRPr="00855102">
        <w:rPr>
          <w:rFonts w:ascii="Book Antiqua" w:hAnsi="Book Antiqua"/>
        </w:rPr>
        <w:t>wawancara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disusun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mencakup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dimensi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SOLAS dan STCW,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menyiapkan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paham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hak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kewajiban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(IMO, 1978/2010; ITF Seafarers, 2020).</w:t>
      </w:r>
    </w:p>
    <w:p w14:paraId="49FA142A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Data </w:t>
      </w:r>
      <w:proofErr w:type="spellStart"/>
      <w:r w:rsidRPr="00855102">
        <w:rPr>
          <w:rFonts w:ascii="Book Antiqua" w:hAnsi="Book Antiqua"/>
        </w:rPr>
        <w:t>dianalisis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tematik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dimulai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proses </w:t>
      </w:r>
      <w:proofErr w:type="spellStart"/>
      <w:r w:rsidRPr="00855102">
        <w:rPr>
          <w:rFonts w:ascii="Book Antiqua" w:hAnsi="Book Antiqua"/>
        </w:rPr>
        <w:t>transkripsi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pengkodean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terbuka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kemudian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dilanjutkan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kategorisasi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kualitas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digital, </w:t>
      </w:r>
      <w:proofErr w:type="spellStart"/>
      <w:r w:rsidRPr="00855102">
        <w:rPr>
          <w:rFonts w:ascii="Book Antiqua" w:hAnsi="Book Antiqua"/>
        </w:rPr>
        <w:t>keterlibatan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STCW dan MLC (IMO, 2017; ILO, 2006). </w:t>
      </w:r>
      <w:proofErr w:type="spellStart"/>
      <w:r w:rsidRPr="00855102">
        <w:rPr>
          <w:rFonts w:ascii="Book Antiqua" w:hAnsi="Book Antiqua"/>
        </w:rPr>
        <w:t>Validitas</w:t>
      </w:r>
      <w:proofErr w:type="spellEnd"/>
      <w:r w:rsidRPr="00855102">
        <w:rPr>
          <w:rFonts w:ascii="Book Antiqua" w:hAnsi="Book Antiqua"/>
        </w:rPr>
        <w:t xml:space="preserve"> data </w:t>
      </w:r>
      <w:proofErr w:type="spellStart"/>
      <w:r w:rsidRPr="00855102">
        <w:rPr>
          <w:rFonts w:ascii="Book Antiqua" w:hAnsi="Book Antiqua"/>
        </w:rPr>
        <w:t>dijaga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triangulasi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kelompok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dan member checking </w:t>
      </w:r>
      <w:proofErr w:type="spellStart"/>
      <w:r w:rsidRPr="00855102">
        <w:rPr>
          <w:rFonts w:ascii="Book Antiqua" w:hAnsi="Book Antiqua"/>
        </w:rPr>
        <w:t>kepada</w:t>
      </w:r>
      <w:proofErr w:type="spellEnd"/>
      <w:r w:rsidRPr="00855102">
        <w:rPr>
          <w:rFonts w:ascii="Book Antiqua" w:hAnsi="Book Antiqua"/>
        </w:rPr>
        <w:t xml:space="preserve"> dua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kunci</w:t>
      </w:r>
      <w:proofErr w:type="spellEnd"/>
      <w:r w:rsidRPr="00855102">
        <w:rPr>
          <w:rFonts w:ascii="Book Antiqua" w:hAnsi="Book Antiqua"/>
        </w:rPr>
        <w:t xml:space="preserve">. Proses ini </w:t>
      </w:r>
      <w:proofErr w:type="spellStart"/>
      <w:r w:rsidRPr="00855102">
        <w:rPr>
          <w:rFonts w:ascii="Book Antiqua" w:hAnsi="Book Antiqua"/>
        </w:rPr>
        <w:t>bertujuan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memastikan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makna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ditangkap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bias dan </w:t>
      </w:r>
      <w:proofErr w:type="spellStart"/>
      <w:r w:rsidRPr="00855102">
        <w:rPr>
          <w:rFonts w:ascii="Book Antiqua" w:hAnsi="Book Antiqua"/>
        </w:rPr>
        <w:t>merepresentasikan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objektif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lapangan</w:t>
      </w:r>
      <w:proofErr w:type="spellEnd"/>
      <w:r w:rsidRPr="00855102">
        <w:rPr>
          <w:rFonts w:ascii="Book Antiqua" w:hAnsi="Book Antiqua"/>
        </w:rPr>
        <w:t>.</w:t>
      </w:r>
    </w:p>
    <w:p w14:paraId="19E47444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Seluruh</w:t>
      </w:r>
      <w:proofErr w:type="spellEnd"/>
      <w:r w:rsidRPr="00855102">
        <w:rPr>
          <w:rFonts w:ascii="Book Antiqua" w:hAnsi="Book Antiqua"/>
        </w:rPr>
        <w:t xml:space="preserve"> proses </w:t>
      </w:r>
      <w:proofErr w:type="spellStart"/>
      <w:r w:rsidRPr="00855102">
        <w:rPr>
          <w:rFonts w:ascii="Book Antiqua" w:hAnsi="Book Antiqua"/>
        </w:rPr>
        <w:t>penelitian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dijalankan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prinsip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etika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ketat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diberi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kebebasan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penuh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berhenti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sewaktu-waktu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</w:t>
      </w:r>
      <w:proofErr w:type="spellEnd"/>
      <w:r w:rsidRPr="00855102">
        <w:rPr>
          <w:rFonts w:ascii="Book Antiqua" w:hAnsi="Book Antiqua"/>
        </w:rPr>
        <w:t xml:space="preserve"> data yang </w:t>
      </w:r>
      <w:proofErr w:type="spellStart"/>
      <w:r w:rsidRPr="00855102">
        <w:rPr>
          <w:rFonts w:ascii="Book Antiqua" w:hAnsi="Book Antiqua"/>
        </w:rPr>
        <w:t>dipublikasikan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tanpa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persetujuan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tertulis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Peneliti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menjamin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intervensi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pihak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proses </w:t>
      </w:r>
      <w:proofErr w:type="spellStart"/>
      <w:r w:rsidRPr="00855102">
        <w:rPr>
          <w:rFonts w:ascii="Book Antiqua" w:hAnsi="Book Antiqua"/>
        </w:rPr>
        <w:t>pengumpulan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analisis</w:t>
      </w:r>
      <w:proofErr w:type="spellEnd"/>
      <w:r w:rsidRPr="00855102">
        <w:rPr>
          <w:rFonts w:ascii="Book Antiqua" w:hAnsi="Book Antiqua"/>
        </w:rPr>
        <w:t xml:space="preserve"> data.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ini, </w:t>
      </w:r>
      <w:proofErr w:type="spellStart"/>
      <w:r w:rsidRPr="00855102">
        <w:rPr>
          <w:rFonts w:ascii="Book Antiqua" w:hAnsi="Book Antiqua"/>
        </w:rPr>
        <w:t>diharapkan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penelitian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memetakan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holistik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bagaimana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pembentukan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lingkungan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mencetak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lastRenderedPageBreak/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kerangka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global dan </w:t>
      </w:r>
      <w:proofErr w:type="spellStart"/>
      <w:r w:rsidRPr="00855102">
        <w:rPr>
          <w:rFonts w:ascii="Book Antiqua" w:hAnsi="Book Antiqua"/>
        </w:rPr>
        <w:t>bertindak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sesuai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norma-norma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berlaku</w:t>
      </w:r>
      <w:proofErr w:type="spellEnd"/>
      <w:r w:rsidRPr="00855102">
        <w:rPr>
          <w:rFonts w:ascii="Book Antiqua" w:hAnsi="Book Antiqua"/>
        </w:rPr>
        <w:t xml:space="preserve"> (IMO, 2022; United Nations, 1982).</w:t>
      </w:r>
    </w:p>
    <w:p w14:paraId="6C4D027B" w14:textId="77777777" w:rsidR="00855102" w:rsidRPr="00855102" w:rsidRDefault="00855102" w:rsidP="00855102">
      <w:pPr>
        <w:pStyle w:val="Heading1"/>
      </w:pPr>
      <w:r w:rsidRPr="00855102">
        <w:t>Hasil Penelitian</w:t>
      </w:r>
    </w:p>
    <w:p w14:paraId="61652836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Penelitian ini </w:t>
      </w:r>
      <w:proofErr w:type="spellStart"/>
      <w:r w:rsidRPr="00855102">
        <w:rPr>
          <w:rFonts w:ascii="Book Antiqua" w:hAnsi="Book Antiqua"/>
        </w:rPr>
        <w:t>bertujuan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mengevaluasi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khususnya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melalui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pembentukan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kompetensi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Hasil </w:t>
      </w:r>
      <w:proofErr w:type="spellStart"/>
      <w:r w:rsidRPr="00855102">
        <w:rPr>
          <w:rFonts w:ascii="Book Antiqua" w:hAnsi="Book Antiqua"/>
        </w:rPr>
        <w:t>penelitian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efisiensi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mencapai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tingkat</w:t>
      </w:r>
      <w:proofErr w:type="spellEnd"/>
      <w:r w:rsidRPr="00855102">
        <w:rPr>
          <w:rFonts w:ascii="Book Antiqua" w:hAnsi="Book Antiqua"/>
        </w:rPr>
        <w:t xml:space="preserve"> yang sangat </w:t>
      </w:r>
      <w:proofErr w:type="spellStart"/>
      <w:r w:rsidRPr="00855102">
        <w:rPr>
          <w:rFonts w:ascii="Book Antiqua" w:hAnsi="Book Antiqua"/>
        </w:rPr>
        <w:t>baik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keseluruhan</w:t>
      </w:r>
      <w:proofErr w:type="spellEnd"/>
      <w:r w:rsidRPr="00855102">
        <w:rPr>
          <w:rFonts w:ascii="Book Antiqua" w:hAnsi="Book Antiqua"/>
        </w:rPr>
        <w:t xml:space="preserve"> rata-rata </w:t>
      </w:r>
      <w:proofErr w:type="spellStart"/>
      <w:r w:rsidRPr="00855102">
        <w:rPr>
          <w:rFonts w:ascii="Book Antiqua" w:hAnsi="Book Antiqua"/>
        </w:rPr>
        <w:t>mencapai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 xml:space="preserve">9 </w:t>
      </w:r>
      <w:proofErr w:type="spellStart"/>
      <w:r w:rsidRPr="00855102">
        <w:rPr>
          <w:rFonts w:ascii="Book Antiqua" w:hAnsi="Book Antiqua"/>
          <w:b/>
          <w:bCs/>
        </w:rPr>
        <w:t>dari</w:t>
      </w:r>
      <w:proofErr w:type="spellEnd"/>
      <w:r w:rsidRPr="00855102">
        <w:rPr>
          <w:rFonts w:ascii="Book Antiqua" w:hAnsi="Book Antiqua"/>
          <w:b/>
          <w:bCs/>
        </w:rPr>
        <w:t xml:space="preserve"> 10</w:t>
      </w:r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Penilaian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diperoleh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analisis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skoring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tiga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kelompok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yakni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sekolah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aktif</w:t>
      </w:r>
      <w:proofErr w:type="spellEnd"/>
      <w:r w:rsidRPr="00855102">
        <w:rPr>
          <w:rFonts w:ascii="Book Antiqua" w:hAnsi="Book Antiqua"/>
        </w:rPr>
        <w:t xml:space="preserve"> di dunia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>.</w:t>
      </w:r>
    </w:p>
    <w:p w14:paraId="00C47F74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Temuan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indikator</w:t>
      </w:r>
      <w:proofErr w:type="spellEnd"/>
      <w:r w:rsidRPr="00855102">
        <w:rPr>
          <w:rFonts w:ascii="Book Antiqua" w:hAnsi="Book Antiqua"/>
          <w:b/>
          <w:bCs/>
        </w:rPr>
        <w:t xml:space="preserve"> “</w:t>
      </w:r>
      <w:proofErr w:type="spellStart"/>
      <w:r w:rsidRPr="00855102">
        <w:rPr>
          <w:rFonts w:ascii="Book Antiqua" w:hAnsi="Book Antiqua"/>
          <w:b/>
          <w:bCs/>
        </w:rPr>
        <w:t>Manajemen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Pelayaran</w:t>
      </w:r>
      <w:proofErr w:type="spellEnd"/>
      <w:r w:rsidRPr="00855102">
        <w:rPr>
          <w:rFonts w:ascii="Book Antiqua" w:hAnsi="Book Antiqua"/>
          <w:b/>
          <w:bCs/>
        </w:rPr>
        <w:t xml:space="preserve">” </w:t>
      </w:r>
      <w:proofErr w:type="spellStart"/>
      <w:r w:rsidRPr="00855102">
        <w:rPr>
          <w:rFonts w:ascii="Book Antiqua" w:hAnsi="Book Antiqua"/>
          <w:b/>
          <w:bCs/>
        </w:rPr>
        <w:t>memperoleh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skor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sempurna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dari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seluruh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informan</w:t>
      </w:r>
      <w:proofErr w:type="spellEnd"/>
      <w:r w:rsidRPr="00855102">
        <w:rPr>
          <w:rFonts w:ascii="Book Antiqua" w:hAnsi="Book Antiqua"/>
        </w:rPr>
        <w:t xml:space="preserve"> (9/10). Para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struktur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operasional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perizinan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dokumentasi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pemecahan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masalah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lapangan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peningkatan</w:t>
      </w:r>
      <w:proofErr w:type="spellEnd"/>
      <w:r w:rsidRPr="00855102">
        <w:rPr>
          <w:rFonts w:ascii="Book Antiqua" w:hAnsi="Book Antiqua"/>
        </w:rPr>
        <w:t xml:space="preserve">. Hal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dan manual </w:t>
      </w:r>
      <w:proofErr w:type="spellStart"/>
      <w:r w:rsidRPr="00855102">
        <w:rPr>
          <w:rFonts w:ascii="Book Antiqua" w:hAnsi="Book Antiqua"/>
        </w:rPr>
        <w:t>operasional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pelabuhan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digunakan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proses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. Dosen pun </w:t>
      </w:r>
      <w:proofErr w:type="spellStart"/>
      <w:r w:rsidRPr="00855102">
        <w:rPr>
          <w:rFonts w:ascii="Book Antiqua" w:hAnsi="Book Antiqua"/>
        </w:rPr>
        <w:t>melihat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kemajuan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signifikan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konsep-konsep</w:t>
      </w:r>
      <w:proofErr w:type="spellEnd"/>
      <w:r w:rsidRPr="00855102">
        <w:rPr>
          <w:rFonts w:ascii="Book Antiqua" w:hAnsi="Book Antiqua"/>
        </w:rPr>
        <w:t xml:space="preserve"> legal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terutama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pelibatan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disediakan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>.</w:t>
      </w:r>
    </w:p>
    <w:p w14:paraId="0D5A44D5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Pada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>“</w:t>
      </w:r>
      <w:proofErr w:type="spellStart"/>
      <w:r w:rsidRPr="00855102">
        <w:rPr>
          <w:rFonts w:ascii="Book Antiqua" w:hAnsi="Book Antiqua"/>
          <w:b/>
          <w:bCs/>
        </w:rPr>
        <w:t>Bisnis</w:t>
      </w:r>
      <w:proofErr w:type="spellEnd"/>
      <w:r w:rsidRPr="00855102">
        <w:rPr>
          <w:rFonts w:ascii="Book Antiqua" w:hAnsi="Book Antiqua"/>
          <w:b/>
          <w:bCs/>
        </w:rPr>
        <w:t xml:space="preserve"> Maritim”</w:t>
      </w:r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rata-rata </w:t>
      </w:r>
      <w:proofErr w:type="spellStart"/>
      <w:r w:rsidRPr="00855102">
        <w:rPr>
          <w:rFonts w:ascii="Book Antiqua" w:hAnsi="Book Antiqua"/>
        </w:rPr>
        <w:t>berada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angka</w:t>
      </w:r>
      <w:proofErr w:type="spellEnd"/>
      <w:r w:rsidRPr="00855102">
        <w:rPr>
          <w:rFonts w:ascii="Book Antiqua" w:hAnsi="Book Antiqua"/>
        </w:rPr>
        <w:t xml:space="preserve"> 8,3, yang </w:t>
      </w:r>
      <w:proofErr w:type="spellStart"/>
      <w:r w:rsidRPr="00855102">
        <w:rPr>
          <w:rFonts w:ascii="Book Antiqua" w:hAnsi="Book Antiqua"/>
        </w:rPr>
        <w:t>mencerminkan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menyisakan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perbaikan</w:t>
      </w:r>
      <w:proofErr w:type="spellEnd"/>
      <w:r w:rsidRPr="00855102">
        <w:rPr>
          <w:rFonts w:ascii="Book Antiqua" w:hAnsi="Book Antiqua"/>
        </w:rPr>
        <w:t xml:space="preserve">. Para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menyoroti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mulai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rantai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logistik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transaksi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angkutan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negosiasi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dagang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, para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mencatat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terlalu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teoretis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sepenuhnya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studi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.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walaupun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sudah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mulai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ditanamkan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i/>
          <w:iCs/>
        </w:rPr>
        <w:t>bill of lading</w:t>
      </w:r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angkutan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undang-undang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perdagangan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perlu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sering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dijadikan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belajar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. Di </w:t>
      </w:r>
      <w:proofErr w:type="spellStart"/>
      <w:r w:rsidRPr="00855102">
        <w:rPr>
          <w:rFonts w:ascii="Book Antiqua" w:hAnsi="Book Antiqua"/>
        </w:rPr>
        <w:t>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menganalisis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risiko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nilai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tambah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keterlibatan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>.</w:t>
      </w:r>
    </w:p>
    <w:p w14:paraId="5B0F61FD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Pada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ketiga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yaitu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>“</w:t>
      </w:r>
      <w:proofErr w:type="spellStart"/>
      <w:r w:rsidRPr="00855102">
        <w:rPr>
          <w:rFonts w:ascii="Book Antiqua" w:hAnsi="Book Antiqua"/>
          <w:b/>
          <w:bCs/>
        </w:rPr>
        <w:t>Keuangan</w:t>
      </w:r>
      <w:proofErr w:type="spellEnd"/>
      <w:r w:rsidRPr="00855102">
        <w:rPr>
          <w:rFonts w:ascii="Book Antiqua" w:hAnsi="Book Antiqua"/>
          <w:b/>
          <w:bCs/>
        </w:rPr>
        <w:t xml:space="preserve"> dan </w:t>
      </w:r>
      <w:proofErr w:type="spellStart"/>
      <w:r w:rsidRPr="00855102">
        <w:rPr>
          <w:rFonts w:ascii="Book Antiqua" w:hAnsi="Book Antiqua"/>
          <w:b/>
          <w:bCs/>
        </w:rPr>
        <w:t>Keberlanjutan</w:t>
      </w:r>
      <w:proofErr w:type="spellEnd"/>
      <w:r w:rsidRPr="00855102">
        <w:rPr>
          <w:rFonts w:ascii="Book Antiqua" w:hAnsi="Book Antiqua"/>
          <w:b/>
          <w:bCs/>
        </w:rPr>
        <w:t xml:space="preserve"> Maritim”</w:t>
      </w:r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rata-rata </w:t>
      </w:r>
      <w:proofErr w:type="spellStart"/>
      <w:r w:rsidRPr="00855102">
        <w:rPr>
          <w:rFonts w:ascii="Book Antiqua" w:hAnsi="Book Antiqua"/>
        </w:rPr>
        <w:t>berada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angka</w:t>
      </w:r>
      <w:proofErr w:type="spellEnd"/>
      <w:r w:rsidRPr="00855102">
        <w:rPr>
          <w:rFonts w:ascii="Book Antiqua" w:hAnsi="Book Antiqua"/>
        </w:rPr>
        <w:t xml:space="preserve"> 8,6,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kontribusi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mengaku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terbantu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lastRenderedPageBreak/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berkaitan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audit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anggaran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pajak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Hal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konsep-konsep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kelautan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cost recovery, break-even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hingga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pelaporan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fiskal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mulai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dikuasai</w:t>
      </w:r>
      <w:proofErr w:type="spellEnd"/>
      <w:r w:rsidRPr="00855102">
        <w:rPr>
          <w:rFonts w:ascii="Book Antiqua" w:hAnsi="Book Antiqua"/>
        </w:rPr>
        <w:t xml:space="preserve">. Dosen </w:t>
      </w:r>
      <w:proofErr w:type="spellStart"/>
      <w:r w:rsidRPr="00855102">
        <w:rPr>
          <w:rFonts w:ascii="Book Antiqua" w:hAnsi="Book Antiqua"/>
        </w:rPr>
        <w:t>menyoroti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keterbatasan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terkait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pembiayaan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i/>
          <w:iCs/>
        </w:rPr>
        <w:t>ESG</w:t>
      </w:r>
      <w:r w:rsidRPr="00855102">
        <w:rPr>
          <w:rFonts w:ascii="Book Antiqua" w:hAnsi="Book Antiqua"/>
        </w:rPr>
        <w:t xml:space="preserve"> (Environmental, Social, Governance), </w:t>
      </w:r>
      <w:proofErr w:type="spellStart"/>
      <w:r w:rsidRPr="00855102">
        <w:rPr>
          <w:rFonts w:ascii="Book Antiqua" w:hAnsi="Book Antiqua"/>
        </w:rPr>
        <w:t>sehingga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hal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perlu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ditingkatkan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pemahaman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dasar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tentang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prinsip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muncul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diskusi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kelas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tugas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proyek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>.</w:t>
      </w:r>
    </w:p>
    <w:p w14:paraId="782F1E9B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keempat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>“</w:t>
      </w:r>
      <w:proofErr w:type="spellStart"/>
      <w:r w:rsidRPr="00855102">
        <w:rPr>
          <w:rFonts w:ascii="Book Antiqua" w:hAnsi="Book Antiqua"/>
          <w:b/>
          <w:bCs/>
        </w:rPr>
        <w:t>Ketersediaan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Kepustakaan</w:t>
      </w:r>
      <w:proofErr w:type="spellEnd"/>
      <w:r w:rsidRPr="00855102">
        <w:rPr>
          <w:rFonts w:ascii="Book Antiqua" w:hAnsi="Book Antiqua"/>
          <w:b/>
          <w:bCs/>
        </w:rPr>
        <w:t xml:space="preserve"> Maritim”</w:t>
      </w:r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rata-rata 7,3. Ini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terendah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keseluruhan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catatan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</w:t>
      </w:r>
      <w:proofErr w:type="spellEnd"/>
      <w:r w:rsidRPr="00855102">
        <w:rPr>
          <w:rFonts w:ascii="Book Antiqua" w:hAnsi="Book Antiqua"/>
        </w:rPr>
        <w:t xml:space="preserve">. Para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umum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menyampaikan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meskipun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sudah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bahan</w:t>
      </w:r>
      <w:proofErr w:type="spellEnd"/>
      <w:r w:rsidRPr="00855102">
        <w:rPr>
          <w:rFonts w:ascii="Book Antiqua" w:hAnsi="Book Antiqua"/>
        </w:rPr>
        <w:t xml:space="preserve"> ajar </w:t>
      </w:r>
      <w:proofErr w:type="spellStart"/>
      <w:r w:rsidRPr="00855102">
        <w:rPr>
          <w:rFonts w:ascii="Book Antiqua" w:hAnsi="Book Antiqua"/>
        </w:rPr>
        <w:t>standar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jumlah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kualitas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spesifik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isu-isu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sangat </w:t>
      </w:r>
      <w:proofErr w:type="spellStart"/>
      <w:r w:rsidRPr="00855102">
        <w:rPr>
          <w:rFonts w:ascii="Book Antiqua" w:hAnsi="Book Antiqua"/>
        </w:rPr>
        <w:t>terbatas</w:t>
      </w:r>
      <w:proofErr w:type="spellEnd"/>
      <w:r w:rsidRPr="00855102">
        <w:rPr>
          <w:rFonts w:ascii="Book Antiqua" w:hAnsi="Book Antiqua"/>
        </w:rPr>
        <w:t xml:space="preserve">. Banyak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diperbaharui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kurangnya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digital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jurnal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minimnya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kompeten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bidang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mencatat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selama</w:t>
      </w:r>
      <w:proofErr w:type="spellEnd"/>
      <w:r w:rsidRPr="00855102">
        <w:rPr>
          <w:rFonts w:ascii="Book Antiqua" w:hAnsi="Book Antiqua"/>
        </w:rPr>
        <w:t xml:space="preserve"> masa </w:t>
      </w:r>
      <w:proofErr w:type="spellStart"/>
      <w:r w:rsidRPr="00855102">
        <w:rPr>
          <w:rFonts w:ascii="Book Antiqua" w:hAnsi="Book Antiqua"/>
        </w:rPr>
        <w:t>studi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kesulitan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mendapatkan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referensi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aktual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terkait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terbaru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maupun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global.</w:t>
      </w:r>
    </w:p>
    <w:p w14:paraId="42B613D9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Selanjutnya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>“</w:t>
      </w:r>
      <w:proofErr w:type="spellStart"/>
      <w:r w:rsidRPr="00855102">
        <w:rPr>
          <w:rFonts w:ascii="Book Antiqua" w:hAnsi="Book Antiqua"/>
          <w:b/>
          <w:bCs/>
        </w:rPr>
        <w:t>Pemanfaatan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Perpustakaan</w:t>
      </w:r>
      <w:proofErr w:type="spellEnd"/>
      <w:r w:rsidRPr="00855102">
        <w:rPr>
          <w:rFonts w:ascii="Book Antiqua" w:hAnsi="Book Antiqua"/>
          <w:b/>
          <w:bCs/>
        </w:rPr>
        <w:t xml:space="preserve"> oleh Taruna”</w:t>
      </w:r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memperoleh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rata-rata 7,6. Para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mengamati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kecil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studi</w:t>
      </w:r>
      <w:proofErr w:type="spellEnd"/>
      <w:r w:rsidRPr="00855102">
        <w:rPr>
          <w:rFonts w:ascii="Book Antiqua" w:hAnsi="Book Antiqua"/>
        </w:rPr>
        <w:t xml:space="preserve">. Banyak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mereka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bergantung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materi</w:t>
      </w:r>
      <w:proofErr w:type="spellEnd"/>
      <w:r w:rsidRPr="00855102">
        <w:rPr>
          <w:rFonts w:ascii="Book Antiqua" w:hAnsi="Book Antiqua"/>
        </w:rPr>
        <w:t xml:space="preserve"> ajar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daripada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menggali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mandiri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menilai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sering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menggunakan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referensi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komunikasi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argumentasi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kuat</w:t>
      </w:r>
      <w:proofErr w:type="spellEnd"/>
      <w:r w:rsidRPr="00855102">
        <w:rPr>
          <w:rFonts w:ascii="Book Antiqua" w:hAnsi="Book Antiqua"/>
        </w:rPr>
        <w:t xml:space="preserve"> di dunia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 xml:space="preserve">.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korelasi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positif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kesiapan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. Maka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perlu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adanya</w:t>
      </w:r>
      <w:proofErr w:type="spellEnd"/>
      <w:r w:rsidRPr="00855102">
        <w:rPr>
          <w:rFonts w:ascii="Book Antiqua" w:hAnsi="Book Antiqua"/>
        </w:rPr>
        <w:t xml:space="preserve"> strategi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mengubah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persepsi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penyimpanan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vokasional</w:t>
      </w:r>
      <w:proofErr w:type="spellEnd"/>
      <w:r w:rsidRPr="00855102">
        <w:rPr>
          <w:rFonts w:ascii="Book Antiqua" w:hAnsi="Book Antiqua"/>
        </w:rPr>
        <w:t>.</w:t>
      </w:r>
    </w:p>
    <w:p w14:paraId="5E244944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terakhir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 xml:space="preserve">“Integrasi </w:t>
      </w:r>
      <w:proofErr w:type="spellStart"/>
      <w:r w:rsidRPr="00855102">
        <w:rPr>
          <w:rFonts w:ascii="Book Antiqua" w:hAnsi="Book Antiqua"/>
          <w:b/>
          <w:bCs/>
        </w:rPr>
        <w:t>Literasi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ke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dalam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Pembelajaran</w:t>
      </w:r>
      <w:proofErr w:type="spellEnd"/>
      <w:r w:rsidRPr="00855102">
        <w:rPr>
          <w:rFonts w:ascii="Book Antiqua" w:hAnsi="Book Antiqua"/>
          <w:b/>
          <w:bCs/>
        </w:rPr>
        <w:t>”</w:t>
      </w:r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rata-rata 8.0. Dosen </w:t>
      </w:r>
      <w:proofErr w:type="spellStart"/>
      <w:r w:rsidRPr="00855102">
        <w:rPr>
          <w:rFonts w:ascii="Book Antiqua" w:hAnsi="Book Antiqua"/>
        </w:rPr>
        <w:t>menyatakan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memuat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penggunaan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setiap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kuliah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penerapan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kelas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sangat </w:t>
      </w:r>
      <w:proofErr w:type="spellStart"/>
      <w:r w:rsidRPr="00855102">
        <w:rPr>
          <w:rFonts w:ascii="Book Antiqua" w:hAnsi="Book Antiqua"/>
        </w:rPr>
        <w:t>tergantung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inisiatif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pribadi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. Peran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dilibatkan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pengembangan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menyoroti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diajarkan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metodologi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(</w:t>
      </w:r>
      <w:proofErr w:type="spellStart"/>
      <w:r w:rsidRPr="00855102">
        <w:rPr>
          <w:rFonts w:ascii="Book Antiqua" w:hAnsi="Book Antiqua"/>
        </w:rPr>
        <w:t>misalnya</w:t>
      </w:r>
      <w:proofErr w:type="spellEnd"/>
      <w:r w:rsidRPr="00855102">
        <w:rPr>
          <w:rFonts w:ascii="Book Antiqua" w:hAnsi="Book Antiqua"/>
        </w:rPr>
        <w:t xml:space="preserve">: </w:t>
      </w:r>
      <w:proofErr w:type="spellStart"/>
      <w:r w:rsidRPr="00855102">
        <w:rPr>
          <w:rFonts w:ascii="Book Antiqua" w:hAnsi="Book Antiqua"/>
        </w:rPr>
        <w:t>telaah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lastRenderedPageBreak/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penelusuran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arbitrase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simulasi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negosiasi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), </w:t>
      </w:r>
      <w:proofErr w:type="spellStart"/>
      <w:r w:rsidRPr="00855102">
        <w:rPr>
          <w:rFonts w:ascii="Book Antiqua" w:hAnsi="Book Antiqua"/>
        </w:rPr>
        <w:t>maka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jauh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.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perlunya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interdisipliner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pengembang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>.</w:t>
      </w:r>
    </w:p>
    <w:p w14:paraId="311BA2F3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menggambarkan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temuan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lebih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sistematis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berikut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disajikan</w:t>
      </w:r>
      <w:proofErr w:type="spellEnd"/>
      <w:r w:rsidRPr="00855102">
        <w:rPr>
          <w:rFonts w:ascii="Book Antiqua" w:hAnsi="Book Antiqua"/>
        </w:rPr>
        <w:t xml:space="preserve"> </w:t>
      </w:r>
      <w:r w:rsidRPr="00855102">
        <w:rPr>
          <w:rFonts w:ascii="Book Antiqua" w:hAnsi="Book Antiqua"/>
          <w:b/>
          <w:bCs/>
        </w:rPr>
        <w:t xml:space="preserve">Tabel </w:t>
      </w:r>
      <w:proofErr w:type="spellStart"/>
      <w:r w:rsidRPr="00855102">
        <w:rPr>
          <w:rFonts w:ascii="Book Antiqua" w:hAnsi="Book Antiqua"/>
          <w:b/>
          <w:bCs/>
        </w:rPr>
        <w:t>Komprehensif</w:t>
      </w:r>
      <w:proofErr w:type="spellEnd"/>
      <w:r w:rsidRPr="00855102">
        <w:rPr>
          <w:rFonts w:ascii="Book Antiqua" w:hAnsi="Book Antiqua"/>
          <w:b/>
          <w:bCs/>
        </w:rPr>
        <w:t xml:space="preserve"> Hasil </w:t>
      </w:r>
      <w:proofErr w:type="spellStart"/>
      <w:r w:rsidRPr="00855102">
        <w:rPr>
          <w:rFonts w:ascii="Book Antiqua" w:hAnsi="Book Antiqua"/>
          <w:b/>
          <w:bCs/>
        </w:rPr>
        <w:t>Skoring</w:t>
      </w:r>
      <w:proofErr w:type="spellEnd"/>
      <w:r w:rsidRPr="00855102">
        <w:rPr>
          <w:rFonts w:ascii="Book Antiqua" w:hAnsi="Book Antiqua"/>
          <w:b/>
          <w:bCs/>
        </w:rPr>
        <w:t xml:space="preserve"> Penelitian</w:t>
      </w:r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berdasarkan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enam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>:</w:t>
      </w:r>
    </w:p>
    <w:p w14:paraId="0C4717AD" w14:textId="77777777" w:rsidR="00333079" w:rsidRDefault="00333079" w:rsidP="00855102">
      <w:pPr>
        <w:jc w:val="both"/>
        <w:rPr>
          <w:rFonts w:ascii="Book Antiqua" w:hAnsi="Book Antiqua"/>
        </w:rPr>
        <w:sectPr w:rsidR="00333079" w:rsidSect="00333079">
          <w:type w:val="continuous"/>
          <w:pgSz w:w="12240" w:h="15840"/>
          <w:pgMar w:top="1440" w:right="1440" w:bottom="1440" w:left="1440" w:header="432" w:footer="288" w:gutter="0"/>
          <w:cols w:num="2" w:space="288"/>
          <w:docGrid w:linePitch="360"/>
        </w:sectPr>
      </w:pPr>
    </w:p>
    <w:p w14:paraId="1E6401B2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pict w14:anchorId="0F16B5BE">
          <v:rect id="_x0000_i1040" style="width:0;height:1.5pt" o:hralign="center" o:hrstd="t" o:hr="t" fillcolor="#a0a0a0" stroked="f"/>
        </w:pict>
      </w:r>
    </w:p>
    <w:p w14:paraId="7DA1C5D4" w14:textId="77777777" w:rsidR="00855102" w:rsidRPr="00855102" w:rsidRDefault="00855102" w:rsidP="00855102">
      <w:pPr>
        <w:jc w:val="center"/>
        <w:rPr>
          <w:rFonts w:ascii="Book Antiqua" w:hAnsi="Book Antiqua"/>
          <w:b/>
          <w:bCs/>
        </w:rPr>
      </w:pPr>
      <w:r w:rsidRPr="00855102">
        <w:rPr>
          <w:rFonts w:ascii="Book Antiqua" w:hAnsi="Book Antiqua"/>
          <w:b/>
          <w:bCs/>
        </w:rPr>
        <w:t xml:space="preserve">Tabel 1. Hasil </w:t>
      </w:r>
      <w:proofErr w:type="spellStart"/>
      <w:r w:rsidRPr="00855102">
        <w:rPr>
          <w:rFonts w:ascii="Book Antiqua" w:hAnsi="Book Antiqua"/>
          <w:b/>
          <w:bCs/>
        </w:rPr>
        <w:t>Skoring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Indikator</w:t>
      </w:r>
      <w:proofErr w:type="spellEnd"/>
      <w:r w:rsidRPr="00855102">
        <w:rPr>
          <w:rFonts w:ascii="Book Antiqua" w:hAnsi="Book Antiqua"/>
          <w:b/>
          <w:bCs/>
        </w:rPr>
        <w:t xml:space="preserve"> Penelitian </w:t>
      </w:r>
      <w:proofErr w:type="spellStart"/>
      <w:r w:rsidRPr="00855102">
        <w:rPr>
          <w:rFonts w:ascii="Book Antiqua" w:hAnsi="Book Antiqua"/>
          <w:b/>
          <w:bCs/>
        </w:rPr>
        <w:t>Kepustakaan</w:t>
      </w:r>
      <w:proofErr w:type="spellEnd"/>
      <w:r w:rsidRPr="00855102">
        <w:rPr>
          <w:rFonts w:ascii="Book Antiqua" w:hAnsi="Book Antiqua"/>
          <w:b/>
          <w:bCs/>
        </w:rPr>
        <w:t xml:space="preserve"> dan </w:t>
      </w:r>
      <w:proofErr w:type="spellStart"/>
      <w:r w:rsidRPr="00855102">
        <w:rPr>
          <w:rFonts w:ascii="Book Antiqua" w:hAnsi="Book Antiqua"/>
          <w:b/>
          <w:bCs/>
        </w:rPr>
        <w:t>Literasi</w:t>
      </w:r>
      <w:proofErr w:type="spellEnd"/>
      <w:r w:rsidRPr="00855102">
        <w:rPr>
          <w:rFonts w:ascii="Book Antiqua" w:hAnsi="Book Antiqua"/>
          <w:b/>
          <w:bCs/>
        </w:rPr>
        <w:t xml:space="preserve"> Maritim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1314"/>
        <w:gridCol w:w="767"/>
        <w:gridCol w:w="953"/>
        <w:gridCol w:w="1062"/>
      </w:tblGrid>
      <w:tr w:rsidR="00855102" w:rsidRPr="00855102" w14:paraId="20A8816B" w14:textId="77777777" w:rsidTr="008551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F50C0" w14:textId="77777777" w:rsidR="00855102" w:rsidRPr="00855102" w:rsidRDefault="00855102" w:rsidP="00855102">
            <w:pPr>
              <w:jc w:val="center"/>
              <w:rPr>
                <w:rFonts w:ascii="Book Antiqua" w:hAnsi="Book Antiqua"/>
                <w:b/>
                <w:bCs/>
              </w:rPr>
            </w:pPr>
            <w:proofErr w:type="spellStart"/>
            <w:r w:rsidRPr="00855102">
              <w:rPr>
                <w:rFonts w:ascii="Book Antiqua" w:hAnsi="Book Antiqua"/>
                <w:b/>
                <w:bCs/>
              </w:rPr>
              <w:t>Indikator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399D9C" w14:textId="77777777" w:rsidR="00855102" w:rsidRPr="00855102" w:rsidRDefault="00855102" w:rsidP="00855102">
            <w:pPr>
              <w:jc w:val="center"/>
              <w:rPr>
                <w:rFonts w:ascii="Book Antiqua" w:hAnsi="Book Antiqua"/>
                <w:b/>
                <w:bCs/>
              </w:rPr>
            </w:pPr>
            <w:proofErr w:type="spellStart"/>
            <w:r w:rsidRPr="00855102">
              <w:rPr>
                <w:rFonts w:ascii="Book Antiqua" w:hAnsi="Book Antiqua"/>
                <w:b/>
                <w:bCs/>
              </w:rPr>
              <w:t>Profesional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602491" w14:textId="77777777" w:rsidR="00855102" w:rsidRPr="00855102" w:rsidRDefault="00855102" w:rsidP="00855102">
            <w:pPr>
              <w:jc w:val="center"/>
              <w:rPr>
                <w:rFonts w:ascii="Book Antiqua" w:hAnsi="Book Antiqua"/>
                <w:b/>
                <w:bCs/>
              </w:rPr>
            </w:pPr>
            <w:r w:rsidRPr="00855102">
              <w:rPr>
                <w:rFonts w:ascii="Book Antiqua" w:hAnsi="Book Antiqua"/>
                <w:b/>
                <w:bCs/>
              </w:rPr>
              <w:t>Dosen</w:t>
            </w:r>
          </w:p>
        </w:tc>
        <w:tc>
          <w:tcPr>
            <w:tcW w:w="0" w:type="auto"/>
            <w:vAlign w:val="center"/>
            <w:hideMark/>
          </w:tcPr>
          <w:p w14:paraId="38679FAD" w14:textId="77777777" w:rsidR="00855102" w:rsidRPr="00855102" w:rsidRDefault="00855102" w:rsidP="00855102">
            <w:pPr>
              <w:jc w:val="center"/>
              <w:rPr>
                <w:rFonts w:ascii="Book Antiqua" w:hAnsi="Book Antiqua"/>
                <w:b/>
                <w:bCs/>
              </w:rPr>
            </w:pPr>
            <w:proofErr w:type="spellStart"/>
            <w:r w:rsidRPr="00855102">
              <w:rPr>
                <w:rFonts w:ascii="Book Antiqua" w:hAnsi="Book Antiqua"/>
                <w:b/>
                <w:bCs/>
              </w:rPr>
              <w:t>Lulusan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6570E2" w14:textId="77777777" w:rsidR="00855102" w:rsidRPr="00855102" w:rsidRDefault="00855102" w:rsidP="00855102">
            <w:pPr>
              <w:jc w:val="center"/>
              <w:rPr>
                <w:rFonts w:ascii="Book Antiqua" w:hAnsi="Book Antiqua"/>
                <w:b/>
                <w:bCs/>
              </w:rPr>
            </w:pPr>
            <w:r w:rsidRPr="00855102">
              <w:rPr>
                <w:rFonts w:ascii="Book Antiqua" w:hAnsi="Book Antiqua"/>
                <w:b/>
                <w:bCs/>
              </w:rPr>
              <w:t>Rata-rata</w:t>
            </w:r>
          </w:p>
        </w:tc>
      </w:tr>
      <w:tr w:rsidR="00855102" w:rsidRPr="00855102" w14:paraId="037C16B0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9AE53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proofErr w:type="spellStart"/>
            <w:r w:rsidRPr="00855102">
              <w:rPr>
                <w:rFonts w:ascii="Book Antiqua" w:hAnsi="Book Antiqua"/>
              </w:rPr>
              <w:t>Manajemen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Pelayaran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2198CC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EF7A4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333AD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65B276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9.00</w:t>
            </w:r>
          </w:p>
        </w:tc>
      </w:tr>
      <w:tr w:rsidR="00855102" w:rsidRPr="00855102" w14:paraId="2FDF5228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F0BCB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proofErr w:type="spellStart"/>
            <w:r w:rsidRPr="00855102">
              <w:rPr>
                <w:rFonts w:ascii="Book Antiqua" w:hAnsi="Book Antiqua"/>
              </w:rPr>
              <w:t>Bisnis</w:t>
            </w:r>
            <w:proofErr w:type="spellEnd"/>
            <w:r w:rsidRPr="00855102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14:paraId="06F44AE2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E9754C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45E376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4138F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8.33</w:t>
            </w:r>
          </w:p>
        </w:tc>
      </w:tr>
      <w:tr w:rsidR="00855102" w:rsidRPr="00855102" w14:paraId="2C3D45DC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F9017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proofErr w:type="spellStart"/>
            <w:r w:rsidRPr="00855102">
              <w:rPr>
                <w:rFonts w:ascii="Book Antiqua" w:hAnsi="Book Antiqua"/>
              </w:rPr>
              <w:t>Keuangan</w:t>
            </w:r>
            <w:proofErr w:type="spellEnd"/>
            <w:r w:rsidRPr="00855102">
              <w:rPr>
                <w:rFonts w:ascii="Book Antiqua" w:hAnsi="Book Antiqua"/>
              </w:rPr>
              <w:t xml:space="preserve"> &amp; </w:t>
            </w:r>
            <w:proofErr w:type="spellStart"/>
            <w:r w:rsidRPr="00855102">
              <w:rPr>
                <w:rFonts w:ascii="Book Antiqua" w:hAnsi="Book Antiqua"/>
              </w:rPr>
              <w:t>Keberlanjutan</w:t>
            </w:r>
            <w:proofErr w:type="spellEnd"/>
            <w:r w:rsidRPr="00855102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14:paraId="5E2787BD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8F3F25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762DF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CED139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8.67</w:t>
            </w:r>
          </w:p>
        </w:tc>
      </w:tr>
      <w:tr w:rsidR="00855102" w:rsidRPr="00855102" w14:paraId="3D28A6F9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DCDB5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proofErr w:type="spellStart"/>
            <w:r w:rsidRPr="00855102">
              <w:rPr>
                <w:rFonts w:ascii="Book Antiqua" w:hAnsi="Book Antiqua"/>
              </w:rPr>
              <w:t>Ketersediaan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Kepustakaan</w:t>
            </w:r>
            <w:proofErr w:type="spellEnd"/>
            <w:r w:rsidRPr="00855102">
              <w:rPr>
                <w:rFonts w:ascii="Book Antiqua" w:hAnsi="Book Antiqua"/>
              </w:rPr>
              <w:t xml:space="preserve"> Maritim</w:t>
            </w:r>
          </w:p>
        </w:tc>
        <w:tc>
          <w:tcPr>
            <w:tcW w:w="0" w:type="auto"/>
            <w:vAlign w:val="center"/>
            <w:hideMark/>
          </w:tcPr>
          <w:p w14:paraId="37B968D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F853B4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AFF86E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DA7E36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7.33</w:t>
            </w:r>
          </w:p>
        </w:tc>
      </w:tr>
      <w:tr w:rsidR="00855102" w:rsidRPr="00855102" w14:paraId="7FCFE0B0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A71A0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proofErr w:type="spellStart"/>
            <w:r w:rsidRPr="00855102">
              <w:rPr>
                <w:rFonts w:ascii="Book Antiqua" w:hAnsi="Book Antiqua"/>
              </w:rPr>
              <w:t>Pemanfaatan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Perpustakaan</w:t>
            </w:r>
            <w:proofErr w:type="spellEnd"/>
            <w:r w:rsidRPr="00855102">
              <w:rPr>
                <w:rFonts w:ascii="Book Antiqua" w:hAnsi="Book Antiqua"/>
              </w:rPr>
              <w:t xml:space="preserve"> oleh Taruna</w:t>
            </w:r>
          </w:p>
        </w:tc>
        <w:tc>
          <w:tcPr>
            <w:tcW w:w="0" w:type="auto"/>
            <w:vAlign w:val="center"/>
            <w:hideMark/>
          </w:tcPr>
          <w:p w14:paraId="4F05F8C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264C47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491309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6C38E8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7.67</w:t>
            </w:r>
          </w:p>
        </w:tc>
      </w:tr>
      <w:tr w:rsidR="00855102" w:rsidRPr="00855102" w14:paraId="300A750C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BB9EB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 xml:space="preserve">Integrasi </w:t>
            </w:r>
            <w:proofErr w:type="spellStart"/>
            <w:r w:rsidRPr="00855102">
              <w:rPr>
                <w:rFonts w:ascii="Book Antiqua" w:hAnsi="Book Antiqua"/>
              </w:rPr>
              <w:t>Literasi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ke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dalam</w:t>
            </w:r>
            <w:proofErr w:type="spellEnd"/>
            <w:r w:rsidRPr="00855102">
              <w:rPr>
                <w:rFonts w:ascii="Book Antiqua" w:hAnsi="Book Antiqua"/>
              </w:rPr>
              <w:t xml:space="preserve"> </w:t>
            </w:r>
            <w:proofErr w:type="spellStart"/>
            <w:r w:rsidRPr="00855102">
              <w:rPr>
                <w:rFonts w:ascii="Book Antiqua" w:hAnsi="Book Antiqua"/>
              </w:rPr>
              <w:t>Pembelajaran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48617C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D0A836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D21B78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74D48A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</w:rPr>
              <w:t>8.00</w:t>
            </w:r>
          </w:p>
        </w:tc>
      </w:tr>
      <w:tr w:rsidR="00855102" w:rsidRPr="00855102" w14:paraId="7424544C" w14:textId="77777777" w:rsidTr="008551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908B5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  <w:b/>
                <w:bCs/>
              </w:rPr>
              <w:t xml:space="preserve">Rata-rata </w:t>
            </w:r>
            <w:proofErr w:type="spellStart"/>
            <w:r w:rsidRPr="00855102">
              <w:rPr>
                <w:rFonts w:ascii="Book Antiqua" w:hAnsi="Book Antiqua"/>
                <w:b/>
                <w:bCs/>
              </w:rPr>
              <w:t>Keseluruhan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0FB5D5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  <w:b/>
                <w:bCs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14:paraId="1CBFA16B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  <w:b/>
                <w:bCs/>
              </w:rPr>
              <w:t>7.83</w:t>
            </w:r>
          </w:p>
        </w:tc>
        <w:tc>
          <w:tcPr>
            <w:tcW w:w="0" w:type="auto"/>
            <w:vAlign w:val="center"/>
            <w:hideMark/>
          </w:tcPr>
          <w:p w14:paraId="7EA05511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  <w:b/>
                <w:bCs/>
              </w:rPr>
              <w:t>8.17</w:t>
            </w:r>
          </w:p>
        </w:tc>
        <w:tc>
          <w:tcPr>
            <w:tcW w:w="0" w:type="auto"/>
            <w:vAlign w:val="center"/>
            <w:hideMark/>
          </w:tcPr>
          <w:p w14:paraId="67EC6D27" w14:textId="77777777" w:rsidR="00855102" w:rsidRPr="00855102" w:rsidRDefault="00855102" w:rsidP="00855102">
            <w:pPr>
              <w:jc w:val="center"/>
              <w:rPr>
                <w:rFonts w:ascii="Book Antiqua" w:hAnsi="Book Antiqua"/>
              </w:rPr>
            </w:pPr>
            <w:r w:rsidRPr="00855102">
              <w:rPr>
                <w:rFonts w:ascii="Book Antiqua" w:hAnsi="Book Antiqua"/>
                <w:b/>
                <w:bCs/>
              </w:rPr>
              <w:t>8.89</w:t>
            </w:r>
          </w:p>
        </w:tc>
      </w:tr>
    </w:tbl>
    <w:p w14:paraId="30C2CD5D" w14:textId="77777777" w:rsidR="00855102" w:rsidRPr="00855102" w:rsidRDefault="00855102" w:rsidP="00855102">
      <w:pPr>
        <w:jc w:val="center"/>
        <w:rPr>
          <w:rFonts w:ascii="Book Antiqua" w:hAnsi="Book Antiqua"/>
        </w:rPr>
      </w:pPr>
      <w:r w:rsidRPr="00855102">
        <w:rPr>
          <w:rFonts w:ascii="Book Antiqua" w:hAnsi="Book Antiqua"/>
        </w:rPr>
        <w:pict w14:anchorId="7546F537">
          <v:rect id="_x0000_i1041" style="width:0;height:1.5pt" o:hralign="center" o:hrstd="t" o:hr="t" fillcolor="#a0a0a0" stroked="f"/>
        </w:pict>
      </w:r>
    </w:p>
    <w:p w14:paraId="3C4D3609" w14:textId="77777777" w:rsidR="00333079" w:rsidRDefault="00333079" w:rsidP="00855102">
      <w:pPr>
        <w:jc w:val="both"/>
        <w:rPr>
          <w:rFonts w:ascii="Book Antiqua" w:hAnsi="Book Antiqua"/>
        </w:rPr>
        <w:sectPr w:rsidR="00333079" w:rsidSect="00333079">
          <w:type w:val="continuous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14:paraId="791EDB85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Berdasarkan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tabel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tersebut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disimpulkan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aspek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substansial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terkait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hukum</w:t>
      </w:r>
      <w:proofErr w:type="spellEnd"/>
      <w:r w:rsidRPr="00855102">
        <w:rPr>
          <w:rFonts w:ascii="Book Antiqua" w:hAnsi="Book Antiqua"/>
          <w:b/>
          <w:bCs/>
        </w:rPr>
        <w:t xml:space="preserve">, </w:t>
      </w:r>
      <w:proofErr w:type="spellStart"/>
      <w:r w:rsidRPr="00855102">
        <w:rPr>
          <w:rFonts w:ascii="Book Antiqua" w:hAnsi="Book Antiqua"/>
          <w:b/>
          <w:bCs/>
        </w:rPr>
        <w:t>bisnis</w:t>
      </w:r>
      <w:proofErr w:type="spellEnd"/>
      <w:r w:rsidRPr="00855102">
        <w:rPr>
          <w:rFonts w:ascii="Book Antiqua" w:hAnsi="Book Antiqua"/>
          <w:b/>
          <w:bCs/>
        </w:rPr>
        <w:t xml:space="preserve">, dan </w:t>
      </w:r>
      <w:proofErr w:type="spellStart"/>
      <w:r w:rsidRPr="00855102">
        <w:rPr>
          <w:rFonts w:ascii="Book Antiqua" w:hAnsi="Book Antiqua"/>
          <w:b/>
          <w:bCs/>
        </w:rPr>
        <w:t>keuangan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maritim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telah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menunjukkan</w:t>
      </w:r>
      <w:proofErr w:type="spellEnd"/>
      <w:r w:rsidRPr="00855102">
        <w:rPr>
          <w:rFonts w:ascii="Book Antiqua" w:hAnsi="Book Antiqua"/>
          <w:b/>
          <w:bCs/>
        </w:rPr>
        <w:t xml:space="preserve"> </w:t>
      </w:r>
      <w:proofErr w:type="spellStart"/>
      <w:r w:rsidRPr="00855102">
        <w:rPr>
          <w:rFonts w:ascii="Book Antiqua" w:hAnsi="Book Antiqua"/>
          <w:b/>
          <w:bCs/>
        </w:rPr>
        <w:t>performa</w:t>
      </w:r>
      <w:proofErr w:type="spellEnd"/>
      <w:r w:rsidRPr="00855102">
        <w:rPr>
          <w:rFonts w:ascii="Book Antiqua" w:hAnsi="Book Antiqua"/>
          <w:b/>
          <w:bCs/>
        </w:rPr>
        <w:t xml:space="preserve"> sangat </w:t>
      </w:r>
      <w:proofErr w:type="spellStart"/>
      <w:r w:rsidRPr="00855102">
        <w:rPr>
          <w:rFonts w:ascii="Book Antiqua" w:hAnsi="Book Antiqua"/>
          <w:b/>
          <w:bCs/>
        </w:rPr>
        <w:t>baik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pendukung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berupa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infrastruktur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budaya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memerlukan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perhatian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khusus</w:t>
      </w:r>
      <w:proofErr w:type="spellEnd"/>
      <w:r w:rsidRPr="00855102">
        <w:rPr>
          <w:rFonts w:ascii="Book Antiqua" w:hAnsi="Book Antiqua"/>
        </w:rPr>
        <w:t xml:space="preserve">. Jika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ditransformasi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belajar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aktif</w:t>
      </w:r>
      <w:proofErr w:type="spellEnd"/>
      <w:r w:rsidRPr="00855102">
        <w:rPr>
          <w:rFonts w:ascii="Book Antiqua" w:hAnsi="Book Antiqua"/>
        </w:rPr>
        <w:t xml:space="preserve">, kaya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dikelola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kolaboratif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meningkat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menyeluruh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keilmuan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etika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saing</w:t>
      </w:r>
      <w:proofErr w:type="spellEnd"/>
      <w:r w:rsidRPr="00855102">
        <w:rPr>
          <w:rFonts w:ascii="Book Antiqua" w:hAnsi="Book Antiqua"/>
        </w:rPr>
        <w:t xml:space="preserve"> global.</w:t>
      </w:r>
    </w:p>
    <w:p w14:paraId="2FD87EDE" w14:textId="77777777" w:rsidR="00855102" w:rsidRPr="00855102" w:rsidRDefault="00855102" w:rsidP="00855102">
      <w:pPr>
        <w:pStyle w:val="Heading1"/>
      </w:pPr>
      <w:proofErr w:type="spellStart"/>
      <w:r w:rsidRPr="00855102">
        <w:t>Pembahasan</w:t>
      </w:r>
      <w:proofErr w:type="spellEnd"/>
      <w:r w:rsidRPr="00855102">
        <w:t xml:space="preserve"> </w:t>
      </w:r>
    </w:p>
    <w:p w14:paraId="1F87E6BD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Hasil </w:t>
      </w:r>
      <w:proofErr w:type="spellStart"/>
      <w:r w:rsidRPr="00855102">
        <w:rPr>
          <w:rFonts w:ascii="Book Antiqua" w:hAnsi="Book Antiqua"/>
        </w:rPr>
        <w:t>penelitian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saat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mengarah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efisiensi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membentuk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lastRenderedPageBreak/>
        <w:t>khususnya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Skor rata-rata </w:t>
      </w:r>
      <w:proofErr w:type="spellStart"/>
      <w:r w:rsidRPr="00855102">
        <w:rPr>
          <w:rFonts w:ascii="Book Antiqua" w:hAnsi="Book Antiqua"/>
        </w:rPr>
        <w:t>keseluruhan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sebesar</w:t>
      </w:r>
      <w:proofErr w:type="spellEnd"/>
      <w:r w:rsidRPr="00855102">
        <w:rPr>
          <w:rFonts w:ascii="Book Antiqua" w:hAnsi="Book Antiqua"/>
        </w:rPr>
        <w:t xml:space="preserve"> 9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10 yang </w:t>
      </w:r>
      <w:proofErr w:type="spellStart"/>
      <w:r w:rsidRPr="00855102">
        <w:rPr>
          <w:rFonts w:ascii="Book Antiqua" w:hAnsi="Book Antiqua"/>
        </w:rPr>
        <w:t>diberikan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menandakan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keberhasilan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pengintegrasian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pendekatan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akademik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praktis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terdapat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mendesak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kembali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tergarap</w:t>
      </w:r>
      <w:proofErr w:type="spellEnd"/>
      <w:r w:rsidRPr="00855102">
        <w:rPr>
          <w:rFonts w:ascii="Book Antiqua" w:hAnsi="Book Antiqua"/>
        </w:rPr>
        <w:t xml:space="preserve"> optimal, </w:t>
      </w:r>
      <w:proofErr w:type="spellStart"/>
      <w:r w:rsidRPr="00855102">
        <w:rPr>
          <w:rFonts w:ascii="Book Antiqua" w:hAnsi="Book Antiqua"/>
        </w:rPr>
        <w:t>yakni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mendukung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vokasional</w:t>
      </w:r>
      <w:proofErr w:type="spellEnd"/>
      <w:r w:rsidRPr="00855102">
        <w:rPr>
          <w:rFonts w:ascii="Book Antiqua" w:hAnsi="Book Antiqua"/>
        </w:rPr>
        <w:t xml:space="preserve"> (Creswell, 2013; Lincoln &amp; Guba, 1985).</w:t>
      </w:r>
    </w:p>
    <w:p w14:paraId="3BAB9D34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Pada </w:t>
      </w: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keberhasilan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ditunjukkan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kesiapan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operasional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kerangka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STCW dan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 SOLAS (IMO, 1978/2010; IMO, 1974). Akan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keberhasilan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sepenuhnya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ditopang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pendukung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Padahal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lisensi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operasional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tanggung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keselamatan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sangat </w:t>
      </w:r>
      <w:proofErr w:type="spellStart"/>
      <w:r w:rsidRPr="00855102">
        <w:rPr>
          <w:rFonts w:ascii="Book Antiqua" w:hAnsi="Book Antiqua"/>
        </w:rPr>
        <w:t>menentukan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bertindak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sesuai</w:t>
      </w:r>
      <w:proofErr w:type="spellEnd"/>
      <w:r w:rsidRPr="00855102">
        <w:rPr>
          <w:rFonts w:ascii="Book Antiqua" w:hAnsi="Book Antiqua"/>
        </w:rPr>
        <w:t xml:space="preserve"> norma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(United Nations, 1982; ITF Seafarers, 2020). Hal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ruang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primer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UNCLOS, </w:t>
      </w:r>
      <w:r w:rsidRPr="00855102">
        <w:rPr>
          <w:rFonts w:ascii="Book Antiqua" w:hAnsi="Book Antiqua"/>
        </w:rPr>
        <w:t xml:space="preserve">MARPOL, MLC,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instrumen</w:t>
      </w:r>
      <w:proofErr w:type="spellEnd"/>
      <w:r w:rsidRPr="00855102">
        <w:rPr>
          <w:rFonts w:ascii="Book Antiqua" w:hAnsi="Book Antiqua"/>
        </w:rPr>
        <w:t xml:space="preserve"> legal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memperkuat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>.</w:t>
      </w:r>
    </w:p>
    <w:p w14:paraId="41BAA4BD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mengungkapkan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mencakup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prinsip-prinsip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logistik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kesenjangan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nyata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kontrak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pengangkutan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syarat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arbitrase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klausul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tanggung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Kesenjangan</w:t>
      </w:r>
      <w:proofErr w:type="spellEnd"/>
      <w:r w:rsidRPr="00855102">
        <w:rPr>
          <w:rFonts w:ascii="Book Antiqua" w:hAnsi="Book Antiqua"/>
        </w:rPr>
        <w:t xml:space="preserve"> ini </w:t>
      </w:r>
      <w:proofErr w:type="spellStart"/>
      <w:r w:rsidRPr="00855102">
        <w:rPr>
          <w:rFonts w:ascii="Book Antiqua" w:hAnsi="Book Antiqua"/>
        </w:rPr>
        <w:t>mengindikasikan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kurangnya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komersial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representatif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sekolah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Referensi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IMO Model Course 7.01 yang </w:t>
      </w:r>
      <w:proofErr w:type="spellStart"/>
      <w:r w:rsidRPr="00855102">
        <w:rPr>
          <w:rFonts w:ascii="Book Antiqua" w:hAnsi="Book Antiqua"/>
        </w:rPr>
        <w:t>seharusnya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rujukan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digunakan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kegiatan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(IMO, 2017). Oleh </w:t>
      </w:r>
      <w:proofErr w:type="spellStart"/>
      <w:r w:rsidRPr="00855102">
        <w:rPr>
          <w:rFonts w:ascii="Book Antiqua" w:hAnsi="Book Antiqua"/>
        </w:rPr>
        <w:t>karena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penguatan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materi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komersial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mendesak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membangun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kecakapan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praktis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argumentatif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>.</w:t>
      </w:r>
    </w:p>
    <w:p w14:paraId="304EC020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tinggi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berfokus</w:t>
      </w:r>
      <w:proofErr w:type="spellEnd"/>
      <w:r w:rsidRPr="00855102">
        <w:rPr>
          <w:rFonts w:ascii="Book Antiqua" w:hAnsi="Book Antiqua"/>
        </w:rPr>
        <w:t xml:space="preserve"> pada </w:t>
      </w:r>
      <w:proofErr w:type="spellStart"/>
      <w:r w:rsidRPr="00855102">
        <w:rPr>
          <w:rFonts w:ascii="Book Antiqua" w:hAnsi="Book Antiqua"/>
        </w:rPr>
        <w:t>aspek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aplikatif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pengelolaan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operasional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logistik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prinsip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pengaturan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pajak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audit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ESG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dijadikan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fokus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lastRenderedPageBreak/>
        <w:t>Idealnya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fiskal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standar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akuntansi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didik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hubungan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tanggung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peraturan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prinsip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etika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komprehensif</w:t>
      </w:r>
      <w:proofErr w:type="spellEnd"/>
      <w:r w:rsidRPr="00855102">
        <w:rPr>
          <w:rFonts w:ascii="Book Antiqua" w:hAnsi="Book Antiqua"/>
        </w:rPr>
        <w:t xml:space="preserve"> (ILO, 2006; IMO, 2022).</w:t>
      </w:r>
    </w:p>
    <w:p w14:paraId="582D60D1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Masalah</w:t>
      </w:r>
      <w:proofErr w:type="spellEnd"/>
      <w:r w:rsidRPr="00855102">
        <w:rPr>
          <w:rFonts w:ascii="Book Antiqua" w:hAnsi="Book Antiqua"/>
        </w:rPr>
        <w:t xml:space="preserve"> yang paling </w:t>
      </w:r>
      <w:proofErr w:type="spellStart"/>
      <w:r w:rsidRPr="00855102">
        <w:rPr>
          <w:rFonts w:ascii="Book Antiqua" w:hAnsi="Book Antiqua"/>
        </w:rPr>
        <w:t>mencolok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kelemahan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Minimnya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terkini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kurangnya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spesialis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absennya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akses</w:t>
      </w:r>
      <w:proofErr w:type="spellEnd"/>
      <w:r w:rsidRPr="00855102">
        <w:rPr>
          <w:rFonts w:ascii="Book Antiqua" w:hAnsi="Book Antiqua"/>
        </w:rPr>
        <w:t xml:space="preserve"> digital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jurnal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kebijakan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tantangan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Padahal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ideal </w:t>
      </w:r>
      <w:proofErr w:type="spellStart"/>
      <w:r w:rsidRPr="00855102">
        <w:rPr>
          <w:rFonts w:ascii="Book Antiqua" w:hAnsi="Book Antiqua"/>
        </w:rPr>
        <w:t>seharusnya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menyediakan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global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IMO,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 UNCLOS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PBB,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kasus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arbitrase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 (United Nations, 1982; IMO, 2021). </w:t>
      </w:r>
      <w:proofErr w:type="spellStart"/>
      <w:r w:rsidRPr="00855102">
        <w:rPr>
          <w:rFonts w:ascii="Book Antiqua" w:hAnsi="Book Antiqua"/>
        </w:rPr>
        <w:t>Tanpa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tertinggal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membaca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prosedur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yuridis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internasional</w:t>
      </w:r>
      <w:proofErr w:type="spellEnd"/>
      <w:r w:rsidRPr="00855102">
        <w:rPr>
          <w:rFonts w:ascii="Book Antiqua" w:hAnsi="Book Antiqua"/>
        </w:rPr>
        <w:t>.</w:t>
      </w:r>
    </w:p>
    <w:p w14:paraId="5FE81FEB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Pemanfaatan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rendah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Kecenderungan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mengandalkan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ringkasan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materi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dibanding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mengeksplorasi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 primer </w:t>
      </w:r>
      <w:proofErr w:type="spellStart"/>
      <w:r w:rsidRPr="00855102">
        <w:rPr>
          <w:rFonts w:ascii="Book Antiqua" w:hAnsi="Book Antiqua"/>
        </w:rPr>
        <w:t>memperlihatkan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lemahnya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. Hal ini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urgensi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pelatihan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peningkatan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kapasitas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proyek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Penanaman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budaya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dilakukan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sejak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awal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agar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keterampilan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menelusuri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mengevaluasi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legalitas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dokumen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memformulasi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argumen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sah</w:t>
      </w:r>
      <w:proofErr w:type="spellEnd"/>
      <w:r w:rsidRPr="00855102">
        <w:rPr>
          <w:rFonts w:ascii="Book Antiqua" w:hAnsi="Book Antiqua"/>
        </w:rPr>
        <w:t xml:space="preserve"> (Creswell, 2013; ITF Seafarers, 2020).</w:t>
      </w:r>
    </w:p>
    <w:p w14:paraId="671D6D16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Indikator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terakhir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Saat ini </w:t>
      </w:r>
      <w:proofErr w:type="spellStart"/>
      <w:r w:rsidRPr="00855102">
        <w:rPr>
          <w:rFonts w:ascii="Book Antiqua" w:hAnsi="Book Antiqua"/>
        </w:rPr>
        <w:t>masih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bagian</w:t>
      </w:r>
      <w:proofErr w:type="spellEnd"/>
      <w:r w:rsidRPr="00855102">
        <w:rPr>
          <w:rFonts w:ascii="Book Antiqua" w:hAnsi="Book Antiqua"/>
        </w:rPr>
        <w:t xml:space="preserve"> inti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desain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Modul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banyak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mencantumkan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literatur</w:t>
      </w:r>
      <w:proofErr w:type="spellEnd"/>
      <w:r w:rsidRPr="00855102">
        <w:rPr>
          <w:rFonts w:ascii="Book Antiqua" w:hAnsi="Book Antiqua"/>
        </w:rPr>
        <w:t xml:space="preserve"> primer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STCW, MLC, UNCLOS,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konvensi</w:t>
      </w:r>
      <w:proofErr w:type="spellEnd"/>
      <w:r w:rsidRPr="00855102">
        <w:rPr>
          <w:rFonts w:ascii="Book Antiqua" w:hAnsi="Book Antiqua"/>
        </w:rPr>
        <w:t xml:space="preserve"> bilateral yang </w:t>
      </w:r>
      <w:proofErr w:type="spellStart"/>
      <w:r w:rsidRPr="00855102">
        <w:rPr>
          <w:rFonts w:ascii="Book Antiqua" w:hAnsi="Book Antiqua"/>
        </w:rPr>
        <w:t>relevan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aktivitas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lintas</w:t>
      </w:r>
      <w:proofErr w:type="spellEnd"/>
      <w:r w:rsidRPr="00855102">
        <w:rPr>
          <w:rFonts w:ascii="Book Antiqua" w:hAnsi="Book Antiqua"/>
        </w:rPr>
        <w:t xml:space="preserve"> negara. Hal ini </w:t>
      </w:r>
      <w:proofErr w:type="spellStart"/>
      <w:r w:rsidRPr="00855102">
        <w:rPr>
          <w:rFonts w:ascii="Book Antiqua" w:hAnsi="Book Antiqua"/>
        </w:rPr>
        <w:t>menyebabkan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ketidaksiapan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menghadapi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konflik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penyitaan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kapal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sengketa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kerja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atau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pencemaran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laut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Idealnya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gudang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laboratorium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tempat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pelatihan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keterampilan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pengambilan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keputusan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sumber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referensi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sah</w:t>
      </w:r>
      <w:proofErr w:type="spellEnd"/>
      <w:r w:rsidRPr="00855102">
        <w:rPr>
          <w:rFonts w:ascii="Book Antiqua" w:hAnsi="Book Antiqua"/>
        </w:rPr>
        <w:t xml:space="preserve"> (IMO, 2022; ILO, 2006).</w:t>
      </w:r>
    </w:p>
    <w:p w14:paraId="6EEEC25A" w14:textId="77777777" w:rsidR="00855102" w:rsidRPr="00855102" w:rsidRDefault="00855102" w:rsidP="00855102">
      <w:pPr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Keseluruhan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pembahasan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reformasi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sekadar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pembenahan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administratif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merupakan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reposisi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lastRenderedPageBreak/>
        <w:t>strategis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kolaborasi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antara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institusi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spesialis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regulator </w:t>
      </w:r>
      <w:proofErr w:type="spellStart"/>
      <w:r w:rsidRPr="00855102">
        <w:rPr>
          <w:rFonts w:ascii="Book Antiqua" w:hAnsi="Book Antiqua"/>
        </w:rPr>
        <w:t>nasional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seperti</w:t>
      </w:r>
      <w:proofErr w:type="spellEnd"/>
      <w:r w:rsidRPr="00855102">
        <w:rPr>
          <w:rFonts w:ascii="Book Antiqua" w:hAnsi="Book Antiqua"/>
        </w:rPr>
        <w:t xml:space="preserve"> Kementerian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kunci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menciptakan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ekosistem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regulasi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penguatan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Indonesia </w:t>
      </w:r>
      <w:proofErr w:type="spellStart"/>
      <w:r w:rsidRPr="00855102">
        <w:rPr>
          <w:rFonts w:ascii="Book Antiqua" w:hAnsi="Book Antiqua"/>
        </w:rPr>
        <w:t>akan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mampu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mencetak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andal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memiliki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kesadaran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yuridis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integritas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kemampuan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adaptif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dinamika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global.</w:t>
      </w:r>
    </w:p>
    <w:p w14:paraId="58A2DCF9" w14:textId="77777777" w:rsidR="00855102" w:rsidRPr="00855102" w:rsidRDefault="00855102" w:rsidP="00855102">
      <w:pPr>
        <w:pStyle w:val="Heading1"/>
      </w:pPr>
      <w:r w:rsidRPr="00855102">
        <w:t>Kesimpulan</w:t>
      </w:r>
    </w:p>
    <w:p w14:paraId="7B04140C" w14:textId="77777777" w:rsidR="00855102" w:rsidRPr="00855102" w:rsidRDefault="00855102" w:rsidP="00855102">
      <w:pPr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Penelitian ini </w:t>
      </w:r>
      <w:proofErr w:type="spellStart"/>
      <w:r w:rsidRPr="00855102">
        <w:rPr>
          <w:rFonts w:ascii="Book Antiqua" w:hAnsi="Book Antiqua"/>
        </w:rPr>
        <w:t>menyimpulkan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di Indonesia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tingkat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efektivitas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efisiensi</w:t>
      </w:r>
      <w:proofErr w:type="spellEnd"/>
      <w:r w:rsidRPr="00855102">
        <w:rPr>
          <w:rFonts w:ascii="Book Antiqua" w:hAnsi="Book Antiqua"/>
        </w:rPr>
        <w:t xml:space="preserve"> yang sangat </w:t>
      </w:r>
      <w:proofErr w:type="spellStart"/>
      <w:r w:rsidRPr="00855102">
        <w:rPr>
          <w:rFonts w:ascii="Book Antiqua" w:hAnsi="Book Antiqua"/>
        </w:rPr>
        <w:t>baik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penguatan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kompetensi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manajemen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keuangan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Dengan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skor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keseluruhan</w:t>
      </w:r>
      <w:proofErr w:type="spellEnd"/>
      <w:r w:rsidRPr="00855102">
        <w:rPr>
          <w:rFonts w:ascii="Book Antiqua" w:hAnsi="Book Antiqua"/>
        </w:rPr>
        <w:t xml:space="preserve"> 9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10, </w:t>
      </w:r>
      <w:proofErr w:type="spellStart"/>
      <w:r w:rsidRPr="00855102">
        <w:rPr>
          <w:rFonts w:ascii="Book Antiqua" w:hAnsi="Book Antiqua"/>
        </w:rPr>
        <w:t>ditemukan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telah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cukup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berhasil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menjawab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kebutuhan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industri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Namun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peran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maksimal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mendukung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pembentukan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karakter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. Hasil </w:t>
      </w:r>
      <w:proofErr w:type="spellStart"/>
      <w:r w:rsidRPr="00855102">
        <w:rPr>
          <w:rFonts w:ascii="Book Antiqua" w:hAnsi="Book Antiqua"/>
        </w:rPr>
        <w:t>wawancara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profesional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dosen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lulusan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menunjukkan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bahwa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berfungsi</w:t>
      </w:r>
      <w:proofErr w:type="spellEnd"/>
      <w:r w:rsidRPr="00855102">
        <w:rPr>
          <w:rFonts w:ascii="Book Antiqua" w:hAnsi="Book Antiqua"/>
        </w:rPr>
        <w:t xml:space="preserve"> optimal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baik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ketersediaan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koleksi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pemanfaatan</w:t>
      </w:r>
      <w:proofErr w:type="spellEnd"/>
      <w:r w:rsidRPr="00855102">
        <w:rPr>
          <w:rFonts w:ascii="Book Antiqua" w:hAnsi="Book Antiqua"/>
        </w:rPr>
        <w:t xml:space="preserve"> oleh </w:t>
      </w:r>
      <w:proofErr w:type="spellStart"/>
      <w:r w:rsidRPr="00855102">
        <w:rPr>
          <w:rFonts w:ascii="Book Antiqua" w:hAnsi="Book Antiqua"/>
        </w:rPr>
        <w:t>peserta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didik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maupun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keterlibatan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kurikulum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Meski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demikian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terdapat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kesadaran</w:t>
      </w:r>
      <w:proofErr w:type="spellEnd"/>
      <w:r w:rsidRPr="00855102">
        <w:rPr>
          <w:rFonts w:ascii="Book Antiqua" w:hAnsi="Book Antiqua"/>
        </w:rPr>
        <w:t xml:space="preserve"> dan </w:t>
      </w:r>
      <w:proofErr w:type="spellStart"/>
      <w:r w:rsidRPr="00855102">
        <w:rPr>
          <w:rFonts w:ascii="Book Antiqua" w:hAnsi="Book Antiqua"/>
        </w:rPr>
        <w:t>harapan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besar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seluruh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informan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pentingnya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sebagai</w:t>
      </w:r>
      <w:proofErr w:type="spellEnd"/>
      <w:r w:rsidRPr="00855102">
        <w:rPr>
          <w:rFonts w:ascii="Book Antiqua" w:hAnsi="Book Antiqua"/>
        </w:rPr>
        <w:t xml:space="preserve"> pilar </w:t>
      </w:r>
      <w:proofErr w:type="spellStart"/>
      <w:r w:rsidRPr="00855102">
        <w:rPr>
          <w:rFonts w:ascii="Book Antiqua" w:hAnsi="Book Antiqua"/>
        </w:rPr>
        <w:t>utama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mencetak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pelaut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tidak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hanya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terampil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secara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teknis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tetapi</w:t>
      </w:r>
      <w:proofErr w:type="spellEnd"/>
      <w:r w:rsidRPr="00855102">
        <w:rPr>
          <w:rFonts w:ascii="Book Antiqua" w:hAnsi="Book Antiqua"/>
        </w:rPr>
        <w:t xml:space="preserve"> juga </w:t>
      </w:r>
      <w:proofErr w:type="spellStart"/>
      <w:r w:rsidRPr="00855102">
        <w:rPr>
          <w:rFonts w:ascii="Book Antiqua" w:hAnsi="Book Antiqua"/>
        </w:rPr>
        <w:t>cakap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memahami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menganalisis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menavigasi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persoalan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hukum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bisnis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keberlanjutan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industri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global. Oleh </w:t>
      </w:r>
      <w:proofErr w:type="spellStart"/>
      <w:r w:rsidRPr="00855102">
        <w:rPr>
          <w:rFonts w:ascii="Book Antiqua" w:hAnsi="Book Antiqua"/>
        </w:rPr>
        <w:t>karena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itu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penguatan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sistem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perpustakaan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peningkatan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kualitas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pustakawan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integrasi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pustaka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dalam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desain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pembelajaran</w:t>
      </w:r>
      <w:proofErr w:type="spellEnd"/>
      <w:r w:rsidRPr="00855102">
        <w:rPr>
          <w:rFonts w:ascii="Book Antiqua" w:hAnsi="Book Antiqua"/>
        </w:rPr>
        <w:t xml:space="preserve">, </w:t>
      </w:r>
      <w:proofErr w:type="spellStart"/>
      <w:r w:rsidRPr="00855102">
        <w:rPr>
          <w:rFonts w:ascii="Book Antiqua" w:hAnsi="Book Antiqua"/>
        </w:rPr>
        <w:t>serta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pembudayaan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di </w:t>
      </w:r>
      <w:proofErr w:type="spellStart"/>
      <w:r w:rsidRPr="00855102">
        <w:rPr>
          <w:rFonts w:ascii="Book Antiqua" w:hAnsi="Book Antiqua"/>
        </w:rPr>
        <w:t>kalangan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taruna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menjadi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langkah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strategis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harus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segera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dilakukan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untuk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mewujudkan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pendidikan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vokasi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pelayaran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berkelas</w:t>
      </w:r>
      <w:proofErr w:type="spellEnd"/>
      <w:r w:rsidRPr="00855102">
        <w:rPr>
          <w:rFonts w:ascii="Book Antiqua" w:hAnsi="Book Antiqua"/>
        </w:rPr>
        <w:t xml:space="preserve"> dunia, </w:t>
      </w:r>
      <w:proofErr w:type="spellStart"/>
      <w:r w:rsidRPr="00855102">
        <w:rPr>
          <w:rFonts w:ascii="Book Antiqua" w:hAnsi="Book Antiqua"/>
        </w:rPr>
        <w:t>adaptif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terhadap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dinamika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industri</w:t>
      </w:r>
      <w:proofErr w:type="spellEnd"/>
      <w:r w:rsidRPr="00855102">
        <w:rPr>
          <w:rFonts w:ascii="Book Antiqua" w:hAnsi="Book Antiqua"/>
        </w:rPr>
        <w:t xml:space="preserve">, dan </w:t>
      </w:r>
      <w:proofErr w:type="spellStart"/>
      <w:r w:rsidRPr="00855102">
        <w:rPr>
          <w:rFonts w:ascii="Book Antiqua" w:hAnsi="Book Antiqua"/>
        </w:rPr>
        <w:t>berbasis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literasi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maritim</w:t>
      </w:r>
      <w:proofErr w:type="spellEnd"/>
      <w:r w:rsidRPr="00855102">
        <w:rPr>
          <w:rFonts w:ascii="Book Antiqua" w:hAnsi="Book Antiqua"/>
        </w:rPr>
        <w:t xml:space="preserve"> yang </w:t>
      </w:r>
      <w:proofErr w:type="spellStart"/>
      <w:r w:rsidRPr="00855102">
        <w:rPr>
          <w:rFonts w:ascii="Book Antiqua" w:hAnsi="Book Antiqua"/>
        </w:rPr>
        <w:t>kuat</w:t>
      </w:r>
      <w:proofErr w:type="spellEnd"/>
      <w:r w:rsidRPr="00855102">
        <w:rPr>
          <w:rFonts w:ascii="Book Antiqua" w:hAnsi="Book Antiqua"/>
        </w:rPr>
        <w:t>.</w:t>
      </w:r>
    </w:p>
    <w:p w14:paraId="6681F729" w14:textId="77777777" w:rsidR="00855102" w:rsidRDefault="00855102" w:rsidP="00855102">
      <w:pPr>
        <w:pStyle w:val="Heading1"/>
      </w:pPr>
      <w:r>
        <w:t>Daftar Pustaka</w:t>
      </w:r>
    </w:p>
    <w:p w14:paraId="22F3C1D4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Budianto</w:t>
      </w:r>
      <w:proofErr w:type="spellEnd"/>
      <w:r w:rsidRPr="00855102">
        <w:rPr>
          <w:rFonts w:ascii="Book Antiqua" w:hAnsi="Book Antiqua"/>
        </w:rPr>
        <w:t xml:space="preserve">, A. (2019). </w:t>
      </w:r>
      <w:r w:rsidRPr="00855102">
        <w:rPr>
          <w:rFonts w:ascii="Book Antiqua" w:hAnsi="Book Antiqua"/>
          <w:i/>
          <w:iCs/>
        </w:rPr>
        <w:t xml:space="preserve">Hukum </w:t>
      </w:r>
      <w:proofErr w:type="spellStart"/>
      <w:r w:rsidRPr="00855102">
        <w:rPr>
          <w:rFonts w:ascii="Book Antiqua" w:hAnsi="Book Antiqua"/>
          <w:i/>
          <w:iCs/>
        </w:rPr>
        <w:t>maritim</w:t>
      </w:r>
      <w:proofErr w:type="spellEnd"/>
      <w:r w:rsidRPr="00855102">
        <w:rPr>
          <w:rFonts w:ascii="Book Antiqua" w:hAnsi="Book Antiqua"/>
          <w:i/>
          <w:iCs/>
        </w:rPr>
        <w:t xml:space="preserve"> Indonesia: Teori dan </w:t>
      </w:r>
      <w:proofErr w:type="spellStart"/>
      <w:r w:rsidRPr="00855102">
        <w:rPr>
          <w:rFonts w:ascii="Book Antiqua" w:hAnsi="Book Antiqua"/>
          <w:i/>
          <w:iCs/>
        </w:rPr>
        <w:t>praktik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Prenadamedia</w:t>
      </w:r>
      <w:proofErr w:type="spellEnd"/>
      <w:r w:rsidRPr="00855102">
        <w:rPr>
          <w:rFonts w:ascii="Book Antiqua" w:hAnsi="Book Antiqua"/>
        </w:rPr>
        <w:t xml:space="preserve"> Group.</w:t>
      </w:r>
    </w:p>
    <w:p w14:paraId="7C5FA500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Creswell, J. W. (2013). </w:t>
      </w:r>
      <w:r w:rsidRPr="00855102">
        <w:rPr>
          <w:rFonts w:ascii="Book Antiqua" w:hAnsi="Book Antiqua"/>
          <w:i/>
          <w:iCs/>
        </w:rPr>
        <w:t xml:space="preserve">Qualitative inquiry and research design: Choosing among </w:t>
      </w:r>
      <w:r w:rsidRPr="00855102">
        <w:rPr>
          <w:rFonts w:ascii="Book Antiqua" w:hAnsi="Book Antiqua"/>
          <w:i/>
          <w:iCs/>
        </w:rPr>
        <w:lastRenderedPageBreak/>
        <w:t>five approaches</w:t>
      </w:r>
      <w:r w:rsidRPr="00855102">
        <w:rPr>
          <w:rFonts w:ascii="Book Antiqua" w:hAnsi="Book Antiqua"/>
        </w:rPr>
        <w:t xml:space="preserve"> (3rd ed.). SAGE Publications.</w:t>
      </w:r>
    </w:p>
    <w:p w14:paraId="7C49D9AC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proofErr w:type="spellStart"/>
      <w:r w:rsidRPr="00855102">
        <w:rPr>
          <w:rFonts w:ascii="Book Antiqua" w:hAnsi="Book Antiqua"/>
        </w:rPr>
        <w:t>Direktorat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Jenderal</w:t>
      </w:r>
      <w:proofErr w:type="spellEnd"/>
      <w:r w:rsidRPr="00855102">
        <w:rPr>
          <w:rFonts w:ascii="Book Antiqua" w:hAnsi="Book Antiqua"/>
        </w:rPr>
        <w:t xml:space="preserve">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Laut, Kementerian </w:t>
      </w:r>
      <w:proofErr w:type="spellStart"/>
      <w:r w:rsidRPr="00855102">
        <w:rPr>
          <w:rFonts w:ascii="Book Antiqua" w:hAnsi="Book Antiqua"/>
        </w:rPr>
        <w:t>Perhubungan</w:t>
      </w:r>
      <w:proofErr w:type="spellEnd"/>
      <w:r w:rsidRPr="00855102">
        <w:rPr>
          <w:rFonts w:ascii="Book Antiqua" w:hAnsi="Book Antiqua"/>
        </w:rPr>
        <w:t xml:space="preserve"> RI. (2021). </w:t>
      </w:r>
      <w:proofErr w:type="spellStart"/>
      <w:r w:rsidRPr="00855102">
        <w:rPr>
          <w:rFonts w:ascii="Book Antiqua" w:hAnsi="Book Antiqua"/>
          <w:i/>
          <w:iCs/>
        </w:rPr>
        <w:t>Kebijakan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nasional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transportasi</w:t>
      </w:r>
      <w:proofErr w:type="spellEnd"/>
      <w:r w:rsidRPr="00855102">
        <w:rPr>
          <w:rFonts w:ascii="Book Antiqua" w:hAnsi="Book Antiqua"/>
          <w:i/>
          <w:iCs/>
        </w:rPr>
        <w:t xml:space="preserve"> </w:t>
      </w:r>
      <w:proofErr w:type="spellStart"/>
      <w:r w:rsidRPr="00855102">
        <w:rPr>
          <w:rFonts w:ascii="Book Antiqua" w:hAnsi="Book Antiqua"/>
          <w:i/>
          <w:iCs/>
        </w:rPr>
        <w:t>laut</w:t>
      </w:r>
      <w:proofErr w:type="spellEnd"/>
      <w:r w:rsidRPr="00855102">
        <w:rPr>
          <w:rFonts w:ascii="Book Antiqua" w:hAnsi="Book Antiqua"/>
        </w:rPr>
        <w:t xml:space="preserve">. </w:t>
      </w:r>
      <w:proofErr w:type="spellStart"/>
      <w:r w:rsidRPr="00855102">
        <w:rPr>
          <w:rFonts w:ascii="Book Antiqua" w:hAnsi="Book Antiqua"/>
        </w:rPr>
        <w:t>Kemenhub</w:t>
      </w:r>
      <w:proofErr w:type="spellEnd"/>
      <w:r w:rsidRPr="00855102">
        <w:rPr>
          <w:rFonts w:ascii="Book Antiqua" w:hAnsi="Book Antiqua"/>
        </w:rPr>
        <w:t>.</w:t>
      </w:r>
    </w:p>
    <w:p w14:paraId="3830923F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</w:t>
      </w:r>
      <w:proofErr w:type="spellStart"/>
      <w:r w:rsidRPr="00855102">
        <w:rPr>
          <w:rFonts w:ascii="Book Antiqua" w:hAnsi="Book Antiqua"/>
        </w:rPr>
        <w:t>Labour</w:t>
      </w:r>
      <w:proofErr w:type="spellEnd"/>
      <w:r w:rsidRPr="00855102">
        <w:rPr>
          <w:rFonts w:ascii="Book Antiqua" w:hAnsi="Book Antiqua"/>
        </w:rPr>
        <w:t xml:space="preserve"> Organization (ILO). (2006). </w:t>
      </w:r>
      <w:r w:rsidRPr="00855102">
        <w:rPr>
          <w:rFonts w:ascii="Book Antiqua" w:hAnsi="Book Antiqua"/>
          <w:i/>
          <w:iCs/>
        </w:rPr>
        <w:t xml:space="preserve">Maritime </w:t>
      </w:r>
      <w:proofErr w:type="spellStart"/>
      <w:r w:rsidRPr="00855102">
        <w:rPr>
          <w:rFonts w:ascii="Book Antiqua" w:hAnsi="Book Antiqua"/>
          <w:i/>
          <w:iCs/>
        </w:rPr>
        <w:t>Labour</w:t>
      </w:r>
      <w:proofErr w:type="spellEnd"/>
      <w:r w:rsidRPr="00855102">
        <w:rPr>
          <w:rFonts w:ascii="Book Antiqua" w:hAnsi="Book Antiqua"/>
          <w:i/>
          <w:iCs/>
        </w:rPr>
        <w:t xml:space="preserve"> Convention (MLC)</w:t>
      </w:r>
      <w:r w:rsidRPr="00855102">
        <w:rPr>
          <w:rFonts w:ascii="Book Antiqua" w:hAnsi="Book Antiqua"/>
        </w:rPr>
        <w:t>.</w:t>
      </w:r>
    </w:p>
    <w:p w14:paraId="3A6750FB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Maritime Organization (IMO). (1974). </w:t>
      </w:r>
      <w:r w:rsidRPr="00855102">
        <w:rPr>
          <w:rFonts w:ascii="Book Antiqua" w:hAnsi="Book Antiqua"/>
          <w:i/>
          <w:iCs/>
        </w:rPr>
        <w:t>SOLAS – International Convention for the Safety of Life at Sea</w:t>
      </w:r>
      <w:r w:rsidRPr="00855102">
        <w:rPr>
          <w:rFonts w:ascii="Book Antiqua" w:hAnsi="Book Antiqua"/>
        </w:rPr>
        <w:t>. IMO.</w:t>
      </w:r>
    </w:p>
    <w:p w14:paraId="289A7BB6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Maritime Organization (IMO). (1978/2010). </w:t>
      </w:r>
      <w:r w:rsidRPr="00855102">
        <w:rPr>
          <w:rFonts w:ascii="Book Antiqua" w:hAnsi="Book Antiqua"/>
          <w:i/>
          <w:iCs/>
        </w:rPr>
        <w:t>STCW – Standards of Training, Certification and Watchkeeping for Seafarers</w:t>
      </w:r>
      <w:r w:rsidRPr="00855102">
        <w:rPr>
          <w:rFonts w:ascii="Book Antiqua" w:hAnsi="Book Antiqua"/>
        </w:rPr>
        <w:t>. IMO.</w:t>
      </w:r>
    </w:p>
    <w:p w14:paraId="4988B661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Maritime Organization (IMO). (2017). </w:t>
      </w:r>
      <w:r w:rsidRPr="00855102">
        <w:rPr>
          <w:rFonts w:ascii="Book Antiqua" w:hAnsi="Book Antiqua"/>
          <w:i/>
          <w:iCs/>
        </w:rPr>
        <w:t>Model course 7.01 – Master and chief mate</w:t>
      </w:r>
      <w:r w:rsidRPr="00855102">
        <w:rPr>
          <w:rFonts w:ascii="Book Antiqua" w:hAnsi="Book Antiqua"/>
        </w:rPr>
        <w:t>. IMO.</w:t>
      </w:r>
    </w:p>
    <w:p w14:paraId="1CC98919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Maritime Organization (IMO). (2021). </w:t>
      </w:r>
      <w:r w:rsidRPr="00855102">
        <w:rPr>
          <w:rFonts w:ascii="Book Antiqua" w:hAnsi="Book Antiqua"/>
          <w:i/>
          <w:iCs/>
        </w:rPr>
        <w:t>SOLAS – Safety of Life at Sea: Consolidated edition</w:t>
      </w:r>
      <w:r w:rsidRPr="00855102">
        <w:rPr>
          <w:rFonts w:ascii="Book Antiqua" w:hAnsi="Book Antiqua"/>
        </w:rPr>
        <w:t>. IMO.</w:t>
      </w:r>
    </w:p>
    <w:p w14:paraId="7A9D4019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International Maritime Organization (IMO). (2022). </w:t>
      </w:r>
      <w:r w:rsidRPr="00855102">
        <w:rPr>
          <w:rFonts w:ascii="Book Antiqua" w:hAnsi="Book Antiqua"/>
          <w:i/>
          <w:iCs/>
        </w:rPr>
        <w:t>STCW: International Convention on Standards of Training, Certification and Watchkeeping for Seafarers</w:t>
      </w:r>
      <w:r w:rsidRPr="00855102">
        <w:rPr>
          <w:rFonts w:ascii="Book Antiqua" w:hAnsi="Book Antiqua"/>
        </w:rPr>
        <w:t>. IMO.</w:t>
      </w:r>
    </w:p>
    <w:p w14:paraId="7DB0EBE0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ITF Seafarers. (2020). </w:t>
      </w:r>
      <w:r w:rsidRPr="00855102">
        <w:rPr>
          <w:rFonts w:ascii="Book Antiqua" w:hAnsi="Book Antiqua"/>
          <w:i/>
          <w:iCs/>
        </w:rPr>
        <w:t>Seafarers’ rights and legal resources in maritime disputes</w:t>
      </w:r>
      <w:r w:rsidRPr="00855102">
        <w:rPr>
          <w:rFonts w:ascii="Book Antiqua" w:hAnsi="Book Antiqua"/>
        </w:rPr>
        <w:t>. ITF.</w:t>
      </w:r>
    </w:p>
    <w:p w14:paraId="0755E6B1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Lincoln, Y. S., &amp; Guba, E. G. (1985). </w:t>
      </w:r>
      <w:r w:rsidRPr="00855102">
        <w:rPr>
          <w:rFonts w:ascii="Book Antiqua" w:hAnsi="Book Antiqua"/>
          <w:i/>
          <w:iCs/>
        </w:rPr>
        <w:t>Naturalistic inquiry</w:t>
      </w:r>
      <w:r w:rsidRPr="00855102">
        <w:rPr>
          <w:rFonts w:ascii="Book Antiqua" w:hAnsi="Book Antiqua"/>
        </w:rPr>
        <w:t>. SAGE Publications.</w:t>
      </w:r>
    </w:p>
    <w:p w14:paraId="057FC096" w14:textId="77777777" w:rsidR="00855102" w:rsidRPr="00855102" w:rsidRDefault="00855102" w:rsidP="00855102">
      <w:pPr>
        <w:ind w:left="720" w:hanging="720"/>
        <w:jc w:val="both"/>
        <w:rPr>
          <w:rFonts w:ascii="Book Antiqua" w:hAnsi="Book Antiqua"/>
        </w:rPr>
      </w:pPr>
      <w:r w:rsidRPr="00855102">
        <w:rPr>
          <w:rFonts w:ascii="Book Antiqua" w:hAnsi="Book Antiqua"/>
        </w:rPr>
        <w:t xml:space="preserve">United Nations. (1982). </w:t>
      </w:r>
      <w:r w:rsidRPr="00855102">
        <w:rPr>
          <w:rFonts w:ascii="Book Antiqua" w:hAnsi="Book Antiqua"/>
          <w:i/>
          <w:iCs/>
        </w:rPr>
        <w:t>United Nations Convention on the Law of the Sea (UNCLOS)</w:t>
      </w:r>
      <w:r w:rsidRPr="00855102">
        <w:rPr>
          <w:rFonts w:ascii="Book Antiqua" w:hAnsi="Book Antiqua"/>
        </w:rPr>
        <w:t>. United Nations.</w:t>
      </w:r>
    </w:p>
    <w:p w14:paraId="110BFB62" w14:textId="77777777" w:rsidR="00333079" w:rsidRDefault="00333079" w:rsidP="00176C97">
      <w:pPr>
        <w:jc w:val="both"/>
        <w:rPr>
          <w:rFonts w:ascii="Book Antiqua" w:hAnsi="Book Antiqua"/>
        </w:rPr>
        <w:sectPr w:rsidR="00333079" w:rsidSect="00333079">
          <w:type w:val="continuous"/>
          <w:pgSz w:w="12240" w:h="15840"/>
          <w:pgMar w:top="1440" w:right="1440" w:bottom="1440" w:left="1440" w:header="432" w:footer="288" w:gutter="0"/>
          <w:cols w:num="2" w:space="720"/>
          <w:docGrid w:linePitch="360"/>
        </w:sectPr>
      </w:pPr>
    </w:p>
    <w:p w14:paraId="13B79D9F" w14:textId="77777777" w:rsidR="00855102" w:rsidRDefault="00855102" w:rsidP="00176C97">
      <w:pPr>
        <w:jc w:val="both"/>
        <w:rPr>
          <w:rFonts w:ascii="Book Antiqua" w:hAnsi="Book Antiqua"/>
        </w:rPr>
      </w:pPr>
    </w:p>
    <w:p w14:paraId="06268706" w14:textId="77777777" w:rsidR="00855102" w:rsidRDefault="00855102" w:rsidP="00176C97">
      <w:pPr>
        <w:jc w:val="both"/>
        <w:rPr>
          <w:rFonts w:ascii="Book Antiqua" w:hAnsi="Book Antiqua"/>
        </w:rPr>
      </w:pPr>
    </w:p>
    <w:sectPr w:rsidR="00855102" w:rsidSect="00333079">
      <w:type w:val="continuous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F3EC" w14:textId="77777777" w:rsidR="004640D2" w:rsidRDefault="004640D2" w:rsidP="00BA4CDF">
      <w:pPr>
        <w:spacing w:after="0" w:line="240" w:lineRule="auto"/>
      </w:pPr>
      <w:r>
        <w:separator/>
      </w:r>
    </w:p>
  </w:endnote>
  <w:endnote w:type="continuationSeparator" w:id="0">
    <w:p w14:paraId="6AD406B4" w14:textId="77777777" w:rsidR="004640D2" w:rsidRDefault="004640D2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B9C1" w14:textId="77777777" w:rsidR="00BA4CDF" w:rsidRDefault="00BA4CDF">
    <w:pPr>
      <w:pStyle w:val="Footer"/>
      <w:pBdr>
        <w:bottom w:val="single" w:sz="12" w:space="1" w:color="auto"/>
      </w:pBdr>
    </w:pPr>
  </w:p>
  <w:p w14:paraId="39EFDE1B" w14:textId="77777777" w:rsidR="00BA4CDF" w:rsidRPr="00BA4CDF" w:rsidRDefault="00BA4CDF">
    <w:pPr>
      <w:pStyle w:val="Footer"/>
      <w:rPr>
        <w:rFonts w:ascii="Book Antiqua" w:hAnsi="Book Antiqua"/>
        <w:i/>
        <w:iCs/>
        <w:sz w:val="20"/>
        <w:szCs w:val="20"/>
      </w:rPr>
    </w:pPr>
    <w:proofErr w:type="spellStart"/>
    <w:r w:rsidRPr="00BA4CDF">
      <w:rPr>
        <w:rFonts w:ascii="Book Antiqua" w:hAnsi="Book Antiqua"/>
        <w:i/>
        <w:iCs/>
        <w:sz w:val="20"/>
        <w:szCs w:val="20"/>
      </w:rPr>
      <w:t>Diterima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</w:t>
    </w:r>
    <w:proofErr w:type="spellStart"/>
    <w:proofErr w:type="gramStart"/>
    <w:r w:rsidRPr="00BA4CDF">
      <w:rPr>
        <w:rFonts w:ascii="Book Antiqua" w:hAnsi="Book Antiqua"/>
        <w:i/>
        <w:iCs/>
        <w:sz w:val="20"/>
        <w:szCs w:val="20"/>
      </w:rPr>
      <w:t>tanggal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 –</w:t>
    </w:r>
    <w:proofErr w:type="gramEnd"/>
    <w:r w:rsidRPr="00BA4CDF">
      <w:rPr>
        <w:rFonts w:ascii="Book Antiqua" w:hAnsi="Book Antiqua"/>
        <w:i/>
        <w:iCs/>
        <w:sz w:val="20"/>
        <w:szCs w:val="20"/>
      </w:rPr>
      <w:t xml:space="preserve"> </w:t>
    </w:r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12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Desember</w:t>
    </w:r>
    <w:proofErr w:type="spellEnd"/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 2024</w:t>
    </w:r>
  </w:p>
  <w:p w14:paraId="4228861A" w14:textId="77777777" w:rsidR="00BA4CDF" w:rsidRPr="00BA4CDF" w:rsidRDefault="00BA4CDF">
    <w:pPr>
      <w:pStyle w:val="Footer"/>
      <w:rPr>
        <w:rFonts w:ascii="Book Antiqua" w:hAnsi="Book Antiqua"/>
        <w:i/>
        <w:iCs/>
        <w:sz w:val="20"/>
        <w:szCs w:val="20"/>
      </w:rPr>
    </w:pPr>
    <w:proofErr w:type="spellStart"/>
    <w:r w:rsidRPr="00BA4CDF">
      <w:rPr>
        <w:rFonts w:ascii="Book Antiqua" w:hAnsi="Book Antiqua"/>
        <w:i/>
        <w:iCs/>
        <w:sz w:val="20"/>
        <w:szCs w:val="20"/>
      </w:rPr>
      <w:t>Direvisi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</w:t>
    </w:r>
    <w:proofErr w:type="spellStart"/>
    <w:r w:rsidRPr="00BA4CDF">
      <w:rPr>
        <w:rFonts w:ascii="Book Antiqua" w:hAnsi="Book Antiqua"/>
        <w:i/>
        <w:iCs/>
        <w:sz w:val="20"/>
        <w:szCs w:val="20"/>
      </w:rPr>
      <w:t>tanggal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– </w:t>
    </w:r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5 Januari 2025 – 13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Februari</w:t>
    </w:r>
    <w:proofErr w:type="spellEnd"/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 </w:t>
    </w:r>
    <w:r w:rsidRPr="00BA4CDF">
      <w:rPr>
        <w:rFonts w:ascii="Book Antiqua" w:hAnsi="Book Antiqua"/>
        <w:b/>
        <w:bCs/>
        <w:i/>
        <w:iCs/>
        <w:sz w:val="20"/>
        <w:szCs w:val="20"/>
      </w:rPr>
      <w:t>2025</w:t>
    </w:r>
  </w:p>
  <w:p w14:paraId="27AD7A8C" w14:textId="77777777" w:rsidR="00BA4CDF" w:rsidRPr="00BA4CDF" w:rsidRDefault="00BA4CDF">
    <w:pPr>
      <w:pStyle w:val="Footer"/>
      <w:rPr>
        <w:rFonts w:ascii="Book Antiqua" w:hAnsi="Book Antiqua"/>
        <w:i/>
        <w:iCs/>
        <w:sz w:val="20"/>
        <w:szCs w:val="20"/>
      </w:rPr>
    </w:pPr>
    <w:proofErr w:type="spellStart"/>
    <w:r w:rsidRPr="00BA4CDF">
      <w:rPr>
        <w:rFonts w:ascii="Book Antiqua" w:hAnsi="Book Antiqua"/>
        <w:i/>
        <w:iCs/>
        <w:sz w:val="20"/>
        <w:szCs w:val="20"/>
      </w:rPr>
      <w:t>Diterbitkan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</w:t>
    </w:r>
    <w:proofErr w:type="spellStart"/>
    <w:r w:rsidRPr="00BA4CDF">
      <w:rPr>
        <w:rFonts w:ascii="Book Antiqua" w:hAnsi="Book Antiqua"/>
        <w:i/>
        <w:iCs/>
        <w:sz w:val="20"/>
        <w:szCs w:val="20"/>
      </w:rPr>
      <w:t>tanggal</w:t>
    </w:r>
    <w:proofErr w:type="spellEnd"/>
    <w:r w:rsidRPr="00BA4CDF">
      <w:rPr>
        <w:rFonts w:ascii="Book Antiqua" w:hAnsi="Book Antiqua"/>
        <w:i/>
        <w:iCs/>
        <w:sz w:val="20"/>
        <w:szCs w:val="20"/>
      </w:rPr>
      <w:t xml:space="preserve"> </w:t>
    </w:r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25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Februari</w:t>
    </w:r>
    <w:proofErr w:type="spellEnd"/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 </w:t>
    </w:r>
    <w:r w:rsidRPr="00BA4CDF">
      <w:rPr>
        <w:rFonts w:ascii="Book Antiqua" w:hAnsi="Book Antiqua"/>
        <w:b/>
        <w:bCs/>
        <w:i/>
        <w:iCs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88F4" w14:textId="77777777" w:rsidR="004640D2" w:rsidRDefault="004640D2" w:rsidP="00BA4CDF">
      <w:pPr>
        <w:spacing w:after="0" w:line="240" w:lineRule="auto"/>
      </w:pPr>
      <w:r>
        <w:separator/>
      </w:r>
    </w:p>
  </w:footnote>
  <w:footnote w:type="continuationSeparator" w:id="0">
    <w:p w14:paraId="055FD103" w14:textId="77777777" w:rsidR="004640D2" w:rsidRDefault="004640D2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B15D" w14:textId="77777777" w:rsidR="00BA4CDF" w:rsidRPr="00BA4CDF" w:rsidRDefault="00BA4CDF" w:rsidP="00BA4CDF">
    <w:pPr>
      <w:pStyle w:val="Header"/>
      <w:pBdr>
        <w:bottom w:val="single" w:sz="12" w:space="1" w:color="auto"/>
      </w:pBdr>
      <w:jc w:val="right"/>
      <w:rPr>
        <w:rFonts w:ascii="Book Antiqua" w:hAnsi="Book Antiqua"/>
        <w:b/>
        <w:bCs/>
        <w:i/>
        <w:iCs/>
        <w:sz w:val="20"/>
        <w:szCs w:val="20"/>
      </w:rPr>
    </w:pPr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Meteor </w:t>
    </w:r>
    <w:proofErr w:type="gramStart"/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- 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Literasi</w:t>
    </w:r>
    <w:proofErr w:type="spellEnd"/>
    <w:proofErr w:type="gramEnd"/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 Maritim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Pelayaran</w:t>
    </w:r>
    <w:proofErr w:type="spellEnd"/>
  </w:p>
  <w:p w14:paraId="1332F7C2" w14:textId="77777777" w:rsidR="00BA4CDF" w:rsidRDefault="00BA4CDF" w:rsidP="00BA4CDF">
    <w:pPr>
      <w:pStyle w:val="Header"/>
      <w:pBdr>
        <w:bottom w:val="single" w:sz="12" w:space="1" w:color="auto"/>
      </w:pBdr>
      <w:jc w:val="right"/>
      <w:rPr>
        <w:rFonts w:ascii="Book Antiqua" w:hAnsi="Book Antiqua"/>
        <w:b/>
        <w:bCs/>
        <w:i/>
        <w:iCs/>
        <w:sz w:val="20"/>
        <w:szCs w:val="20"/>
      </w:rPr>
    </w:pPr>
    <w:r w:rsidRPr="00BA4CDF">
      <w:rPr>
        <w:rFonts w:ascii="Book Antiqua" w:hAnsi="Book Antiqua"/>
        <w:b/>
        <w:bCs/>
        <w:i/>
        <w:iCs/>
        <w:sz w:val="20"/>
        <w:szCs w:val="20"/>
      </w:rPr>
      <w:t xml:space="preserve">Kajian </w:t>
    </w:r>
    <w:proofErr w:type="spellStart"/>
    <w:r w:rsidRPr="00BA4CDF">
      <w:rPr>
        <w:rFonts w:ascii="Book Antiqua" w:hAnsi="Book Antiqua"/>
        <w:b/>
        <w:bCs/>
        <w:i/>
        <w:iCs/>
        <w:sz w:val="20"/>
        <w:szCs w:val="20"/>
      </w:rPr>
      <w:t>Ilmiah</w:t>
    </w:r>
    <w:proofErr w:type="spellEnd"/>
    <w:r>
      <w:rPr>
        <w:rFonts w:ascii="Book Antiqua" w:hAnsi="Book Antiqua"/>
        <w:b/>
        <w:bCs/>
        <w:i/>
        <w:iCs/>
        <w:sz w:val="20"/>
        <w:szCs w:val="20"/>
      </w:rPr>
      <w:t xml:space="preserve"> – </w:t>
    </w:r>
    <w:proofErr w:type="spellStart"/>
    <w:r>
      <w:rPr>
        <w:rFonts w:ascii="Book Antiqua" w:hAnsi="Book Antiqua"/>
        <w:b/>
        <w:bCs/>
        <w:i/>
        <w:iCs/>
        <w:sz w:val="20"/>
        <w:szCs w:val="20"/>
      </w:rPr>
      <w:t>Edisi</w:t>
    </w:r>
    <w:proofErr w:type="spellEnd"/>
    <w:r>
      <w:rPr>
        <w:rFonts w:ascii="Book Antiqua" w:hAnsi="Book Antiqua"/>
        <w:b/>
        <w:bCs/>
        <w:i/>
        <w:iCs/>
        <w:sz w:val="20"/>
        <w:szCs w:val="20"/>
      </w:rPr>
      <w:t xml:space="preserve"> </w:t>
    </w:r>
    <w:proofErr w:type="spellStart"/>
    <w:r>
      <w:rPr>
        <w:rFonts w:ascii="Book Antiqua" w:hAnsi="Book Antiqua"/>
        <w:b/>
        <w:bCs/>
        <w:i/>
        <w:iCs/>
        <w:sz w:val="20"/>
        <w:szCs w:val="20"/>
      </w:rPr>
      <w:t>Februari</w:t>
    </w:r>
    <w:proofErr w:type="spellEnd"/>
    <w:r>
      <w:rPr>
        <w:rFonts w:ascii="Book Antiqua" w:hAnsi="Book Antiqua"/>
        <w:b/>
        <w:bCs/>
        <w:i/>
        <w:iCs/>
        <w:sz w:val="20"/>
        <w:szCs w:val="20"/>
      </w:rPr>
      <w:t xml:space="preserve"> 2025</w:t>
    </w:r>
  </w:p>
  <w:p w14:paraId="25577F15" w14:textId="77777777" w:rsidR="00BA4CDF" w:rsidRPr="00BA4CDF" w:rsidRDefault="00BA4CDF" w:rsidP="00BA4CDF">
    <w:pPr>
      <w:pStyle w:val="Header"/>
      <w:pBdr>
        <w:bottom w:val="single" w:sz="12" w:space="1" w:color="auto"/>
      </w:pBdr>
      <w:jc w:val="right"/>
      <w:rPr>
        <w:rFonts w:ascii="Book Antiqua" w:hAnsi="Book Antiqua"/>
        <w:b/>
        <w:bCs/>
        <w:i/>
        <w:iCs/>
        <w:sz w:val="20"/>
        <w:szCs w:val="20"/>
      </w:rPr>
    </w:pPr>
    <w:r>
      <w:rPr>
        <w:rFonts w:ascii="Book Antiqua" w:hAnsi="Book Antiqua"/>
        <w:b/>
        <w:bCs/>
        <w:i/>
        <w:iCs/>
        <w:sz w:val="20"/>
        <w:szCs w:val="20"/>
      </w:rPr>
      <w:t xml:space="preserve">DOI – tahap </w:t>
    </w:r>
    <w:proofErr w:type="spellStart"/>
    <w:r>
      <w:rPr>
        <w:rFonts w:ascii="Book Antiqua" w:hAnsi="Book Antiqua"/>
        <w:b/>
        <w:bCs/>
        <w:i/>
        <w:iCs/>
        <w:sz w:val="20"/>
        <w:szCs w:val="20"/>
      </w:rPr>
      <w:t>pengajuan</w:t>
    </w:r>
    <w:proofErr w:type="spellEnd"/>
    <w:r>
      <w:rPr>
        <w:rFonts w:ascii="Book Antiqua" w:hAnsi="Book Antiqua"/>
        <w:b/>
        <w:bCs/>
        <w:i/>
        <w:iCs/>
        <w:sz w:val="20"/>
        <w:szCs w:val="20"/>
      </w:rPr>
      <w:t xml:space="preserve"> xxx </w:t>
    </w:r>
    <w:proofErr w:type="spellStart"/>
    <w:r>
      <w:rPr>
        <w:rFonts w:ascii="Book Antiqua" w:hAnsi="Book Antiqua"/>
        <w:b/>
        <w:bCs/>
        <w:i/>
        <w:iCs/>
        <w:sz w:val="20"/>
        <w:szCs w:val="20"/>
      </w:rPr>
      <w:t>xxx</w:t>
    </w:r>
    <w:proofErr w:type="spellEnd"/>
    <w:r>
      <w:rPr>
        <w:rFonts w:ascii="Book Antiqua" w:hAnsi="Book Antiqua"/>
        <w:b/>
        <w:bCs/>
        <w:i/>
        <w:iCs/>
        <w:sz w:val="20"/>
        <w:szCs w:val="20"/>
      </w:rPr>
      <w:t xml:space="preserve"> </w:t>
    </w:r>
    <w:proofErr w:type="spellStart"/>
    <w:r>
      <w:rPr>
        <w:rFonts w:ascii="Book Antiqua" w:hAnsi="Book Antiqua"/>
        <w:b/>
        <w:bCs/>
        <w:i/>
        <w:iCs/>
        <w:sz w:val="20"/>
        <w:szCs w:val="20"/>
      </w:rPr>
      <w:t>xxx</w:t>
    </w:r>
    <w:proofErr w:type="spellEnd"/>
  </w:p>
  <w:p w14:paraId="28B3058C" w14:textId="77777777" w:rsidR="00BA4CDF" w:rsidRDefault="00BA4CDF">
    <w:pPr>
      <w:pStyle w:val="Header"/>
    </w:pPr>
  </w:p>
  <w:p w14:paraId="76E8992F" w14:textId="77777777" w:rsidR="00BA4CDF" w:rsidRDefault="00BA4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7"/>
    <w:rsid w:val="00176C97"/>
    <w:rsid w:val="002A0F74"/>
    <w:rsid w:val="00333079"/>
    <w:rsid w:val="003949E3"/>
    <w:rsid w:val="004640D2"/>
    <w:rsid w:val="007C70A8"/>
    <w:rsid w:val="00855102"/>
    <w:rsid w:val="0092598B"/>
    <w:rsid w:val="00A9571F"/>
    <w:rsid w:val="00B75E25"/>
    <w:rsid w:val="00BA4CDF"/>
    <w:rsid w:val="00D211DC"/>
    <w:rsid w:val="00E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1071"/>
  <w15:chartTrackingRefBased/>
  <w15:docId w15:val="{CF31F521-9189-48BB-A207-B76385E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102"/>
    <w:pPr>
      <w:keepNext/>
      <w:keepLines/>
      <w:spacing w:before="360" w:after="80"/>
      <w:outlineLvl w:val="0"/>
    </w:pPr>
    <w:rPr>
      <w:rFonts w:ascii="Book Antiqua" w:eastAsiaTheme="majorEastAsia" w:hAnsi="Book Antiqua" w:cstheme="majorBidi"/>
      <w:b/>
      <w:i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102"/>
    <w:rPr>
      <w:rFonts w:ascii="Book Antiqua" w:eastAsiaTheme="majorEastAsia" w:hAnsi="Book Antiqua" w:cstheme="majorBidi"/>
      <w:b/>
      <w:i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C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6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C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DF"/>
  </w:style>
  <w:style w:type="paragraph" w:styleId="Footer">
    <w:name w:val="footer"/>
    <w:basedOn w:val="Normal"/>
    <w:link w:val="FooterChar"/>
    <w:uiPriority w:val="99"/>
    <w:unhideWhenUsed/>
    <w:rsid w:val="00BA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malau93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Marudut Simanjuntak</dc:creator>
  <cp:keywords/>
  <dc:description/>
  <cp:lastModifiedBy>Marudut Simanjuntak</cp:lastModifiedBy>
  <cp:revision>5</cp:revision>
  <cp:lastPrinted>2025-05-03T22:53:00Z</cp:lastPrinted>
  <dcterms:created xsi:type="dcterms:W3CDTF">2025-05-03T22:46:00Z</dcterms:created>
  <dcterms:modified xsi:type="dcterms:W3CDTF">2025-05-03T23:09:00Z</dcterms:modified>
</cp:coreProperties>
</file>