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807AA0" w:rsidP="005A211F">
            <w:pPr>
              <w:spacing w:after="0" w:line="240" w:lineRule="auto"/>
              <w:jc w:val="center"/>
              <w:rPr>
                <w:rFonts w:ascii="Times New Roman" w:eastAsia="Calibri" w:hAnsi="Times New Roman"/>
                <w:b/>
                <w:bCs/>
                <w:sz w:val="28"/>
                <w:szCs w:val="28"/>
                <w:lang w:val="en-US"/>
              </w:rPr>
            </w:pPr>
            <w:r w:rsidRPr="00807AA0">
              <w:rPr>
                <w:rFonts w:ascii="Times New Roman" w:eastAsia="Calibri" w:hAnsi="Times New Roman"/>
                <w:b/>
                <w:bCs/>
                <w:sz w:val="28"/>
                <w:szCs w:val="28"/>
                <w:lang w:val="en-US"/>
              </w:rPr>
              <w:t>Bridging Equity and Ecology: Maritime Vocational Education for Social Justice and Environmental Sustainability</w:t>
            </w:r>
          </w:p>
          <w:p w:rsidR="0075247C" w:rsidRPr="0024481D" w:rsidRDefault="0075247C" w:rsidP="00B621A6">
            <w:pPr>
              <w:autoSpaceDE w:val="0"/>
              <w:autoSpaceDN w:val="0"/>
              <w:adjustRightInd w:val="0"/>
              <w:spacing w:after="0" w:line="240" w:lineRule="auto"/>
              <w:jc w:val="center"/>
              <w:rPr>
                <w:rFonts w:ascii="Times New Roman" w:eastAsia="Calibri" w:hAnsi="Times New Roman"/>
                <w:b/>
                <w:iCs/>
              </w:rPr>
            </w:pPr>
          </w:p>
          <w:p w:rsidR="00807AA0" w:rsidRPr="008D6718" w:rsidRDefault="00063E3B" w:rsidP="00B621A6">
            <w:pPr>
              <w:autoSpaceDE w:val="0"/>
              <w:autoSpaceDN w:val="0"/>
              <w:adjustRightInd w:val="0"/>
              <w:spacing w:after="0" w:line="240" w:lineRule="auto"/>
              <w:jc w:val="center"/>
              <w:rPr>
                <w:rFonts w:ascii="Times New Roman" w:eastAsia="Calibri" w:hAnsi="Times New Roman"/>
                <w:i/>
                <w:lang w:val="en-US"/>
              </w:rPr>
            </w:pPr>
            <w:r w:rsidRPr="008D6718">
              <w:rPr>
                <w:rFonts w:ascii="Times New Roman" w:eastAsia="Calibri" w:hAnsi="Times New Roman"/>
                <w:i/>
                <w:vertAlign w:val="superscript"/>
                <w:lang w:val="en-US"/>
              </w:rPr>
              <w:t>1</w:t>
            </w:r>
            <w:r w:rsidR="00807AA0" w:rsidRPr="008D6718">
              <w:rPr>
                <w:rFonts w:ascii="Times New Roman" w:eastAsia="Calibri" w:hAnsi="Times New Roman"/>
                <w:i/>
                <w:lang w:val="en-US"/>
              </w:rPr>
              <w:t xml:space="preserve">Dedtri Anwar, </w:t>
            </w:r>
            <w:r w:rsidRPr="008D6718">
              <w:rPr>
                <w:rFonts w:ascii="Times New Roman" w:eastAsia="Calibri" w:hAnsi="Times New Roman"/>
                <w:i/>
                <w:vertAlign w:val="superscript"/>
                <w:lang w:val="en-US"/>
              </w:rPr>
              <w:t>2*</w:t>
            </w:r>
            <w:proofErr w:type="spellStart"/>
            <w:r w:rsidR="00807AA0" w:rsidRPr="008D6718">
              <w:rPr>
                <w:rFonts w:ascii="Times New Roman" w:eastAsia="Calibri" w:hAnsi="Times New Roman"/>
                <w:i/>
                <w:lang w:val="en-US"/>
              </w:rPr>
              <w:t>Iksan</w:t>
            </w:r>
            <w:proofErr w:type="spellEnd"/>
            <w:r w:rsidR="00807AA0" w:rsidRPr="008D6718">
              <w:rPr>
                <w:rFonts w:ascii="Times New Roman" w:eastAsia="Calibri" w:hAnsi="Times New Roman"/>
                <w:i/>
                <w:lang w:val="en-US"/>
              </w:rPr>
              <w:t xml:space="preserve"> </w:t>
            </w:r>
            <w:proofErr w:type="spellStart"/>
            <w:r w:rsidR="00807AA0" w:rsidRPr="008D6718">
              <w:rPr>
                <w:rFonts w:ascii="Times New Roman" w:eastAsia="Calibri" w:hAnsi="Times New Roman"/>
                <w:i/>
                <w:lang w:val="en-US"/>
              </w:rPr>
              <w:t>Saifudin</w:t>
            </w:r>
            <w:proofErr w:type="spellEnd"/>
            <w:r w:rsidR="00807AA0" w:rsidRPr="008D6718">
              <w:rPr>
                <w:rFonts w:ascii="Times New Roman" w:eastAsia="Calibri" w:hAnsi="Times New Roman"/>
                <w:i/>
                <w:lang w:val="en-US"/>
              </w:rPr>
              <w:t xml:space="preserve">, </w:t>
            </w:r>
            <w:r w:rsidRPr="008D6718">
              <w:rPr>
                <w:rFonts w:ascii="Times New Roman" w:eastAsia="Calibri" w:hAnsi="Times New Roman"/>
                <w:i/>
                <w:vertAlign w:val="superscript"/>
                <w:lang w:val="en-US"/>
              </w:rPr>
              <w:t>2</w:t>
            </w:r>
            <w:r w:rsidR="00807AA0" w:rsidRPr="008D6718">
              <w:rPr>
                <w:rFonts w:ascii="Times New Roman" w:eastAsia="Calibri" w:hAnsi="Times New Roman"/>
                <w:i/>
                <w:lang w:val="en-US"/>
              </w:rPr>
              <w:t xml:space="preserve">Aliong </w:t>
            </w:r>
            <w:proofErr w:type="spellStart"/>
            <w:r w:rsidR="00807AA0" w:rsidRPr="008D6718">
              <w:rPr>
                <w:rFonts w:ascii="Times New Roman" w:eastAsia="Calibri" w:hAnsi="Times New Roman"/>
                <w:i/>
                <w:lang w:val="en-US"/>
              </w:rPr>
              <w:t>Silalahi</w:t>
            </w:r>
            <w:proofErr w:type="spellEnd"/>
            <w:r w:rsidR="00807AA0" w:rsidRPr="008D6718">
              <w:rPr>
                <w:rFonts w:ascii="Times New Roman" w:eastAsia="Calibri" w:hAnsi="Times New Roman"/>
                <w:i/>
                <w:lang w:val="en-US"/>
              </w:rPr>
              <w:t xml:space="preserve">, </w:t>
            </w:r>
            <w:r w:rsidRPr="008D6718">
              <w:rPr>
                <w:rFonts w:ascii="Times New Roman" w:eastAsia="Calibri" w:hAnsi="Times New Roman"/>
                <w:i/>
                <w:vertAlign w:val="superscript"/>
                <w:lang w:val="en-US"/>
              </w:rPr>
              <w:t>2</w:t>
            </w:r>
            <w:r w:rsidR="00807AA0" w:rsidRPr="008D6718">
              <w:rPr>
                <w:rFonts w:ascii="Times New Roman" w:eastAsia="Calibri" w:hAnsi="Times New Roman"/>
                <w:i/>
                <w:lang w:val="en-US"/>
              </w:rPr>
              <w:t xml:space="preserve">Jaya </w:t>
            </w:r>
            <w:proofErr w:type="spellStart"/>
            <w:r w:rsidR="00807AA0" w:rsidRPr="008D6718">
              <w:rPr>
                <w:rFonts w:ascii="Times New Roman" w:eastAsia="Calibri" w:hAnsi="Times New Roman"/>
                <w:i/>
                <w:lang w:val="en-US"/>
              </w:rPr>
              <w:t>Alamsyah</w:t>
            </w:r>
            <w:proofErr w:type="spellEnd"/>
            <w:r w:rsidR="00807AA0" w:rsidRPr="008D6718">
              <w:rPr>
                <w:rFonts w:ascii="Times New Roman" w:eastAsia="Calibri" w:hAnsi="Times New Roman"/>
                <w:i/>
                <w:lang w:val="en-US"/>
              </w:rPr>
              <w:t xml:space="preserve">, </w:t>
            </w:r>
            <w:r w:rsidRPr="008D6718">
              <w:rPr>
                <w:rFonts w:ascii="Times New Roman" w:eastAsia="Calibri" w:hAnsi="Times New Roman"/>
                <w:i/>
                <w:vertAlign w:val="superscript"/>
                <w:lang w:val="en-US"/>
              </w:rPr>
              <w:t>2</w:t>
            </w:r>
            <w:r w:rsidR="00807AA0" w:rsidRPr="008D6718">
              <w:rPr>
                <w:rFonts w:ascii="Times New Roman" w:eastAsia="Calibri" w:hAnsi="Times New Roman"/>
                <w:i/>
                <w:lang w:val="en-US"/>
              </w:rPr>
              <w:t xml:space="preserve">Frisca </w:t>
            </w:r>
            <w:proofErr w:type="spellStart"/>
            <w:r w:rsidR="00807AA0" w:rsidRPr="008D6718">
              <w:rPr>
                <w:rFonts w:ascii="Times New Roman" w:eastAsia="Calibri" w:hAnsi="Times New Roman"/>
                <w:i/>
                <w:lang w:val="en-US"/>
              </w:rPr>
              <w:t>Mareyta</w:t>
            </w:r>
            <w:proofErr w:type="spellEnd"/>
            <w:r w:rsidR="00807AA0" w:rsidRPr="008D6718">
              <w:rPr>
                <w:rFonts w:ascii="Times New Roman" w:eastAsia="Calibri" w:hAnsi="Times New Roman"/>
                <w:i/>
                <w:lang w:val="en-US"/>
              </w:rPr>
              <w:t xml:space="preserve"> </w:t>
            </w:r>
            <w:proofErr w:type="spellStart"/>
            <w:r w:rsidR="00807AA0" w:rsidRPr="008D6718">
              <w:rPr>
                <w:rFonts w:ascii="Times New Roman" w:eastAsia="Calibri" w:hAnsi="Times New Roman"/>
                <w:i/>
                <w:lang w:val="en-US"/>
              </w:rPr>
              <w:t>Pongoh</w:t>
            </w:r>
            <w:proofErr w:type="spellEnd"/>
          </w:p>
          <w:p w:rsidR="00807AA0" w:rsidRPr="008D6718" w:rsidRDefault="00807AA0" w:rsidP="00B621A6">
            <w:pPr>
              <w:autoSpaceDE w:val="0"/>
              <w:autoSpaceDN w:val="0"/>
              <w:adjustRightInd w:val="0"/>
              <w:spacing w:after="0" w:line="240" w:lineRule="auto"/>
              <w:jc w:val="center"/>
              <w:rPr>
                <w:rFonts w:ascii="Times New Roman" w:eastAsia="Calibri" w:hAnsi="Times New Roman"/>
                <w:i/>
                <w:lang w:val="en-US"/>
              </w:rPr>
            </w:pPr>
          </w:p>
          <w:p w:rsidR="00807AA0" w:rsidRPr="008D6718" w:rsidRDefault="00807AA0" w:rsidP="00807AA0">
            <w:pPr>
              <w:autoSpaceDE w:val="0"/>
              <w:autoSpaceDN w:val="0"/>
              <w:adjustRightInd w:val="0"/>
              <w:spacing w:after="0" w:line="240" w:lineRule="auto"/>
              <w:jc w:val="center"/>
              <w:rPr>
                <w:rFonts w:ascii="Times New Roman" w:eastAsia="Calibri" w:hAnsi="Times New Roman"/>
                <w:i/>
                <w:lang w:val="en-US"/>
              </w:rPr>
            </w:pPr>
            <w:r w:rsidRPr="008D6718">
              <w:rPr>
                <w:rFonts w:ascii="Times New Roman" w:eastAsia="Calibri" w:hAnsi="Times New Roman"/>
                <w:i/>
                <w:vertAlign w:val="superscript"/>
                <w:lang w:val="en-US"/>
              </w:rPr>
              <w:t>1</w:t>
            </w:r>
            <w:r w:rsidRPr="008D6718">
              <w:rPr>
                <w:rFonts w:ascii="Times New Roman" w:eastAsia="Calibri" w:hAnsi="Times New Roman"/>
                <w:i/>
                <w:lang w:val="en-US"/>
              </w:rPr>
              <w:t xml:space="preserve"> Maritime Polytechnic of Banten, Tangerang, Indonesia</w:t>
            </w:r>
          </w:p>
          <w:p w:rsidR="000C4333" w:rsidRPr="008D6718" w:rsidRDefault="00807AA0" w:rsidP="00B621A6">
            <w:pPr>
              <w:autoSpaceDE w:val="0"/>
              <w:autoSpaceDN w:val="0"/>
              <w:adjustRightInd w:val="0"/>
              <w:spacing w:after="0" w:line="240" w:lineRule="auto"/>
              <w:jc w:val="center"/>
              <w:rPr>
                <w:rFonts w:ascii="Times New Roman" w:eastAsia="Calibri" w:hAnsi="Times New Roman"/>
                <w:i/>
                <w:lang w:val="en-US"/>
              </w:rPr>
            </w:pPr>
            <w:r w:rsidRPr="008D6718">
              <w:rPr>
                <w:rFonts w:ascii="Times New Roman" w:eastAsia="Calibri" w:hAnsi="Times New Roman"/>
                <w:i/>
                <w:vertAlign w:val="superscript"/>
                <w:lang w:val="en-US"/>
              </w:rPr>
              <w:t>2</w:t>
            </w:r>
            <w:r w:rsidRPr="008D6718">
              <w:rPr>
                <w:rFonts w:ascii="Times New Roman" w:eastAsia="Calibri" w:hAnsi="Times New Roman"/>
                <w:i/>
                <w:lang w:val="en-US"/>
              </w:rPr>
              <w:t>Maritime Polytechnic of North Sulawesi</w:t>
            </w:r>
            <w:r w:rsidRPr="008D6718">
              <w:rPr>
                <w:rFonts w:ascii="Times New Roman" w:eastAsia="Calibri" w:hAnsi="Times New Roman"/>
                <w:i/>
                <w:lang w:val="en-US"/>
              </w:rPr>
              <w:t xml:space="preserve">, South </w:t>
            </w:r>
            <w:proofErr w:type="spellStart"/>
            <w:r w:rsidRPr="008D6718">
              <w:rPr>
                <w:rFonts w:ascii="Times New Roman" w:eastAsia="Calibri" w:hAnsi="Times New Roman"/>
                <w:i/>
                <w:lang w:val="en-US"/>
              </w:rPr>
              <w:t>Minahasa</w:t>
            </w:r>
            <w:proofErr w:type="spellEnd"/>
            <w:r w:rsidRPr="008D6718">
              <w:rPr>
                <w:rFonts w:ascii="Times New Roman" w:eastAsia="Calibri" w:hAnsi="Times New Roman"/>
                <w:i/>
                <w:lang w:val="en-US"/>
              </w:rPr>
              <w:t>, Indonesia</w:t>
            </w:r>
          </w:p>
          <w:p w:rsidR="0075247C" w:rsidRPr="002D518D" w:rsidRDefault="0075247C" w:rsidP="00B621A6">
            <w:pPr>
              <w:autoSpaceDE w:val="0"/>
              <w:autoSpaceDN w:val="0"/>
              <w:adjustRightInd w:val="0"/>
              <w:spacing w:after="0" w:line="240" w:lineRule="auto"/>
              <w:jc w:val="center"/>
              <w:rPr>
                <w:rFonts w:ascii="Times New Roman" w:hAnsi="Times New Roman"/>
                <w:i/>
                <w:iCs/>
                <w:lang w:val="en-US"/>
              </w:rPr>
            </w:pPr>
          </w:p>
          <w:p w:rsidR="0075247C" w:rsidRPr="002D518D" w:rsidRDefault="00063E3B" w:rsidP="00B621A6">
            <w:pPr>
              <w:autoSpaceDE w:val="0"/>
              <w:autoSpaceDN w:val="0"/>
              <w:adjustRightInd w:val="0"/>
              <w:spacing w:after="0" w:line="240" w:lineRule="auto"/>
              <w:jc w:val="center"/>
              <w:rPr>
                <w:rFonts w:ascii="Times New Roman" w:eastAsia="Calibri" w:hAnsi="Times New Roman"/>
                <w:i/>
                <w:iCs/>
              </w:rPr>
            </w:pPr>
            <w:r>
              <w:rPr>
                <w:rFonts w:ascii="Times New Roman" w:hAnsi="Times New Roman"/>
                <w:bCs/>
                <w:i/>
                <w:iCs/>
                <w:lang w:val="en-US"/>
              </w:rPr>
              <w:t>*</w:t>
            </w:r>
            <w:proofErr w:type="gramStart"/>
            <w:r w:rsidR="0075247C" w:rsidRPr="002D518D">
              <w:rPr>
                <w:rFonts w:ascii="Times New Roman" w:hAnsi="Times New Roman"/>
                <w:bCs/>
                <w:i/>
                <w:iCs/>
                <w:lang w:val="en-US"/>
              </w:rPr>
              <w:t>email</w:t>
            </w:r>
            <w:proofErr w:type="gramEnd"/>
            <w:r w:rsidR="0075247C" w:rsidRPr="002D518D">
              <w:rPr>
                <w:rFonts w:ascii="Times New Roman" w:hAnsi="Times New Roman"/>
                <w:bCs/>
                <w:i/>
                <w:iCs/>
                <w:lang w:val="en-US"/>
              </w:rPr>
              <w:t xml:space="preserve">: </w:t>
            </w:r>
            <w:hyperlink r:id="rId9" w:history="1">
              <w:r w:rsidRPr="00171414">
                <w:rPr>
                  <w:rStyle w:val="Hyperlink"/>
                  <w:rFonts w:ascii="Times New Roman" w:eastAsia="Calibri" w:hAnsi="Times New Roman"/>
                  <w:i/>
                  <w:iCs/>
                </w:rPr>
                <w:t>ikhsan@poltekpelsulut.ac.id</w:t>
              </w:r>
            </w:hyperlink>
            <w:r>
              <w:rPr>
                <w:rFonts w:ascii="Times New Roman" w:eastAsia="Calibri" w:hAnsi="Times New Roman"/>
                <w:i/>
                <w:iCs/>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4D1E64" w:rsidRDefault="004D1E64" w:rsidP="000C4333">
      <w:pPr>
        <w:pStyle w:val="Heading1"/>
        <w:numPr>
          <w:ilvl w:val="0"/>
          <w:numId w:val="0"/>
        </w:numPr>
        <w:jc w:val="center"/>
        <w:rPr>
          <w:i/>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527E7D">
      <w:pPr>
        <w:jc w:val="both"/>
        <w:rPr>
          <w:rFonts w:ascii="Times New Roman" w:eastAsia="Times New Roman" w:hAnsi="Times New Roman"/>
          <w:i/>
          <w:iCs/>
          <w:lang w:val="zh-CN" w:eastAsia="zh-CN"/>
        </w:rPr>
      </w:pPr>
      <w:r w:rsidRPr="00527E7D">
        <w:rPr>
          <w:rFonts w:ascii="Times New Roman" w:eastAsia="Times New Roman" w:hAnsi="Times New Roman"/>
          <w:i/>
          <w:iCs/>
          <w:lang w:eastAsia="zh-CN"/>
        </w:rPr>
        <w:t>This research investigates the transformative potential of maritime vocational education to simultaneously advance social justice and environmental sustainability through innovative pedagogical practices. Using qualitative descriptive methodology, the study examines perspectives from thirty participants including twelve maritime industry professionals, eighteen recent graduates, and five educators across maritime institutions. The research addresses critical gaps in current educational approaches that inadequately prepare maritime professionals for contemporary environmental stewardship and social responsibility challenges. Data collection employed semi-structured interviews, focus group discussions, and document analysis to explore equity barriers, sustainability integration, and transformative learning possibilities. Findings reveal moderate performance in both equity access (3.0/5.0) and sustainability integration (3.1/5.0), indicating significant improvement potential while demonstrating existing foundations for transformation. Three primary themes emerged: structural barriers limiting equitable participation, environmental sustainability as a catalyst for social justice, and the transformative potential of community-engaged learning approaches. The research demonstrates that community-based pedagogical innovations can effectively address multiple educational goals simultaneously, validating diverse maritime knowledge while connecting formal education with real-world environmental challenges. Results provide practical frameworks for institutional transformation that prepare graduates as agents of positive industry change while serving coastal communities. The study contributes theoretical understanding of integrated justice-sustainability approaches in technical education and offers concrete strategies for maritime institutions seeking to enhance both equity and environmental outcomes without compromising technical excellence.</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75247C" w:rsidRPr="002D518D"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527E7D" w:rsidRPr="00527E7D">
              <w:rPr>
                <w:rFonts w:ascii="Times New Roman" w:eastAsia="Calibri" w:hAnsi="Times New Roman"/>
                <w:bCs/>
                <w:i/>
              </w:rPr>
              <w:t>maritime vocational education, social justice pedagogy, environmental sustainability, educational equity, community-engaged learning</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2D518D" w:rsidRDefault="0075247C">
      <w:pPr>
        <w:autoSpaceDE w:val="0"/>
        <w:autoSpaceDN w:val="0"/>
        <w:adjustRightInd w:val="0"/>
        <w:spacing w:after="0" w:line="240" w:lineRule="auto"/>
        <w:jc w:val="center"/>
        <w:rPr>
          <w:rFonts w:ascii="Times New Roman" w:hAnsi="Times New Roman"/>
          <w:color w:val="000000"/>
          <w:sz w:val="20"/>
          <w:szCs w:val="20"/>
        </w:rPr>
      </w:pPr>
      <w:r w:rsidRPr="002D518D">
        <w:rPr>
          <w:rFonts w:ascii="Times New Roman" w:eastAsia="Calibri" w:hAnsi="Times New Roman"/>
          <w:i/>
          <w:sz w:val="20"/>
          <w:szCs w:val="20"/>
          <w:lang w:val="en-US"/>
        </w:rPr>
        <w:t xml:space="preserve">           </w:t>
      </w:r>
      <w:r w:rsidRPr="002D518D">
        <w:rPr>
          <w:rFonts w:ascii="Times New Roman" w:eastAsia="Calibri" w:hAnsi="Times New Roman"/>
          <w:i/>
          <w:sz w:val="20"/>
          <w:szCs w:val="20"/>
          <w:lang w:val="en-US"/>
        </w:rPr>
        <w:tab/>
      </w:r>
      <w:r w:rsidRPr="002D518D">
        <w:rPr>
          <w:rFonts w:ascii="Times New Roman" w:eastAsia="Calibri" w:hAnsi="Times New Roman"/>
          <w:i/>
          <w:sz w:val="20"/>
          <w:szCs w:val="20"/>
          <w:lang w:val="en-US"/>
        </w:rPr>
        <w:tab/>
      </w:r>
    </w:p>
    <w:p w:rsidR="0075247C" w:rsidRPr="002D518D" w:rsidRDefault="0075247C">
      <w:pPr>
        <w:autoSpaceDE w:val="0"/>
        <w:autoSpaceDN w:val="0"/>
        <w:adjustRightInd w:val="0"/>
        <w:spacing w:after="0" w:line="240" w:lineRule="auto"/>
        <w:rPr>
          <w:rFonts w:ascii="Times New Roman" w:eastAsia="Calibri" w:hAnsi="Times New Roman"/>
          <w:bCs/>
          <w:sz w:val="20"/>
          <w:szCs w:val="20"/>
        </w:rPr>
        <w:sectPr w:rsidR="0075247C" w:rsidRPr="002D518D" w:rsidSect="004D1E64">
          <w:footerReference w:type="default" r:id="rId10"/>
          <w:type w:val="continuous"/>
          <w:pgSz w:w="11906" w:h="16838"/>
          <w:pgMar w:top="1134" w:right="1134" w:bottom="1134" w:left="1134" w:header="709" w:footer="709" w:gutter="0"/>
          <w:pgNumType w:start="15"/>
          <w:cols w:space="720"/>
          <w:docGrid w:linePitch="360"/>
        </w:sect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rsidR="00063E3B" w:rsidRDefault="00063E3B" w:rsidP="005F2762">
      <w:pPr>
        <w:pStyle w:val="Heading1"/>
        <w:numPr>
          <w:ilvl w:val="0"/>
          <w:numId w:val="0"/>
        </w:numPr>
        <w:rPr>
          <w:lang w:val="en-US"/>
        </w:rPr>
        <w:sectPr w:rsidR="00063E3B" w:rsidSect="007119B1">
          <w:type w:val="continuous"/>
          <w:pgSz w:w="11906" w:h="16838" w:code="9"/>
          <w:pgMar w:top="1080" w:right="907" w:bottom="1440" w:left="907" w:header="720" w:footer="720" w:gutter="0"/>
          <w:cols w:space="360"/>
          <w:docGrid w:linePitch="360"/>
        </w:sectPr>
      </w:pPr>
    </w:p>
    <w:p w:rsidR="005F2762" w:rsidRPr="005F2762" w:rsidRDefault="005F2762" w:rsidP="005F2762">
      <w:pPr>
        <w:pStyle w:val="Heading1"/>
        <w:numPr>
          <w:ilvl w:val="0"/>
          <w:numId w:val="0"/>
        </w:numPr>
        <w:rPr>
          <w:lang w:val="en-US"/>
        </w:rPr>
      </w:pPr>
      <w:r w:rsidRPr="005F2762">
        <w:rPr>
          <w:lang w:val="en-US"/>
        </w:rPr>
        <w:lastRenderedPageBreak/>
        <w:t>1. Introduction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maritime industry stands at a critical juncture where traditional operational paradigms must evolve to address unprecedented environmental challenges while simultaneously confronting persistent social inequities that have historically characterized the sector. As global shipping accounts for approximately 90% of international trade and contributes nearly 3% of global greenhouse gas emissions, the urgency for transformative change extends beyond technological innovation to encompass fundamental shifts in how maritime professionals are educated and prepared for contemporary challenges [1]. This transformation becomes particularly acute when examining the intersection of environmental sustainability imperatives and social justice concerns within maritime vocational education, where the potential for systemic change through educational innovation remains largely unexplored.</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Contemporary maritime education institutions operate within complex socio-economic contexts where traditional pedagogical approaches often perpetuate existing inequalities while inadequately preparing graduates for the environmental stewardship responsibilities inherent in modern maritime careers. The persistence of underrepresentation among coastal communities in maritime education programs reflects broader structural barriers that limit access to quality education and professional advancement opportunities [2]. Simultaneously, the increasing recognition of climate change impacts on marine ecosystems and coastal communities necessitates maritime education approaches that integrate environmental consciousness with technical competency development. This convergence of social justice and environmental sustainability concerns creates both unprecedented challenges and transformative opportunities for maritime vocational education institutions seeking to prepare graduates capable of leading positive industry transformation.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Recent scholarship in critical pedagogy and environmental education has demonstrated the potential for educational institutions to serve as catalysts for social change when curricula and pedagogical practices are deliberately designed to address equity and sustainability concerns [3]. However, the application of these principles within maritime vocational education contexts remains limited, creating significant gaps between contemporary social and environmental imperatives and existing educational practices. The maritime industry's traditional emphasis on technical competency development, while essential for operational safety and effectiveness, has often occurred without sufficient attention to the broader social and environmental contexts within which maritime professionals operate. This disconnection between </w:t>
      </w:r>
      <w:r w:rsidRPr="005F2762">
        <w:rPr>
          <w:rFonts w:ascii="Times New Roman" w:eastAsia="Times New Roman" w:hAnsi="Times New Roman"/>
          <w:iCs/>
          <w:lang w:val="en-US" w:eastAsia="zh-CN"/>
        </w:rPr>
        <w:t>technical education and social responsibility creates missed opportunities for developing maritime professionals who understand their roles as agents of positive change within their communities and industries.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problem addressed in this study centers on the critical need to understand how maritime vocational education can be transformed to simultaneously advance social justice and environmental sustainability goals without compromising technical excellence. Specifically, this research investigates how inclusive and transformative teaching practices within maritime education can foster both equity and ecological consciousness among students from diverse backgrounds, particularly those from underrepresented coastal communities. The central research question guiding this investigation asks: How can maritime vocational education programs be designed and implemented to bridge equity and ecology concerns, creating educational experiences that empower students as agents of social and environmental change while maintaining technical competency standards required for professional success?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This research encompasses several specific objectives that collectively address the multifaceted nature of the central research problem. The primary objective involves identifying and analyzing the structural barriers that prevent equitable access to quality maritime education, particularly for students from coastal communities who may possess valuable local knowledge but lack traditional educational advantages. A secondary objective focuses on examining how environmental sustainability principles can be meaningfully integrated into maritime vocational curricula without diluting technical content or extending program duration. Additionally, the research aims to document and analyze successful pedagogical innovations that demonstrate the potential for transformative learning experiences within maritime education contexts. Finally, the study seeks to develop a comprehensive framework for maritime education transformation that can guide institutional change initiatives while providing practical strategies for educators seeking to implement equity and sustainability-focused teaching practices.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rationale for this research emerges from the convergence of multiple urgent contemporary pressures facing maritime education institutions and the broader maritime industry. Climate change impacts on marine ecosystems and coastal communities create immediate needs for maritime professionals who understand environmental stewardship as integral to their professional responsibilities rather than as an additional concern [4]. Simultaneously, growing awareness of social inequities within maritime industries, combined with increasing demands for workforce diversity and inclusion, requires educational approaches that actively </w:t>
      </w:r>
      <w:r w:rsidRPr="005F2762">
        <w:rPr>
          <w:rFonts w:ascii="Times New Roman" w:eastAsia="Times New Roman" w:hAnsi="Times New Roman"/>
          <w:iCs/>
          <w:lang w:val="en-US" w:eastAsia="zh-CN"/>
        </w:rPr>
        <w:lastRenderedPageBreak/>
        <w:t>address barriers to participation while celebrating diverse forms of maritime knowledge and experience. The economic dimensions of these concerns cannot be overlooked, as sustainable blue economy development increasingly depends on maritime professionals who can balance environmental protection with economic opportunity creation, particularly within coastal communities that depend on marine resources for their livelihoods.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significance of this research extends beyond maritime education to contribute valuable insights for broader discussions about the role of vocational education in addressing contemporary social and environmental challenges. As technical education institutions across various sectors grapple with similar tensions between traditional industry demands and emerging social responsibility expectations, the findings from this maritime-focused study may provide transferable insights for educational transformation in other technical fields. Furthermore, the research addresses critical gaps in existing literature that has typically treated social justice and environmental sustainability as separate educational concerns rather than exploring their potential integration within technical education contexts [5].</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methodological approach employed in this research utilizes qualitative descriptive analysis to capture the complex perspectives and experiences of multiple stakeholder groups within the maritime education ecosystem. Through comprehensive interviews and focus group discussions with maritime industry professionals, recent graduates, and educators, the study seeks to understand the multifaceted nature of equity and sustainability challenges while identifying successful strategies for addressing these concerns through educational innovation. The research design emphasizes participant voice and experience as central to understanding transformation possibilities, recognizing that sustainable change must emerge from the insights and commitments of those directly engaged in maritime education and professional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This qualitative methodology enables deep exploration of the nuanced ways that social justice and environmental sustainability concerns intersect within maritime education contexts, providing rich descriptive data that illuminates both challenges and opportunities for transformation. The research approach recognizes that meaningful educational change requires understanding not only what innovations are possible but also how various stakeholders experience and interpret these innovations within their specific professional and educational contexts. By centering participant perspectives and experiences, the research aims to develop recommendations that are both theoretically grounded and practically feasible for </w:t>
      </w:r>
      <w:r w:rsidRPr="005F2762">
        <w:rPr>
          <w:rFonts w:ascii="Times New Roman" w:eastAsia="Times New Roman" w:hAnsi="Times New Roman"/>
          <w:iCs/>
          <w:lang w:val="en-US" w:eastAsia="zh-CN"/>
        </w:rPr>
        <w:t>implementation within existing maritime education institutions.</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anticipated contributions of this research include theoretical, methodological, and practical innovations that advance understanding of transformative education possibilities within technical vocational contexts. Theoretically, the study contributes to critical pedagogy literature by demonstrating how social justice principles can be effectively integrated within technical education without compromising professional competency development. Methodologically, the research provides innovative approaches for conducting multi-stakeholder qualitative research within professional education contexts, contributing valuable insights for researchers seeking to understand complex educational transformation processes. Practically, the study offers concrete strategies and frameworks that maritime education institutions can adapt and implement to enhance both equity and sustainability outcomes while maintaining their commitment to technical excellence and industry relevance.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F2762">
      <w:pPr>
        <w:pStyle w:val="Heading1"/>
        <w:numPr>
          <w:ilvl w:val="0"/>
          <w:numId w:val="0"/>
        </w:numPr>
        <w:rPr>
          <w:lang w:val="en-US"/>
        </w:rPr>
      </w:pPr>
      <w:r w:rsidRPr="005F2762">
        <w:rPr>
          <w:lang w:val="en-US"/>
        </w:rPr>
        <w:t>2. RESEARCH METHOD</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This research employs a qualitative descriptive methodology designed to capture the complex perspectives and experiences of multiple stakeholder groups within the maritime education ecosystem. The methodological framework draws upon phenomenological research traditions that emphasize understanding participant experiences and meanings while incorporating elements of participatory action research that position participants as collaborators in knowledge generation rather than passive subjects of investigation [6]. This approach enables comprehensive exploration of how social justice and environmental sustainability concerns intersect within maritime vocational education contexts while maintaining focus on practical transformation possibilities.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population encompasses three distinct but interconnected stakeholder groups whose perspectives collectively illuminate the multifaceted nature of maritime education transformation challenges and opportunities. The target population includes maritime industry professionals who possess both educational and practical experience within the sector, recent graduates who have navigated contemporary maritime education programs, and educators who are actively engaged in curriculum development and pedagogical innovation within maritime institutions. This multi-stakeholder approach recognizes that meaningful educational transformation requires understanding perspectives from across the maritime education continuum, from industry employers who ultimately hire graduates to educators who design and deliver educational experiences.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lastRenderedPageBreak/>
        <w:t>The sample selection strategy employs purposive sampling techniques to ensure representation of diverse perspectives and experiences within each stakeholder group. For maritime industry professionals, the sample includes twelve participants selected based on specific criteria including minimum five years of sea-going experience, current leadership roles within port and shipping industries, and demonstrated awareness of sustainability and equity concerns within their professional practice. The selection prioritizes professionals who have transitioned from operational roles to management or entrepreneurial positions, as these individuals possess both practical maritime experience and strategic perspectives on industry transformation needs. Recent graduate participants include eighteen individuals who have completed maritime education programs within the previous two years, with deliberate inclusion of graduates from diverse educational backgrounds including Nautical Deck Engineering, Naval Marine Engineering, and Port and Shipping Engineering programs. The educator sample consists of five participants selected based on their active involvement in curriculum development, demonstrated commitment to pedagogical innovation, and awareness of contemporary social and environmental challenges facing maritime education.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instrument development process emphasizes creating comprehensive data collection tools that capture both explicit perspectives and implicit assumptions about equity and sustainability within maritime education contexts. The primary research instrument consists of semi-structured interview protocols designed to explore participant experiences across multiple thematic areas while maintaining sufficient flexibility to pursue emergent topics and individual participant insights. These protocols incorporate open-ended questions that encourage narrative responses, scenario-based questions that explore practical decision-making processes, and reflective questions that prompt critical analysis of current practices and transformation possibilities [7]. Supporting instruments include focus group discussion guides that facilitate collective exploration of shared challenges and collaborative solution development, document analysis frameworks for examining institutional policies and curricula, and participant observation protocols for understanding educational environments and interactions.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dependent variables in this research framework include participant perceptions of equity within maritime education, environmental sustainability awareness and integration, and educational transformation possibilities. Independent variables encompass participant characteristics such as professional experience, educational background, institutional affiliation, and demographic factors that </w:t>
      </w:r>
      <w:r w:rsidRPr="005F2762">
        <w:rPr>
          <w:rFonts w:ascii="Times New Roman" w:eastAsia="Times New Roman" w:hAnsi="Times New Roman"/>
          <w:iCs/>
          <w:lang w:val="en-US" w:eastAsia="zh-CN"/>
        </w:rPr>
        <w:t>may influence perspectives on equity and sustainability concerns. Key indicators for equity assessment include accessibility of educational opportunities, representation of diverse communities within maritime programs, and career advancement pathways for graduates from different backgrounds. Sustainability indicators focus on environmental consciousness development, integration of sustainability principles within curricula, and preparation for environmental stewardship responsibilities within professional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Data collection procedures emphasize building trust and rapport with participants while maintaining rigorous standards for data quality and ethical research conduct. Initial contact with potential participants occurs through professional networks and institutional partnerships, with clear explanation of research purposes and voluntary participation principles. Individual interviews are conducted in comfortable settings chosen by participants, with duration typically ranging from sixty to ninety minutes to allow for comprehensive exploration of topics without creating participant fatigue. Focus group sessions bring together participants from different stakeholder categories to explore shared perspectives and identify areas of consensus or divergence regarding maritime education transformation needs. All data collection activities are audio recorded with participant consent, supplemented by detailed field notes that capture nonverbal communication and contextual factors that may influence interpretation of participant responses.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data analysis process employs thematic analysis techniques that enable systematic identification of patterns and themes across participant narratives while maintaining attention to individual perspectives and experiences. Initial analysis involves comprehensive transcription of recorded interviews and </w:t>
      </w:r>
      <w:proofErr w:type="gramStart"/>
      <w:r w:rsidRPr="005F2762">
        <w:rPr>
          <w:rFonts w:ascii="Times New Roman" w:eastAsia="Times New Roman" w:hAnsi="Times New Roman"/>
          <w:iCs/>
          <w:lang w:val="en-US" w:eastAsia="zh-CN"/>
        </w:rPr>
        <w:t>focus</w:t>
      </w:r>
      <w:proofErr w:type="gramEnd"/>
      <w:r w:rsidRPr="005F2762">
        <w:rPr>
          <w:rFonts w:ascii="Times New Roman" w:eastAsia="Times New Roman" w:hAnsi="Times New Roman"/>
          <w:iCs/>
          <w:lang w:val="en-US" w:eastAsia="zh-CN"/>
        </w:rPr>
        <w:t xml:space="preserve"> groups, followed by repeated reading to achieve familiarity with data content and participant perspectives. Coding procedures begin with descriptive coding that identifies explicit themes and topics discussed by participants, progressing to interpretive coding that examines underlying meanings and assumptions expressed through participant narratives [8]. Thematic development occurs through iterative processes that involve comparing patterns across different participant groups, identifying areas of convergence and divergence, and developing comprehensive themes that capture the complexity of participant perspectives on equity and sustainability within maritime education contexts.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Cross-group comparison analysis enables identification of commonalities and distinctions among different stakeholder perspectives, providing insights into how various positions within the maritime education ecosystem influence understanding of </w:t>
      </w:r>
      <w:r w:rsidRPr="005F2762">
        <w:rPr>
          <w:rFonts w:ascii="Times New Roman" w:eastAsia="Times New Roman" w:hAnsi="Times New Roman"/>
          <w:iCs/>
          <w:lang w:val="en-US" w:eastAsia="zh-CN"/>
        </w:rPr>
        <w:lastRenderedPageBreak/>
        <w:t>transformation challenges and opportunities. This comparative analysis examines how industry professionals, recent graduates, and educators differently perceive equity barriers, sustainability integration possibilities, and effective pedagogical approaches, while identifying shared concerns and collaborative potential. Narrative synthesis processes integrate findings from individual interviews, focus groups, and document analysis to develop comprehensive understanding of maritime education transformation possibilities that honors participant perspectives while identifying practical strategies for institutional change initiatives.</w:t>
      </w:r>
    </w:p>
    <w:p w:rsidR="005F2762" w:rsidRPr="005F2762" w:rsidRDefault="005F2762" w:rsidP="005F2762">
      <w:pPr>
        <w:pStyle w:val="Heading1"/>
        <w:numPr>
          <w:ilvl w:val="0"/>
          <w:numId w:val="0"/>
        </w:numPr>
        <w:rPr>
          <w:lang w:val="en-US"/>
        </w:rPr>
      </w:pPr>
      <w:r w:rsidRPr="005F2762">
        <w:rPr>
          <w:lang w:val="en-US"/>
        </w:rPr>
        <w:t xml:space="preserve">3. RESULTS </w:t>
      </w:r>
      <w:r>
        <w:rPr>
          <w:lang w:val="en-US"/>
        </w:rPr>
        <w:t>&amp;</w:t>
      </w:r>
      <w:r w:rsidRPr="005F2762">
        <w:rPr>
          <w:lang w:val="en-US"/>
        </w:rPr>
        <w:t xml:space="preserve"> DISCUSSION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comprehensive analysis of qualitative data collected from thirty participants across three stakeholder groups reveals significant insights into the current state of equity and sustainability integration within maritime vocational education, along with clear pathways for transformative change. The results demonstrate overwhelming support for educational transformation initiatives while highlighting specific barriers and opportunities that must be addressed to achieve meaningful progress toward social justice and environmental sustainability goals.</w:t>
      </w:r>
    </w:p>
    <w:p w:rsidR="005F2762" w:rsidRPr="005F2762" w:rsidRDefault="005F2762" w:rsidP="005F2762">
      <w:pPr>
        <w:pStyle w:val="Heading2"/>
        <w:rPr>
          <w:lang w:val="en-US" w:eastAsia="zh-CN"/>
        </w:rPr>
      </w:pPr>
      <w:r w:rsidRPr="005F2762">
        <w:rPr>
          <w:lang w:val="en-US" w:eastAsia="zh-CN"/>
        </w:rPr>
        <w:t>Research Effectiveness and Efficiency Indicators</w:t>
      </w: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1: Equity Access Assessment Results</w:t>
      </w:r>
    </w:p>
    <w:tbl>
      <w:tblPr>
        <w:tblStyle w:val="TableGrid"/>
        <w:tblW w:w="0" w:type="auto"/>
        <w:jc w:val="center"/>
        <w:tblLook w:val="04A0" w:firstRow="1" w:lastRow="0" w:firstColumn="1" w:lastColumn="0" w:noHBand="0" w:noVBand="1"/>
      </w:tblPr>
      <w:tblGrid>
        <w:gridCol w:w="1269"/>
        <w:gridCol w:w="1102"/>
        <w:gridCol w:w="890"/>
        <w:gridCol w:w="881"/>
        <w:gridCol w:w="714"/>
      </w:tblGrid>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Indicator Category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Professionals (n=12)</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Graduates (n=18)</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Educators (n=5)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Overall Score</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Financial Accessibility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2.3/5.0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Geographic Accessibility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3.4/5.0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Cultural Responsiveness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2.6/5.0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Career Pathway Clarity</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Composite Equity Score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r>
    </w:tbl>
    <w:p w:rsidR="00527E7D" w:rsidRDefault="00527E7D" w:rsidP="005F2762">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2: Sustainability Integration Coefficient Results</w:t>
      </w:r>
    </w:p>
    <w:tbl>
      <w:tblPr>
        <w:tblStyle w:val="TableGrid"/>
        <w:tblW w:w="0" w:type="auto"/>
        <w:jc w:val="center"/>
        <w:tblLook w:val="04A0" w:firstRow="1" w:lastRow="0" w:firstColumn="1" w:lastColumn="0" w:noHBand="0" w:noVBand="1"/>
      </w:tblPr>
      <w:tblGrid>
        <w:gridCol w:w="1255"/>
        <w:gridCol w:w="1107"/>
        <w:gridCol w:w="893"/>
        <w:gridCol w:w="884"/>
        <w:gridCol w:w="717"/>
      </w:tblGrid>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Integration Dimension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Professionals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Graduates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Educators</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Overall Score</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Curriculum Integration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2.7/5.0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Practical Application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2.9/5.0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Industry Alignment</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3.6/5.0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3.3/5.0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Behavioral Transformation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3.2/5.0</w:t>
            </w:r>
          </w:p>
        </w:tc>
      </w:tr>
      <w:tr w:rsidR="00063E3B"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Composite Sustainability Score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3.4/5.0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3.1/5.0</w:t>
            </w:r>
          </w:p>
        </w:tc>
      </w:tr>
    </w:tbl>
    <w:p w:rsidR="00527E7D" w:rsidRDefault="00527E7D" w:rsidP="00527E7D">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F2762">
        <w:rPr>
          <w:rFonts w:ascii="Times New Roman" w:eastAsia="Times New Roman" w:hAnsi="Times New Roman"/>
          <w:b/>
          <w:bCs/>
          <w:iCs/>
          <w:lang w:val="en-US" w:eastAsia="zh-CN"/>
        </w:rPr>
        <w:t>Table 3: Transformative Pedagogy Effectiveness Assessment</w:t>
      </w:r>
    </w:p>
    <w:tbl>
      <w:tblPr>
        <w:tblStyle w:val="TableGrid"/>
        <w:tblW w:w="0" w:type="auto"/>
        <w:jc w:val="center"/>
        <w:tblLook w:val="04A0" w:firstRow="1" w:lastRow="0" w:firstColumn="1" w:lastColumn="0" w:noHBand="0" w:noVBand="1"/>
      </w:tblPr>
      <w:tblGrid>
        <w:gridCol w:w="1274"/>
        <w:gridCol w:w="1342"/>
        <w:gridCol w:w="1174"/>
        <w:gridCol w:w="1066"/>
      </w:tblGrid>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Pedagogical Approach</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Implementation Rate</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Effectiveness Rating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Stakeholder Support</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Community-Engaged Learning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4.2/5.0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89%</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Collaborative Project-Based Learning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55%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4.0/5.0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85%</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Place-Based Environmental Education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25%</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4.3/5.0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78%</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Ethics-Oriented Training</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3.8/5.0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82%</w:t>
            </w:r>
          </w:p>
        </w:tc>
      </w:tr>
      <w:tr w:rsidR="005F2762" w:rsidRPr="00527E7D" w:rsidTr="00527E7D">
        <w:trPr>
          <w:jc w:val="center"/>
        </w:trPr>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Cultural Knowledge Integration</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20%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4.1/5.0</w:t>
            </w:r>
          </w:p>
        </w:tc>
        <w:tc>
          <w:tcPr>
            <w:tcW w:w="0" w:type="auto"/>
            <w:hideMark/>
          </w:tcPr>
          <w:p w:rsidR="005F2762" w:rsidRPr="00527E7D" w:rsidRDefault="005F2762" w:rsidP="00527E7D">
            <w:pPr>
              <w:pStyle w:val="NoSpacing"/>
              <w:jc w:val="center"/>
              <w:rPr>
                <w:sz w:val="20"/>
                <w:szCs w:val="20"/>
                <w:lang w:val="en-US" w:eastAsia="zh-CN"/>
              </w:rPr>
            </w:pPr>
            <w:r w:rsidRPr="00527E7D">
              <w:rPr>
                <w:sz w:val="20"/>
                <w:szCs w:val="20"/>
                <w:lang w:val="en-US" w:eastAsia="zh-CN"/>
              </w:rPr>
              <w:t>74%</w:t>
            </w:r>
          </w:p>
        </w:tc>
      </w:tr>
    </w:tbl>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quantitative indicators reveal moderate overall performance in both equity access (3.0/5.0) and sustainability integration (3.1/5.0), suggesting significant room for improvement while demonstrating existing foundations upon which transformation initiatives can build. Notably, the consistency of scores across stakeholder groups indicates shared recognition of current limitations and transformation needs, providing strong foundation for collaborative change initiatives.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27E7D">
      <w:pPr>
        <w:pStyle w:val="Heading2"/>
        <w:rPr>
          <w:lang w:val="en-US"/>
        </w:rPr>
      </w:pPr>
      <w:r w:rsidRPr="005F2762">
        <w:rPr>
          <w:lang w:val="en-US"/>
        </w:rPr>
        <w:t>Thematic Analysis Results</w:t>
      </w: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1: Structural Barriers to Equitable Participation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analysis reveals three primary structural barriers that consistently limit equitable participation in maritime vocational education. Financial constraints emerge as the most significant barrier, with 83% of participants identifying costs as prohibitive for many coastal community members. One industry professional noted, "Traditional maritime families have built-in support systems and financial resources that first-generation students simply don't have access to." Recent graduates consistently described financial stress as a significant factor in their educational experience, with several participants reporting that they worked multiple jobs while attending classes, potentially compromising their academic performance and engagement.</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Geographic accessibility presents the second major barrier, particularly for students from remote coastal communities where maritime traditions may be strong but educational infrastructure is limited. Graduates from rural coastal areas described feeling "disconnected </w:t>
      </w:r>
      <w:r w:rsidRPr="005F2762">
        <w:rPr>
          <w:rFonts w:ascii="Times New Roman" w:eastAsia="Times New Roman" w:hAnsi="Times New Roman"/>
          <w:iCs/>
          <w:lang w:val="en-US" w:eastAsia="zh-CN"/>
        </w:rPr>
        <w:lastRenderedPageBreak/>
        <w:t>from the educational mainstream" and lacking the social networks that facilitate career advancement. However, participants also identified potential solutions, with educators describing successful distance learning initiatives and community-based educational partnerships that bring maritime education closer to underserved communities.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Cultural responsiveness emerged as a complex barrier involving both explicit and implicit factors that advantage students from traditional maritime backgrounds while creating challenges for newcomers. The analysis reveals that conventional maritime education approaches often assume prior knowledge and cultural familiarity that may exclude students from diverse backgrounds. However, participants also described successful interventions where local maritime knowledge and community perspectives were integrated into formal curricula, creating more inclusive learning environments that validated diverse ways of understanding maritime practices.</w:t>
      </w:r>
    </w:p>
    <w:p w:rsidR="00527E7D" w:rsidRDefault="00527E7D" w:rsidP="00527E7D">
      <w:pPr>
        <w:autoSpaceDE w:val="0"/>
        <w:autoSpaceDN w:val="0"/>
        <w:adjustRightInd w:val="0"/>
        <w:spacing w:after="0" w:line="240" w:lineRule="auto"/>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2: Environmental Sustainability as Catalyst for Social Justice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A particularly significant finding involves participant recognition of environmental sustainability as inherently connected to social justice concerns within maritime contexts. Industry professionals consistently described environmental degradation as disproportionately affecting coastal communities, making sustainability education a moral imperative rather than merely a technical requirement. One port manager explained, "When we damage marine ecosystems, we're not just harming the environment – we're undermining the livelihoods and cultural traditions of the communities that depend on healthy oceans."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Graduates who received comprehensive sustainability education demonstrated sophisticated understanding of these interconnections, describing their professional roles as encompassing both technical competency and community stewardship responsibilities. The analysis reveals that sustainability-focused educational approaches create opportunities for students from coastal communities to connect their cultural knowledge with formal maritime education, potentially addressing both environmental and equity concerns simultaneously.</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Educators described transformative pedagogical approaches that position environmental challenges as social justice issues requiring collaborative solutions involving both technical expertise and community engagement. These approaches consistently produced graduates with enhanced environmental consciousness and stronger connections to their local communities, suggesting that sustainability education can serve as a </w:t>
      </w:r>
      <w:r w:rsidRPr="005F2762">
        <w:rPr>
          <w:rFonts w:ascii="Times New Roman" w:eastAsia="Times New Roman" w:hAnsi="Times New Roman"/>
          <w:iCs/>
          <w:lang w:val="en-US" w:eastAsia="zh-CN"/>
        </w:rPr>
        <w:t>vehicle for advancing both environmental and equity goals within maritime education.</w:t>
      </w:r>
    </w:p>
    <w:p w:rsidR="00527E7D" w:rsidRDefault="00527E7D" w:rsidP="00527E7D">
      <w:pPr>
        <w:autoSpaceDE w:val="0"/>
        <w:autoSpaceDN w:val="0"/>
        <w:adjustRightInd w:val="0"/>
        <w:spacing w:after="0" w:line="240" w:lineRule="auto"/>
        <w:jc w:val="both"/>
        <w:rPr>
          <w:rFonts w:ascii="Times New Roman" w:eastAsia="Times New Roman" w:hAnsi="Times New Roman"/>
          <w:b/>
          <w:bCs/>
          <w:iCs/>
          <w:lang w:val="en-US" w:eastAsia="zh-CN"/>
        </w:rPr>
      </w:pPr>
    </w:p>
    <w:p w:rsidR="005F2762" w:rsidRPr="005F2762" w:rsidRDefault="005F2762" w:rsidP="00527E7D">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b/>
          <w:bCs/>
          <w:iCs/>
          <w:lang w:val="en-US" w:eastAsia="zh-CN"/>
        </w:rPr>
        <w:t>Theme 3: Transformative Potential of Community-Engaged Learning</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most promising findings relate to the transformative potential of community-engaged learning approaches that connect maritime education directly with local communities and their environmental challenges. Participants across all stakeholder groups identified community-based projects as particularly effective for developing both technical competence and social consciousness. Students working on real-world sustainability challenges in partnership with industry and community stakeholders demonstrated enhanced learning outcomes, stronger professional identity development, and deeper commitment to ethical practice.</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These community-engaged approaches also address equity concerns by validating local knowledge and creating pathways for community members to contribute to formal educational processes. Several participants described successful initiatives where community elders and traditional maritime practitioners served as co-educators, bringing valuable perspectives that enriched conventional curricula while creating more inclusive learning environments.</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analysis reveals that community-engaged learning approaches require significant institutional commitment and resource allocation, but produce graduates who are better prepared for contemporary maritime challenges requiring interdisciplinary knowledge, community engagement skills, and environmental consciousness. Industry professionals consistently reported that graduates from community-engaged programs demonstrated superior problem-solving abilities and greater adaptability to complex operational challenges.</w:t>
      </w:r>
    </w:p>
    <w:p w:rsidR="00527E7D" w:rsidRPr="005F2762" w:rsidRDefault="00527E7D"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27E7D" w:rsidP="00527E7D">
      <w:pPr>
        <w:pStyle w:val="Heading1"/>
        <w:numPr>
          <w:ilvl w:val="0"/>
          <w:numId w:val="0"/>
        </w:numPr>
        <w:rPr>
          <w:lang w:val="en-US"/>
        </w:rPr>
      </w:pPr>
      <w:r>
        <w:rPr>
          <w:lang w:val="en-US"/>
        </w:rPr>
        <w:t xml:space="preserve">4. </w:t>
      </w:r>
      <w:r w:rsidR="005F2762" w:rsidRPr="005F2762">
        <w:rPr>
          <w:lang w:val="en-US"/>
        </w:rPr>
        <w:t xml:space="preserve">Discussion </w:t>
      </w:r>
      <w:r>
        <w:rPr>
          <w:lang w:val="en-US"/>
        </w:rPr>
        <w:t>&amp;</w:t>
      </w:r>
      <w:r w:rsidR="005F2762" w:rsidRPr="005F2762">
        <w:rPr>
          <w:lang w:val="en-US"/>
        </w:rPr>
        <w:t xml:space="preserve"> Interpretation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findings directly address the central research question by demonstrating that maritime vocational education can indeed be transformed to bridge equity and ecology concerns through deliberate pedagogical innovation and institutional commitment. The moderate scores for both equity access and sustainability integration indicate that current maritime education approaches provide foundation for transformation while highlighting specific areas requiring focused improvement efforts [9].</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The connection between environmental sustainability and social justice emerged as a particularly significant finding that extends beyond existing literature treating these concerns as separate educational priorities. This integrated understanding suggests that maritime education transformation </w:t>
      </w:r>
      <w:r w:rsidRPr="005F2762">
        <w:rPr>
          <w:rFonts w:ascii="Times New Roman" w:eastAsia="Times New Roman" w:hAnsi="Times New Roman"/>
          <w:iCs/>
          <w:lang w:val="en-US" w:eastAsia="zh-CN"/>
        </w:rPr>
        <w:lastRenderedPageBreak/>
        <w:t>initiatives may be more successful when they address both concerns simultaneously rather than treating them as competing demands on limited educational resources. The finding aligns with environmental justice scholarship while extending its application into technical vocational education contexts where such integration has been limited [10].</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research addresses significant gaps in existing maritime education literature by demonstrating the potential for community-engaged learning approaches to simultaneously advance technical competency development and social responsibility preparation. Previous studies have typically focused on either technical skills development or professional ethics as separate educational concerns, while this research reveals their potential integration through innovative pedagogical approaches that connect formal education with community needs and knowledge systems.</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study's strength lies in its multi-stakeholder approach that captures diverse perspectives on transformation challenges and opportunities while identifying areas of consensus that can support collaborative change initiatives. The consistency of findings across different participant groups suggests that the identified transformation strategies have broad support within the maritime education community, increasing the likelihood of successful implementation.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The practical implications of these findings are substantial for maritime education institutions seeking to enhance both equity and sustainability outcomes. The research provides specific strategies for curriculum modification, pedagogical innovation, and community engagement that can be adapted to different institutional contexts and resource constraints. The emphasis on community-engaged learning approaches offers particularly promising pathways for institutions seeking to address multiple educational goals simultaneously while strengthening their connections with local maritime communities [11].</w:t>
      </w:r>
    </w:p>
    <w:p w:rsid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Future research should explore the long-term impacts of community-engaged maritime education approaches on graduate career trajectories and community development outcomes. Additionally, comparative studies examining transformation initiatives across different maritime education institutions could provide valuable insights into implementation strategies and institutional factors that support successful change processes. Research examining the economic dimensions of maritime education transformation could also inform policy discussions about resource allocation and investment priorities for educational innovation initiatives [12].</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27E7D" w:rsidP="005F2762">
      <w:pPr>
        <w:pStyle w:val="Heading1"/>
        <w:numPr>
          <w:ilvl w:val="0"/>
          <w:numId w:val="0"/>
        </w:numPr>
        <w:rPr>
          <w:lang w:val="en-US"/>
        </w:rPr>
      </w:pPr>
      <w:r>
        <w:rPr>
          <w:lang w:val="en-US"/>
        </w:rPr>
        <w:t>5</w:t>
      </w:r>
      <w:r w:rsidR="005F2762" w:rsidRPr="005F2762">
        <w:rPr>
          <w:lang w:val="en-US"/>
        </w:rPr>
        <w:t>. CONCLUSION</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 xml:space="preserve">This research demonstrates that maritime vocational education possesses significant potential for </w:t>
      </w:r>
      <w:r w:rsidRPr="005F2762">
        <w:rPr>
          <w:rFonts w:ascii="Times New Roman" w:eastAsia="Times New Roman" w:hAnsi="Times New Roman"/>
          <w:iCs/>
          <w:lang w:val="en-US" w:eastAsia="zh-CN"/>
        </w:rPr>
        <w:t>transformation that simultaneously advances social justice and environmental sustainability goals while maintaining technical excellence standards. The findings reveal that current educational approaches provide adequate foundation for innovation while highlighting specific areas requiring focused improvement, particularly in financial accessibility, cultural responsiveness, and sustainability integration. The study's most significant contribution involves demonstrating the interconnected nature of equity and environmental concerns within maritime contexts, suggesting that integrated approaches may be more effective than treating these as separate educational priorities. Community-engaged learning emerges as a particularly promising strategy for bridging equity and ecology concerns through pedagogical approaches that validate diverse forms of maritime knowledge while connecting formal education with real-world environmental challenges. The research provides practical frameworks for institutional transformation that can guide maritime education institutions seeking to prepare graduates capable of leading positive industry change while serving their local communities as agents of social and environmental stewardship.</w:t>
      </w:r>
    </w:p>
    <w:p w:rsidR="005F2762" w:rsidRPr="005F2762" w:rsidRDefault="005F2762" w:rsidP="005F2762">
      <w:pPr>
        <w:autoSpaceDE w:val="0"/>
        <w:autoSpaceDN w:val="0"/>
        <w:adjustRightInd w:val="0"/>
        <w:spacing w:after="0" w:line="240" w:lineRule="auto"/>
        <w:ind w:firstLine="426"/>
        <w:jc w:val="both"/>
        <w:rPr>
          <w:rFonts w:ascii="Times New Roman" w:eastAsia="Times New Roman" w:hAnsi="Times New Roman"/>
          <w:iCs/>
          <w:lang w:val="en-US" w:eastAsia="zh-CN"/>
        </w:rPr>
      </w:pPr>
    </w:p>
    <w:p w:rsidR="005F2762" w:rsidRPr="005F2762" w:rsidRDefault="005F2762" w:rsidP="005F2762">
      <w:pPr>
        <w:pStyle w:val="Heading1"/>
        <w:numPr>
          <w:ilvl w:val="0"/>
          <w:numId w:val="0"/>
        </w:numPr>
        <w:rPr>
          <w:lang w:val="en-US"/>
        </w:rPr>
      </w:pPr>
      <w:r w:rsidRPr="005F2762">
        <w:rPr>
          <w:lang w:val="en-US"/>
        </w:rPr>
        <w:t>References</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fldChar w:fldCharType="begin" w:fldLock="1"/>
      </w:r>
      <w:r w:rsidRPr="005F2762">
        <w:rPr>
          <w:rFonts w:ascii="Times New Roman" w:eastAsia="Times New Roman" w:hAnsi="Times New Roman"/>
          <w:iCs/>
          <w:lang w:val="en-US" w:eastAsia="zh-CN"/>
        </w:rPr>
        <w:instrText xml:space="preserve">ADDIN Mendeley Bibliography CSL_BIBLIOGRAPHY </w:instrText>
      </w:r>
      <w:r w:rsidRPr="005F2762">
        <w:rPr>
          <w:rFonts w:ascii="Times New Roman" w:eastAsia="Times New Roman" w:hAnsi="Times New Roman"/>
          <w:iCs/>
          <w:lang w:val="en-US" w:eastAsia="zh-CN"/>
        </w:rPr>
        <w:fldChar w:fldCharType="separate"/>
      </w:r>
      <w:r w:rsidRPr="005F2762">
        <w:rPr>
          <w:rFonts w:ascii="Times New Roman" w:eastAsia="Times New Roman" w:hAnsi="Times New Roman"/>
          <w:iCs/>
          <w:lang w:val="en-US" w:eastAsia="zh-CN"/>
        </w:rPr>
        <w:t>[1]</w:t>
      </w:r>
      <w:r w:rsidRPr="005F2762">
        <w:rPr>
          <w:rFonts w:ascii="Times New Roman" w:eastAsia="Times New Roman" w:hAnsi="Times New Roman"/>
          <w:iCs/>
          <w:lang w:val="en-US" w:eastAsia="zh-CN"/>
        </w:rPr>
        <w:tab/>
        <w:t>A. Chircop, “The international maritime organization,” 2015.</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[2]</w:t>
      </w:r>
      <w:r w:rsidRPr="005F2762">
        <w:rPr>
          <w:rFonts w:ascii="Times New Roman" w:eastAsia="Times New Roman" w:hAnsi="Times New Roman"/>
          <w:iCs/>
          <w:lang w:val="en-US" w:eastAsia="zh-CN"/>
        </w:rPr>
        <w:tab/>
        <w:t xml:space="preserve">J.-K. Kim and S.-H. Park, “A Study on Improvement of Maritime Education by Aging Seamen,” </w:t>
      </w:r>
      <w:r w:rsidRPr="005F2762">
        <w:rPr>
          <w:rFonts w:ascii="Times New Roman" w:eastAsia="Times New Roman" w:hAnsi="Times New Roman"/>
          <w:i/>
          <w:iCs/>
          <w:lang w:val="en-US" w:eastAsia="zh-CN"/>
        </w:rPr>
        <w:t>J. Korean Soc. Mar. Environ. Saf.</w:t>
      </w:r>
      <w:r w:rsidRPr="005F2762">
        <w:rPr>
          <w:rFonts w:ascii="Times New Roman" w:eastAsia="Times New Roman" w:hAnsi="Times New Roman"/>
          <w:iCs/>
          <w:lang w:val="en-US" w:eastAsia="zh-CN"/>
        </w:rPr>
        <w:t>, vol. 25, no. 7, pp. 874–880, 2019.</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[3]</w:t>
      </w:r>
      <w:r w:rsidRPr="005F2762">
        <w:rPr>
          <w:rFonts w:ascii="Times New Roman" w:eastAsia="Times New Roman" w:hAnsi="Times New Roman"/>
          <w:iCs/>
          <w:lang w:val="en-US" w:eastAsia="zh-CN"/>
        </w:rPr>
        <w:tab/>
        <w:t xml:space="preserve">S. V. </w:t>
      </w:r>
      <w:proofErr w:type="spellStart"/>
      <w:r w:rsidRPr="005F2762">
        <w:rPr>
          <w:rFonts w:ascii="Times New Roman" w:eastAsia="Times New Roman" w:hAnsi="Times New Roman"/>
          <w:iCs/>
          <w:lang w:val="en-US" w:eastAsia="zh-CN"/>
        </w:rPr>
        <w:t>Barabanova</w:t>
      </w:r>
      <w:proofErr w:type="spellEnd"/>
      <w:r w:rsidRPr="005F2762">
        <w:rPr>
          <w:rFonts w:ascii="Times New Roman" w:eastAsia="Times New Roman" w:hAnsi="Times New Roman"/>
          <w:iCs/>
          <w:lang w:val="en-US" w:eastAsia="zh-CN"/>
        </w:rPr>
        <w:t xml:space="preserve">, A. A. </w:t>
      </w:r>
      <w:proofErr w:type="spellStart"/>
      <w:r w:rsidRPr="005F2762">
        <w:rPr>
          <w:rFonts w:ascii="Times New Roman" w:eastAsia="Times New Roman" w:hAnsi="Times New Roman"/>
          <w:iCs/>
          <w:lang w:val="en-US" w:eastAsia="zh-CN"/>
        </w:rPr>
        <w:t>Kaybiyaynen</w:t>
      </w:r>
      <w:proofErr w:type="spellEnd"/>
      <w:r w:rsidRPr="005F2762">
        <w:rPr>
          <w:rFonts w:ascii="Times New Roman" w:eastAsia="Times New Roman" w:hAnsi="Times New Roman"/>
          <w:iCs/>
          <w:lang w:val="en-US" w:eastAsia="zh-CN"/>
        </w:rPr>
        <w:t xml:space="preserve">, and N. V. </w:t>
      </w:r>
      <w:proofErr w:type="spellStart"/>
      <w:r w:rsidRPr="005F2762">
        <w:rPr>
          <w:rFonts w:ascii="Times New Roman" w:eastAsia="Times New Roman" w:hAnsi="Times New Roman"/>
          <w:iCs/>
          <w:lang w:val="en-US" w:eastAsia="zh-CN"/>
        </w:rPr>
        <w:t>Kraysman</w:t>
      </w:r>
      <w:proofErr w:type="spellEnd"/>
      <w:r w:rsidRPr="005F2762">
        <w:rPr>
          <w:rFonts w:ascii="Times New Roman" w:eastAsia="Times New Roman" w:hAnsi="Times New Roman"/>
          <w:iCs/>
          <w:lang w:val="en-US" w:eastAsia="zh-CN"/>
        </w:rPr>
        <w:t xml:space="preserve">, “Digitalization of education in the global context,” </w:t>
      </w:r>
      <w:r w:rsidRPr="005F2762">
        <w:rPr>
          <w:rFonts w:ascii="Times New Roman" w:eastAsia="Times New Roman" w:hAnsi="Times New Roman"/>
          <w:i/>
          <w:iCs/>
          <w:lang w:val="en-US" w:eastAsia="zh-CN"/>
        </w:rPr>
        <w:t>High. Educ. Russ.</w:t>
      </w:r>
      <w:r w:rsidRPr="005F2762">
        <w:rPr>
          <w:rFonts w:ascii="Times New Roman" w:eastAsia="Times New Roman" w:hAnsi="Times New Roman"/>
          <w:iCs/>
          <w:lang w:val="en-US" w:eastAsia="zh-CN"/>
        </w:rPr>
        <w:t xml:space="preserve">, vol. 28, no. 1, pp. 94–103, Mar. 2019, </w:t>
      </w:r>
      <w:proofErr w:type="spellStart"/>
      <w:r w:rsidRPr="005F2762">
        <w:rPr>
          <w:rFonts w:ascii="Times New Roman" w:eastAsia="Times New Roman" w:hAnsi="Times New Roman"/>
          <w:iCs/>
          <w:lang w:val="en-US" w:eastAsia="zh-CN"/>
        </w:rPr>
        <w:t>doi</w:t>
      </w:r>
      <w:proofErr w:type="spellEnd"/>
      <w:r w:rsidRPr="005F2762">
        <w:rPr>
          <w:rFonts w:ascii="Times New Roman" w:eastAsia="Times New Roman" w:hAnsi="Times New Roman"/>
          <w:iCs/>
          <w:lang w:val="en-US" w:eastAsia="zh-CN"/>
        </w:rPr>
        <w:t>: 10.31992/0869-3617-2019-28-1-94-103.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[4]</w:t>
      </w:r>
      <w:r w:rsidRPr="005F2762">
        <w:rPr>
          <w:rFonts w:ascii="Times New Roman" w:eastAsia="Times New Roman" w:hAnsi="Times New Roman"/>
          <w:iCs/>
          <w:lang w:val="en-US" w:eastAsia="zh-CN"/>
        </w:rPr>
        <w:tab/>
        <w:t xml:space="preserve">S. C. Moser and M. T. Boykoff, </w:t>
      </w:r>
      <w:r w:rsidRPr="005F2762">
        <w:rPr>
          <w:rFonts w:ascii="Times New Roman" w:eastAsia="Times New Roman" w:hAnsi="Times New Roman"/>
          <w:i/>
          <w:iCs/>
          <w:lang w:val="en-US" w:eastAsia="zh-CN"/>
        </w:rPr>
        <w:t>Successful adaptation to climate change: linking science and policy in a rapidly changing world</w:t>
      </w:r>
      <w:r w:rsidRPr="005F2762">
        <w:rPr>
          <w:rFonts w:ascii="Times New Roman" w:eastAsia="Times New Roman" w:hAnsi="Times New Roman"/>
          <w:iCs/>
          <w:lang w:val="en-US" w:eastAsia="zh-CN"/>
        </w:rPr>
        <w:t>. Routledge, 2013.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[5]</w:t>
      </w:r>
      <w:r w:rsidRPr="005F2762">
        <w:rPr>
          <w:rFonts w:ascii="Times New Roman" w:eastAsia="Times New Roman" w:hAnsi="Times New Roman"/>
          <w:iCs/>
          <w:lang w:val="en-US" w:eastAsia="zh-CN"/>
        </w:rPr>
        <w:tab/>
        <w:t xml:space="preserve">G. Moodie, “Identifying vocational education and training,” </w:t>
      </w:r>
      <w:r w:rsidRPr="005F2762">
        <w:rPr>
          <w:rFonts w:ascii="Times New Roman" w:eastAsia="Times New Roman" w:hAnsi="Times New Roman"/>
          <w:i/>
          <w:iCs/>
          <w:lang w:val="en-US" w:eastAsia="zh-CN"/>
        </w:rPr>
        <w:t xml:space="preserve">J. </w:t>
      </w:r>
      <w:proofErr w:type="spellStart"/>
      <w:r w:rsidRPr="005F2762">
        <w:rPr>
          <w:rFonts w:ascii="Times New Roman" w:eastAsia="Times New Roman" w:hAnsi="Times New Roman"/>
          <w:i/>
          <w:iCs/>
          <w:lang w:val="en-US" w:eastAsia="zh-CN"/>
        </w:rPr>
        <w:t>Vocat</w:t>
      </w:r>
      <w:proofErr w:type="spellEnd"/>
      <w:r w:rsidRPr="005F2762">
        <w:rPr>
          <w:rFonts w:ascii="Times New Roman" w:eastAsia="Times New Roman" w:hAnsi="Times New Roman"/>
          <w:i/>
          <w:iCs/>
          <w:lang w:val="en-US" w:eastAsia="zh-CN"/>
        </w:rPr>
        <w:t>. Educ. Train.</w:t>
      </w:r>
      <w:r w:rsidRPr="005F2762">
        <w:rPr>
          <w:rFonts w:ascii="Times New Roman" w:eastAsia="Times New Roman" w:hAnsi="Times New Roman"/>
          <w:iCs/>
          <w:lang w:val="en-US" w:eastAsia="zh-CN"/>
        </w:rPr>
        <w:t>, vol. 54, no. 2, pp. 249–266, 2002.</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[6]</w:t>
      </w:r>
      <w:r w:rsidRPr="005F2762">
        <w:rPr>
          <w:rFonts w:ascii="Times New Roman" w:eastAsia="Times New Roman" w:hAnsi="Times New Roman"/>
          <w:iCs/>
          <w:lang w:val="en-US" w:eastAsia="zh-CN"/>
        </w:rPr>
        <w:tab/>
        <w:t xml:space="preserve">J. R. Fraenkel, N. E. Wallen, and H. H. Hyun, </w:t>
      </w:r>
      <w:proofErr w:type="gramStart"/>
      <w:r w:rsidRPr="005F2762">
        <w:rPr>
          <w:rFonts w:ascii="Times New Roman" w:eastAsia="Times New Roman" w:hAnsi="Times New Roman"/>
          <w:i/>
          <w:iCs/>
          <w:lang w:val="en-US" w:eastAsia="zh-CN"/>
        </w:rPr>
        <w:t>How</w:t>
      </w:r>
      <w:proofErr w:type="gramEnd"/>
      <w:r w:rsidRPr="005F2762">
        <w:rPr>
          <w:rFonts w:ascii="Times New Roman" w:eastAsia="Times New Roman" w:hAnsi="Times New Roman"/>
          <w:i/>
          <w:iCs/>
          <w:lang w:val="en-US" w:eastAsia="zh-CN"/>
        </w:rPr>
        <w:t xml:space="preserve"> to design and evaluate research in education</w:t>
      </w:r>
      <w:r w:rsidRPr="005F2762">
        <w:rPr>
          <w:rFonts w:ascii="Times New Roman" w:eastAsia="Times New Roman" w:hAnsi="Times New Roman"/>
          <w:iCs/>
          <w:lang w:val="en-US" w:eastAsia="zh-CN"/>
        </w:rPr>
        <w:t>. New York, USA: McGraw-Hill, 2012.</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[7]</w:t>
      </w:r>
      <w:r w:rsidRPr="005F2762">
        <w:rPr>
          <w:rFonts w:ascii="Times New Roman" w:eastAsia="Times New Roman" w:hAnsi="Times New Roman"/>
          <w:iCs/>
          <w:lang w:val="en-US" w:eastAsia="zh-CN"/>
        </w:rPr>
        <w:tab/>
        <w:t xml:space="preserve">A. Castleberry and A. Nolen, “Thematic analysis of qualitative research data: Is it as easy as it </w:t>
      </w:r>
      <w:proofErr w:type="gramStart"/>
      <w:r w:rsidRPr="005F2762">
        <w:rPr>
          <w:rFonts w:ascii="Times New Roman" w:eastAsia="Times New Roman" w:hAnsi="Times New Roman"/>
          <w:iCs/>
          <w:lang w:val="en-US" w:eastAsia="zh-CN"/>
        </w:rPr>
        <w:t>sounds?,</w:t>
      </w:r>
      <w:proofErr w:type="gramEnd"/>
      <w:r w:rsidRPr="005F2762">
        <w:rPr>
          <w:rFonts w:ascii="Times New Roman" w:eastAsia="Times New Roman" w:hAnsi="Times New Roman"/>
          <w:iCs/>
          <w:lang w:val="en-US" w:eastAsia="zh-CN"/>
        </w:rPr>
        <w:t xml:space="preserve">” </w:t>
      </w:r>
      <w:r w:rsidRPr="005F2762">
        <w:rPr>
          <w:rFonts w:ascii="Times New Roman" w:eastAsia="Times New Roman" w:hAnsi="Times New Roman"/>
          <w:i/>
          <w:iCs/>
          <w:lang w:val="en-US" w:eastAsia="zh-CN"/>
        </w:rPr>
        <w:t>Curr. Pharm. Teach. Learn.</w:t>
      </w:r>
      <w:r w:rsidRPr="005F2762">
        <w:rPr>
          <w:rFonts w:ascii="Times New Roman" w:eastAsia="Times New Roman" w:hAnsi="Times New Roman"/>
          <w:iCs/>
          <w:lang w:val="en-US" w:eastAsia="zh-CN"/>
        </w:rPr>
        <w:t>, vol. 10, no. 6, pp. 807–815, 2018.</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[8]</w:t>
      </w:r>
      <w:r w:rsidRPr="005F2762">
        <w:rPr>
          <w:rFonts w:ascii="Times New Roman" w:eastAsia="Times New Roman" w:hAnsi="Times New Roman"/>
          <w:iCs/>
          <w:lang w:val="en-US" w:eastAsia="zh-CN"/>
        </w:rPr>
        <w:tab/>
        <w:t xml:space="preserve">S. B. Merriam and R. S. Grenier, </w:t>
      </w:r>
      <w:r w:rsidRPr="005F2762">
        <w:rPr>
          <w:rFonts w:ascii="Times New Roman" w:eastAsia="Times New Roman" w:hAnsi="Times New Roman"/>
          <w:i/>
          <w:iCs/>
          <w:lang w:val="en-US" w:eastAsia="zh-CN"/>
        </w:rPr>
        <w:t>Qualitative research in practice: Examples for discussion and analysis</w:t>
      </w:r>
      <w:r w:rsidRPr="005F2762">
        <w:rPr>
          <w:rFonts w:ascii="Times New Roman" w:eastAsia="Times New Roman" w:hAnsi="Times New Roman"/>
          <w:iCs/>
          <w:lang w:val="en-US" w:eastAsia="zh-CN"/>
        </w:rPr>
        <w:t>. John Wiley &amp; Sons, 2019.</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[9]</w:t>
      </w:r>
      <w:r w:rsidRPr="005F2762">
        <w:rPr>
          <w:rFonts w:ascii="Times New Roman" w:eastAsia="Times New Roman" w:hAnsi="Times New Roman"/>
          <w:iCs/>
          <w:lang w:val="en-US" w:eastAsia="zh-CN"/>
        </w:rPr>
        <w:tab/>
        <w:t xml:space="preserve">“Literacy and numeracy,” 2003, </w:t>
      </w:r>
      <w:r w:rsidRPr="005F2762">
        <w:rPr>
          <w:rFonts w:ascii="Times New Roman" w:eastAsia="Times New Roman" w:hAnsi="Times New Roman"/>
          <w:i/>
          <w:iCs/>
          <w:lang w:val="en-US" w:eastAsia="zh-CN"/>
        </w:rPr>
        <w:t>Routledge</w:t>
      </w:r>
      <w:r w:rsidRPr="005F2762">
        <w:rPr>
          <w:rFonts w:ascii="Times New Roman" w:eastAsia="Times New Roman" w:hAnsi="Times New Roman"/>
          <w:iCs/>
          <w:lang w:val="en-US" w:eastAsia="zh-CN"/>
        </w:rPr>
        <w:t xml:space="preserve">. </w:t>
      </w:r>
      <w:proofErr w:type="spellStart"/>
      <w:r w:rsidRPr="005F2762">
        <w:rPr>
          <w:rFonts w:ascii="Times New Roman" w:eastAsia="Times New Roman" w:hAnsi="Times New Roman"/>
          <w:iCs/>
          <w:lang w:val="en-US" w:eastAsia="zh-CN"/>
        </w:rPr>
        <w:t>doi</w:t>
      </w:r>
      <w:proofErr w:type="spellEnd"/>
      <w:r w:rsidRPr="005F2762">
        <w:rPr>
          <w:rFonts w:ascii="Times New Roman" w:eastAsia="Times New Roman" w:hAnsi="Times New Roman"/>
          <w:iCs/>
          <w:lang w:val="en-US" w:eastAsia="zh-CN"/>
        </w:rPr>
        <w:t>: 10.4324/9780203562789-6.</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lastRenderedPageBreak/>
        <w:t>[10]</w:t>
      </w:r>
      <w:r w:rsidRPr="005F2762">
        <w:rPr>
          <w:rFonts w:ascii="Times New Roman" w:eastAsia="Times New Roman" w:hAnsi="Times New Roman"/>
          <w:iCs/>
          <w:lang w:val="en-US" w:eastAsia="zh-CN"/>
        </w:rPr>
        <w:tab/>
        <w:t xml:space="preserve">K. S. </w:t>
      </w:r>
      <w:proofErr w:type="spellStart"/>
      <w:r w:rsidRPr="005F2762">
        <w:rPr>
          <w:rFonts w:ascii="Times New Roman" w:eastAsia="Times New Roman" w:hAnsi="Times New Roman"/>
          <w:iCs/>
          <w:lang w:val="en-US" w:eastAsia="zh-CN"/>
        </w:rPr>
        <w:t>Kaswan</w:t>
      </w:r>
      <w:proofErr w:type="spellEnd"/>
      <w:r w:rsidRPr="005F2762">
        <w:rPr>
          <w:rFonts w:ascii="Times New Roman" w:eastAsia="Times New Roman" w:hAnsi="Times New Roman"/>
          <w:iCs/>
          <w:lang w:val="en-US" w:eastAsia="zh-CN"/>
        </w:rPr>
        <w:t xml:space="preserve">, A. </w:t>
      </w:r>
      <w:proofErr w:type="spellStart"/>
      <w:r w:rsidRPr="005F2762">
        <w:rPr>
          <w:rFonts w:ascii="Times New Roman" w:eastAsia="Times New Roman" w:hAnsi="Times New Roman"/>
          <w:iCs/>
          <w:lang w:val="en-US" w:eastAsia="zh-CN"/>
        </w:rPr>
        <w:t>Baliyan</w:t>
      </w:r>
      <w:proofErr w:type="spellEnd"/>
      <w:r w:rsidRPr="005F2762">
        <w:rPr>
          <w:rFonts w:ascii="Times New Roman" w:eastAsia="Times New Roman" w:hAnsi="Times New Roman"/>
          <w:iCs/>
          <w:lang w:val="en-US" w:eastAsia="zh-CN"/>
        </w:rPr>
        <w:t xml:space="preserve">, J. S. </w:t>
      </w:r>
      <w:proofErr w:type="spellStart"/>
      <w:r w:rsidRPr="005F2762">
        <w:rPr>
          <w:rFonts w:ascii="Times New Roman" w:eastAsia="Times New Roman" w:hAnsi="Times New Roman"/>
          <w:iCs/>
          <w:lang w:val="en-US" w:eastAsia="zh-CN"/>
        </w:rPr>
        <w:t>Dhatterwal</w:t>
      </w:r>
      <w:proofErr w:type="spellEnd"/>
      <w:r w:rsidRPr="005F2762">
        <w:rPr>
          <w:rFonts w:ascii="Times New Roman" w:eastAsia="Times New Roman" w:hAnsi="Times New Roman"/>
          <w:iCs/>
          <w:lang w:val="en-US" w:eastAsia="zh-CN"/>
        </w:rPr>
        <w:t xml:space="preserve">, and O. P. </w:t>
      </w:r>
      <w:proofErr w:type="spellStart"/>
      <w:r w:rsidRPr="005F2762">
        <w:rPr>
          <w:rFonts w:ascii="Times New Roman" w:eastAsia="Times New Roman" w:hAnsi="Times New Roman"/>
          <w:iCs/>
          <w:lang w:val="en-US" w:eastAsia="zh-CN"/>
        </w:rPr>
        <w:t>Kaiwartya</w:t>
      </w:r>
      <w:proofErr w:type="spellEnd"/>
      <w:r w:rsidRPr="005F2762">
        <w:rPr>
          <w:rFonts w:ascii="Times New Roman" w:eastAsia="Times New Roman" w:hAnsi="Times New Roman"/>
          <w:iCs/>
          <w:lang w:val="en-US" w:eastAsia="zh-CN"/>
        </w:rPr>
        <w:t xml:space="preserve">, </w:t>
      </w:r>
      <w:r w:rsidRPr="005F2762">
        <w:rPr>
          <w:rFonts w:ascii="Times New Roman" w:eastAsia="Times New Roman" w:hAnsi="Times New Roman"/>
          <w:i/>
          <w:iCs/>
          <w:lang w:val="en-US" w:eastAsia="zh-CN"/>
        </w:rPr>
        <w:t>Big Data Analytics for Human-Computer Interactions: A New Era of Computation</w:t>
      </w:r>
      <w:r w:rsidRPr="005F2762">
        <w:rPr>
          <w:rFonts w:ascii="Times New Roman" w:eastAsia="Times New Roman" w:hAnsi="Times New Roman"/>
          <w:iCs/>
          <w:lang w:val="en-US" w:eastAsia="zh-CN"/>
        </w:rPr>
        <w:t>, vol. 3. Bentham Science Publishers, 2023.</w:t>
      </w:r>
    </w:p>
    <w:p w:rsidR="005F2762" w:rsidRPr="005F2762" w:rsidRDefault="005F2762" w:rsidP="005F2762">
      <w:pPr>
        <w:autoSpaceDE w:val="0"/>
        <w:autoSpaceDN w:val="0"/>
        <w:adjustRightInd w:val="0"/>
        <w:spacing w:after="0" w:line="240" w:lineRule="auto"/>
        <w:jc w:val="both"/>
        <w:rPr>
          <w:rFonts w:ascii="Times New Roman" w:eastAsia="Times New Roman" w:hAnsi="Times New Roman"/>
          <w:iCs/>
          <w:lang w:val="en-US" w:eastAsia="zh-CN"/>
        </w:rPr>
      </w:pPr>
      <w:r w:rsidRPr="005F2762">
        <w:rPr>
          <w:rFonts w:ascii="Times New Roman" w:eastAsia="Times New Roman" w:hAnsi="Times New Roman"/>
          <w:iCs/>
          <w:lang w:val="en-US" w:eastAsia="zh-CN"/>
        </w:rPr>
        <w:t>[11]</w:t>
      </w:r>
      <w:r w:rsidRPr="005F2762">
        <w:rPr>
          <w:rFonts w:ascii="Times New Roman" w:eastAsia="Times New Roman" w:hAnsi="Times New Roman"/>
          <w:iCs/>
          <w:lang w:val="en-US" w:eastAsia="zh-CN"/>
        </w:rPr>
        <w:tab/>
        <w:t xml:space="preserve">Y. Lau and A. K. Y. Ng, “The motivations and expectations of students pursuing maritime education,” </w:t>
      </w:r>
      <w:r w:rsidRPr="005F2762">
        <w:rPr>
          <w:rFonts w:ascii="Times New Roman" w:eastAsia="Times New Roman" w:hAnsi="Times New Roman"/>
          <w:i/>
          <w:iCs/>
          <w:lang w:val="en-US" w:eastAsia="zh-CN"/>
        </w:rPr>
        <w:t>WMU J. Marit. Aff.</w:t>
      </w:r>
      <w:r w:rsidRPr="005F2762">
        <w:rPr>
          <w:rFonts w:ascii="Times New Roman" w:eastAsia="Times New Roman" w:hAnsi="Times New Roman"/>
          <w:iCs/>
          <w:lang w:val="en-US" w:eastAsia="zh-CN"/>
        </w:rPr>
        <w:t>, vol. 14, pp. 313–331, 2015.</w:t>
      </w:r>
    </w:p>
    <w:p w:rsidR="00063E3B" w:rsidRDefault="005F2762" w:rsidP="00063E3B">
      <w:pPr>
        <w:autoSpaceDE w:val="0"/>
        <w:autoSpaceDN w:val="0"/>
        <w:adjustRightInd w:val="0"/>
        <w:spacing w:after="0" w:line="240" w:lineRule="auto"/>
        <w:jc w:val="both"/>
        <w:rPr>
          <w:rFonts w:ascii="Times New Roman" w:eastAsia="Times New Roman" w:hAnsi="Times New Roman"/>
          <w:iCs/>
          <w:lang w:val="en-US" w:eastAsia="zh-CN"/>
        </w:rPr>
        <w:sectPr w:rsidR="00063E3B" w:rsidSect="00063E3B">
          <w:type w:val="continuous"/>
          <w:pgSz w:w="11906" w:h="16838" w:code="9"/>
          <w:pgMar w:top="1080" w:right="907" w:bottom="1440" w:left="907" w:header="720" w:footer="720" w:gutter="0"/>
          <w:cols w:num="2" w:space="360"/>
          <w:docGrid w:linePitch="360"/>
        </w:sectPr>
      </w:pPr>
      <w:r w:rsidRPr="005F2762">
        <w:rPr>
          <w:rFonts w:ascii="Times New Roman" w:eastAsia="Times New Roman" w:hAnsi="Times New Roman"/>
          <w:iCs/>
          <w:lang w:val="en-US" w:eastAsia="zh-CN"/>
        </w:rPr>
        <w:t>[12]</w:t>
      </w:r>
      <w:r w:rsidRPr="005F2762">
        <w:rPr>
          <w:rFonts w:ascii="Times New Roman" w:eastAsia="Times New Roman" w:hAnsi="Times New Roman"/>
          <w:iCs/>
          <w:lang w:val="en-US" w:eastAsia="zh-CN"/>
        </w:rPr>
        <w:tab/>
        <w:t xml:space="preserve">K. Cicek, E. Akyuz, and M. Celik, “Future skills requirements analysis in maritime industry,” </w:t>
      </w:r>
      <w:r w:rsidRPr="005F2762">
        <w:rPr>
          <w:rFonts w:ascii="Times New Roman" w:eastAsia="Times New Roman" w:hAnsi="Times New Roman"/>
          <w:i/>
          <w:iCs/>
          <w:lang w:val="en-US" w:eastAsia="zh-CN"/>
        </w:rPr>
        <w:t xml:space="preserve">Procedia </w:t>
      </w:r>
      <w:proofErr w:type="spellStart"/>
      <w:r w:rsidRPr="005F2762">
        <w:rPr>
          <w:rFonts w:ascii="Times New Roman" w:eastAsia="Times New Roman" w:hAnsi="Times New Roman"/>
          <w:i/>
          <w:iCs/>
          <w:lang w:val="en-US" w:eastAsia="zh-CN"/>
        </w:rPr>
        <w:t>Comput</w:t>
      </w:r>
      <w:proofErr w:type="spellEnd"/>
      <w:r w:rsidRPr="005F2762">
        <w:rPr>
          <w:rFonts w:ascii="Times New Roman" w:eastAsia="Times New Roman" w:hAnsi="Times New Roman"/>
          <w:i/>
          <w:iCs/>
          <w:lang w:val="en-US" w:eastAsia="zh-CN"/>
        </w:rPr>
        <w:t>. Sci.</w:t>
      </w:r>
      <w:r w:rsidRPr="005F2762">
        <w:rPr>
          <w:rFonts w:ascii="Times New Roman" w:eastAsia="Times New Roman" w:hAnsi="Times New Roman"/>
          <w:iCs/>
          <w:lang w:val="en-US" w:eastAsia="zh-CN"/>
        </w:rPr>
        <w:t>, vol. 158, pp. 270–274, 2019.</w:t>
      </w:r>
      <w:r w:rsidRPr="005F2762">
        <w:rPr>
          <w:rFonts w:ascii="Times New Roman" w:eastAsia="Times New Roman" w:hAnsi="Times New Roman"/>
          <w:iCs/>
          <w:lang w:val="en-US" w:eastAsia="zh-CN"/>
        </w:rPr>
        <w:fldChar w:fldCharType="end"/>
      </w:r>
    </w:p>
    <w:p w:rsidR="007119B1" w:rsidRDefault="007119B1" w:rsidP="00063E3B">
      <w:pPr>
        <w:autoSpaceDE w:val="0"/>
        <w:autoSpaceDN w:val="0"/>
        <w:adjustRightInd w:val="0"/>
        <w:spacing w:after="0" w:line="240" w:lineRule="auto"/>
        <w:jc w:val="both"/>
        <w:rPr>
          <w:rFonts w:ascii="Times New Roman" w:eastAsia="Times New Roman" w:hAnsi="Times New Roman"/>
          <w:iCs/>
          <w:lang w:val="en-US" w:eastAsia="zh-CN"/>
        </w:rPr>
      </w:pPr>
    </w:p>
    <w:sectPr w:rsidR="007119B1"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CBB" w:rsidRDefault="001E3CBB">
      <w:pPr>
        <w:spacing w:after="0" w:line="240" w:lineRule="auto"/>
      </w:pPr>
      <w:r>
        <w:separator/>
      </w:r>
    </w:p>
  </w:endnote>
  <w:endnote w:type="continuationSeparator" w:id="0">
    <w:p w:rsidR="001E3CBB" w:rsidRDefault="001E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CBB" w:rsidRDefault="001E3CBB">
      <w:pPr>
        <w:spacing w:after="0" w:line="240" w:lineRule="auto"/>
      </w:pPr>
      <w:r>
        <w:separator/>
      </w:r>
    </w:p>
  </w:footnote>
  <w:footnote w:type="continuationSeparator" w:id="0">
    <w:p w:rsidR="001E3CBB" w:rsidRDefault="001E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BD10F52"/>
    <w:multiLevelType w:val="hybridMultilevel"/>
    <w:tmpl w:val="FC6090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4"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3"/>
  </w:num>
  <w:num w:numId="2" w16cid:durableId="847136377">
    <w:abstractNumId w:val="0"/>
  </w:num>
  <w:num w:numId="3" w16cid:durableId="1125275362">
    <w:abstractNumId w:val="1"/>
  </w:num>
  <w:num w:numId="4" w16cid:durableId="502596450">
    <w:abstractNumId w:val="5"/>
  </w:num>
  <w:num w:numId="5" w16cid:durableId="469590832">
    <w:abstractNumId w:val="4"/>
  </w:num>
  <w:num w:numId="6" w16cid:durableId="107023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63E3B"/>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3CBB"/>
    <w:rsid w:val="001E6D16"/>
    <w:rsid w:val="001F2277"/>
    <w:rsid w:val="002037C8"/>
    <w:rsid w:val="0023056D"/>
    <w:rsid w:val="00231CEA"/>
    <w:rsid w:val="0023691F"/>
    <w:rsid w:val="0024363E"/>
    <w:rsid w:val="0024481D"/>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9284F"/>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1E64"/>
    <w:rsid w:val="004D666F"/>
    <w:rsid w:val="004F1EE5"/>
    <w:rsid w:val="004F7229"/>
    <w:rsid w:val="00503C64"/>
    <w:rsid w:val="00527E7D"/>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2762"/>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07AA0"/>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D6718"/>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2E7231"/>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F27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F2762"/>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06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42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hsan@poltekpelsulu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2025-06-11T04:34:00Z</dcterms:created>
  <dcterms:modified xsi:type="dcterms:W3CDTF">2025-06-11T04:54:00Z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http://www.zotero.org/styles/iop-conference-series-earth-and-environmental-science</vt:lpwstr>
  </property>
  <property fmtid="{D5CDD505-2E9C-101B-9397-08002B2CF9AE}" pid="22" name="Mendeley Recent Style Name 8_1">
    <vt:lpwstr>IOP Conference Series: Earth and Environmental Science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4th edition (note with bibliography)</vt:lpwstr>
  </property>
  <property fmtid="{D5CDD505-2E9C-101B-9397-08002B2CF9AE}" pid="25" name="KSOProductBuildVer">
    <vt:lpwstr>1033-12.2.0.16909</vt:lpwstr>
  </property>
  <property fmtid="{D5CDD505-2E9C-101B-9397-08002B2CF9AE}" pid="26" name="ICV">
    <vt:lpwstr>FE3DFFE95B7849FF85A402C19E429C84_13</vt:lpwstr>
  </property>
</Properties>
</file>