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247C" w:rsidRPr="002D518D" w:rsidRDefault="0075247C">
      <w:pPr>
        <w:spacing w:after="0" w:line="240" w:lineRule="auto"/>
        <w:jc w:val="center"/>
        <w:rPr>
          <w:rFonts w:ascii="Times New Roman" w:hAnsi="Times New Roman"/>
          <w:color w:val="FF0000"/>
          <w:lang w:val="en-US"/>
        </w:rPr>
      </w:pPr>
      <w:r w:rsidRPr="002D518D">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08"/>
        <w:gridCol w:w="1860"/>
        <w:gridCol w:w="7530"/>
        <w:gridCol w:w="141"/>
      </w:tblGrid>
      <w:tr w:rsidR="0075247C" w:rsidRPr="002D518D" w:rsidTr="00E3393F">
        <w:trPr>
          <w:trHeight w:val="1321"/>
          <w:jc w:val="center"/>
        </w:trPr>
        <w:tc>
          <w:tcPr>
            <w:tcW w:w="1968" w:type="dxa"/>
            <w:gridSpan w:val="2"/>
            <w:tcBorders>
              <w:bottom w:val="single" w:sz="4" w:space="0" w:color="7E7E7E"/>
            </w:tcBorders>
            <w:shd w:val="clear" w:color="auto" w:fill="D8D8D8"/>
            <w:vAlign w:val="center"/>
          </w:tcPr>
          <w:p w:rsidR="0075247C" w:rsidRPr="002D518D" w:rsidRDefault="002D518D"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2D518D">
              <w:rPr>
                <w:rFonts w:ascii="Times New Roman" w:hAnsi="Times New Roman"/>
                <w:b/>
                <w:bCs/>
                <w:noProof/>
                <w:lang w:val="en-ID" w:eastAsia="en-ID"/>
              </w:rPr>
              <w:drawing>
                <wp:inline distT="0" distB="0" distL="0" distR="0">
                  <wp:extent cx="1112520" cy="88392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883920"/>
                          </a:xfrm>
                          <a:prstGeom prst="rect">
                            <a:avLst/>
                          </a:prstGeom>
                          <a:noFill/>
                          <a:ln>
                            <a:noFill/>
                          </a:ln>
                        </pic:spPr>
                      </pic:pic>
                    </a:graphicData>
                  </a:graphic>
                </wp:inline>
              </w:drawing>
            </w:r>
          </w:p>
        </w:tc>
        <w:tc>
          <w:tcPr>
            <w:tcW w:w="7671" w:type="dxa"/>
            <w:gridSpan w:val="2"/>
            <w:tcBorders>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2D518D">
              <w:rPr>
                <w:rFonts w:ascii="Times New Roman" w:eastAsia="Calibri" w:hAnsi="Times New Roman"/>
                <w:bCs/>
                <w:i/>
                <w:color w:val="1F497D"/>
                <w:sz w:val="66"/>
                <w:szCs w:val="66"/>
                <w:lang w:val="en-US"/>
              </w:rPr>
              <w:t>METEOR STIP MARUNDA</w:t>
            </w:r>
          </w:p>
        </w:tc>
      </w:tr>
      <w:tr w:rsidR="0075247C" w:rsidRPr="002D518D" w:rsidTr="00E3393F">
        <w:trPr>
          <w:trHeight w:val="273"/>
          <w:jc w:val="center"/>
        </w:trPr>
        <w:tc>
          <w:tcPr>
            <w:tcW w:w="1968" w:type="dxa"/>
            <w:gridSpan w:val="2"/>
            <w:tcBorders>
              <w:top w:val="single" w:sz="4" w:space="0" w:color="7E7E7E"/>
              <w:bottom w:val="single" w:sz="4" w:space="0" w:color="7E7E7E"/>
            </w:tcBorders>
            <w:shd w:val="clear" w:color="auto" w:fill="D8D8D8"/>
          </w:tcPr>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2D518D">
              <w:rPr>
                <w:rFonts w:ascii="Times New Roman" w:hAnsi="Times New Roman"/>
                <w:bCs/>
                <w:sz w:val="16"/>
                <w:szCs w:val="16"/>
                <w:lang w:val="en-US" w:eastAsia="id-ID"/>
              </w:rPr>
              <w:t>p</w:t>
            </w:r>
            <w:r w:rsidRPr="002D518D">
              <w:rPr>
                <w:rFonts w:ascii="Times New Roman" w:hAnsi="Times New Roman"/>
                <w:bCs/>
                <w:sz w:val="16"/>
                <w:szCs w:val="16"/>
                <w:lang w:eastAsia="id-ID"/>
              </w:rPr>
              <w:t>ISSN</w:t>
            </w:r>
            <w:r w:rsidRPr="002D518D">
              <w:rPr>
                <w:rFonts w:ascii="Times New Roman" w:hAnsi="Times New Roman"/>
                <w:bCs/>
                <w:sz w:val="16"/>
                <w:szCs w:val="16"/>
                <w:lang w:val="en-US" w:eastAsia="id-ID"/>
              </w:rPr>
              <w:t xml:space="preserve">  </w:t>
            </w:r>
            <w:proofErr w:type="gramStart"/>
            <w:r w:rsidRPr="002D518D">
              <w:rPr>
                <w:rFonts w:ascii="Times New Roman" w:hAnsi="Times New Roman"/>
                <w:bCs/>
                <w:sz w:val="16"/>
                <w:szCs w:val="16"/>
                <w:lang w:eastAsia="id-ID"/>
              </w:rPr>
              <w:t xml:space="preserve"> </w:t>
            </w:r>
            <w:r w:rsidRPr="002D518D">
              <w:rPr>
                <w:rFonts w:ascii="Times New Roman" w:hAnsi="Times New Roman"/>
                <w:bCs/>
                <w:sz w:val="16"/>
                <w:szCs w:val="16"/>
                <w:lang w:val="en-US" w:eastAsia="id-ID"/>
              </w:rPr>
              <w:t xml:space="preserve"> </w:t>
            </w:r>
            <w:r w:rsidRPr="002D518D">
              <w:rPr>
                <w:rFonts w:ascii="Times New Roman" w:hAnsi="Times New Roman"/>
                <w:bCs/>
                <w:sz w:val="16"/>
                <w:szCs w:val="16"/>
                <w:lang w:eastAsia="id-ID"/>
              </w:rPr>
              <w:t>:</w:t>
            </w:r>
            <w:proofErr w:type="gramEnd"/>
            <w:r w:rsidRPr="002D518D">
              <w:rPr>
                <w:rFonts w:ascii="Times New Roman" w:hAnsi="Times New Roman"/>
                <w:bCs/>
                <w:sz w:val="16"/>
                <w:szCs w:val="16"/>
                <w:lang w:eastAsia="id-ID"/>
              </w:rPr>
              <w:t xml:space="preserve"> 1</w:t>
            </w:r>
            <w:r w:rsidRPr="002D518D">
              <w:rPr>
                <w:rFonts w:ascii="Times New Roman" w:hAnsi="Times New Roman"/>
                <w:bCs/>
                <w:sz w:val="16"/>
                <w:szCs w:val="16"/>
                <w:lang w:val="en-US" w:eastAsia="id-ID"/>
              </w:rPr>
              <w:t>979 – 4746</w:t>
            </w:r>
          </w:p>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proofErr w:type="spellStart"/>
            <w:r w:rsidRPr="002D518D">
              <w:rPr>
                <w:rFonts w:ascii="Times New Roman" w:hAnsi="Times New Roman"/>
                <w:bCs/>
                <w:sz w:val="16"/>
                <w:szCs w:val="16"/>
                <w:lang w:val="en-US" w:eastAsia="id-ID"/>
              </w:rPr>
              <w:t>eISSN</w:t>
            </w:r>
            <w:proofErr w:type="spellEnd"/>
            <w:r w:rsidRPr="002D518D">
              <w:rPr>
                <w:rFonts w:ascii="Times New Roman" w:hAnsi="Times New Roman"/>
                <w:bCs/>
                <w:sz w:val="16"/>
                <w:szCs w:val="16"/>
                <w:lang w:val="en-US" w:eastAsia="id-ID"/>
              </w:rPr>
              <w:t xml:space="preserve">  </w:t>
            </w:r>
            <w:proofErr w:type="gramStart"/>
            <w:r w:rsidRPr="002D518D">
              <w:rPr>
                <w:rFonts w:ascii="Times New Roman" w:hAnsi="Times New Roman"/>
                <w:bCs/>
                <w:sz w:val="16"/>
                <w:szCs w:val="16"/>
                <w:lang w:val="en-US" w:eastAsia="id-ID"/>
              </w:rPr>
              <w:t xml:space="preserve">  :</w:t>
            </w:r>
            <w:proofErr w:type="gramEnd"/>
            <w:r w:rsidRPr="002D518D">
              <w:rPr>
                <w:rFonts w:ascii="Times New Roman" w:hAnsi="Times New Roman"/>
                <w:bCs/>
                <w:sz w:val="16"/>
                <w:szCs w:val="16"/>
                <w:lang w:val="en-US" w:eastAsia="id-ID"/>
              </w:rPr>
              <w:t xml:space="preserve">  2685 - 4775</w:t>
            </w:r>
          </w:p>
        </w:tc>
        <w:tc>
          <w:tcPr>
            <w:tcW w:w="7671" w:type="dxa"/>
            <w:gridSpan w:val="2"/>
            <w:tcBorders>
              <w:top w:val="single" w:sz="4" w:space="0" w:color="7E7E7E"/>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2D518D">
              <w:rPr>
                <w:rFonts w:ascii="Times New Roman" w:eastAsia="Calibri" w:hAnsi="Times New Roman"/>
                <w:b/>
                <w:i/>
                <w:color w:val="1F497D"/>
                <w:sz w:val="24"/>
                <w:szCs w:val="24"/>
                <w:lang w:val="en-US"/>
              </w:rPr>
              <w:t>Maritime Institute of Jakarta</w:t>
            </w:r>
          </w:p>
        </w:tc>
      </w:tr>
      <w:bookmarkEnd w:id="0"/>
      <w:tr w:rsidR="0075247C" w:rsidRPr="002D518D" w:rsidTr="00E3393F">
        <w:tblPrEx>
          <w:jc w:val="left"/>
          <w:tblBorders>
            <w:top w:val="single" w:sz="4" w:space="0" w:color="auto"/>
            <w:bottom w:val="single" w:sz="4" w:space="0" w:color="7E7E7E"/>
            <w:insideH w:val="single" w:sz="4" w:space="0" w:color="7E7E7E"/>
            <w:insideV w:val="single" w:sz="4" w:space="0" w:color="7E7E7E"/>
          </w:tblBorders>
        </w:tblPrEx>
        <w:trPr>
          <w:gridBefore w:val="1"/>
          <w:gridAfter w:val="1"/>
          <w:wBefore w:w="108" w:type="dxa"/>
          <w:wAfter w:w="141" w:type="dxa"/>
        </w:trPr>
        <w:tc>
          <w:tcPr>
            <w:tcW w:w="9390" w:type="dxa"/>
            <w:gridSpan w:val="2"/>
            <w:tcBorders>
              <w:top w:val="single" w:sz="24" w:space="0" w:color="auto"/>
              <w:bottom w:val="single" w:sz="8" w:space="0" w:color="auto"/>
            </w:tcBorders>
            <w:shd w:val="clear" w:color="auto" w:fill="auto"/>
          </w:tcPr>
          <w:p w:rsidR="0075247C" w:rsidRPr="002D518D" w:rsidRDefault="0075247C" w:rsidP="00B621A6">
            <w:pPr>
              <w:autoSpaceDE w:val="0"/>
              <w:autoSpaceDN w:val="0"/>
              <w:adjustRightInd w:val="0"/>
              <w:spacing w:after="0" w:line="240" w:lineRule="auto"/>
              <w:jc w:val="center"/>
              <w:rPr>
                <w:rFonts w:ascii="Times New Roman" w:eastAsia="Calibri" w:hAnsi="Times New Roman"/>
                <w:bCs/>
              </w:rPr>
            </w:pPr>
          </w:p>
          <w:p w:rsidR="005A211F" w:rsidRPr="002D518D" w:rsidRDefault="00D34A3E" w:rsidP="005A211F">
            <w:pPr>
              <w:spacing w:after="0" w:line="240" w:lineRule="auto"/>
              <w:jc w:val="center"/>
              <w:rPr>
                <w:rFonts w:ascii="Times New Roman" w:eastAsia="Calibri" w:hAnsi="Times New Roman"/>
                <w:b/>
                <w:bCs/>
                <w:sz w:val="28"/>
                <w:szCs w:val="28"/>
                <w:lang w:val="en-US"/>
              </w:rPr>
            </w:pPr>
            <w:r w:rsidRPr="00D34A3E">
              <w:rPr>
                <w:rFonts w:ascii="Times New Roman" w:eastAsia="Calibri" w:hAnsi="Times New Roman"/>
                <w:b/>
                <w:bCs/>
                <w:sz w:val="28"/>
                <w:szCs w:val="28"/>
                <w:lang w:val="en-US"/>
              </w:rPr>
              <w:t>Integrating Sustainability Science in Maritime Vocational Education: Professional and Graduate Perspectives</w:t>
            </w:r>
          </w:p>
          <w:p w:rsidR="0075247C" w:rsidRPr="002D518D" w:rsidRDefault="0075247C" w:rsidP="00B621A6">
            <w:pPr>
              <w:autoSpaceDE w:val="0"/>
              <w:autoSpaceDN w:val="0"/>
              <w:adjustRightInd w:val="0"/>
              <w:spacing w:after="0" w:line="240" w:lineRule="auto"/>
              <w:jc w:val="center"/>
              <w:rPr>
                <w:rFonts w:ascii="Times New Roman" w:eastAsia="Calibri" w:hAnsi="Times New Roman"/>
                <w:b/>
                <w:i/>
                <w:iCs/>
              </w:rPr>
            </w:pPr>
          </w:p>
          <w:p w:rsidR="00DE7113" w:rsidRPr="00DE7113" w:rsidRDefault="00DE7113" w:rsidP="00DE7113">
            <w:pPr>
              <w:autoSpaceDE w:val="0"/>
              <w:autoSpaceDN w:val="0"/>
              <w:adjustRightInd w:val="0"/>
              <w:spacing w:after="0" w:line="240" w:lineRule="auto"/>
              <w:jc w:val="center"/>
              <w:rPr>
                <w:rFonts w:ascii="Times New Roman" w:eastAsia="Calibri" w:hAnsi="Times New Roman"/>
                <w:i/>
                <w:iCs/>
                <w:lang w:val="en-US"/>
              </w:rPr>
            </w:pPr>
            <w:r w:rsidRPr="00DE7113">
              <w:rPr>
                <w:rFonts w:ascii="Times New Roman" w:eastAsia="Calibri" w:hAnsi="Times New Roman"/>
                <w:i/>
                <w:iCs/>
                <w:vertAlign w:val="superscript"/>
                <w:lang w:val="en-US"/>
              </w:rPr>
              <w:t>1</w:t>
            </w:r>
            <w:r w:rsidRPr="00DE7113">
              <w:rPr>
                <w:rFonts w:ascii="Times New Roman" w:eastAsia="Calibri" w:hAnsi="Times New Roman"/>
                <w:i/>
                <w:iCs/>
                <w:lang w:val="en-US"/>
              </w:rPr>
              <w:t xml:space="preserve">Frisca </w:t>
            </w:r>
            <w:proofErr w:type="spellStart"/>
            <w:r w:rsidRPr="00DE7113">
              <w:rPr>
                <w:rFonts w:ascii="Times New Roman" w:eastAsia="Calibri" w:hAnsi="Times New Roman"/>
                <w:i/>
                <w:iCs/>
                <w:lang w:val="en-US"/>
              </w:rPr>
              <w:t>Mareyta</w:t>
            </w:r>
            <w:proofErr w:type="spellEnd"/>
            <w:r w:rsidRPr="00DE7113">
              <w:rPr>
                <w:rFonts w:ascii="Times New Roman" w:eastAsia="Calibri" w:hAnsi="Times New Roman"/>
                <w:i/>
                <w:iCs/>
                <w:lang w:val="en-US"/>
              </w:rPr>
              <w:t xml:space="preserve"> </w:t>
            </w:r>
            <w:proofErr w:type="spellStart"/>
            <w:r w:rsidRPr="00DE7113">
              <w:rPr>
                <w:rFonts w:ascii="Times New Roman" w:eastAsia="Calibri" w:hAnsi="Times New Roman"/>
                <w:i/>
                <w:iCs/>
                <w:lang w:val="en-US"/>
              </w:rPr>
              <w:t>Pongoh</w:t>
            </w:r>
            <w:proofErr w:type="spellEnd"/>
            <w:r w:rsidRPr="00DE7113">
              <w:rPr>
                <w:rFonts w:ascii="Times New Roman" w:eastAsia="Calibri" w:hAnsi="Times New Roman"/>
                <w:i/>
                <w:iCs/>
                <w:lang w:val="en-US"/>
              </w:rPr>
              <w:t xml:space="preserve">, </w:t>
            </w:r>
            <w:r w:rsidRPr="00DE7113">
              <w:rPr>
                <w:rFonts w:ascii="Times New Roman" w:eastAsia="Calibri" w:hAnsi="Times New Roman"/>
                <w:i/>
                <w:iCs/>
                <w:vertAlign w:val="superscript"/>
                <w:lang w:val="en-US"/>
              </w:rPr>
              <w:t>1*</w:t>
            </w:r>
            <w:proofErr w:type="spellStart"/>
            <w:r w:rsidRPr="00DE7113">
              <w:rPr>
                <w:rFonts w:ascii="Times New Roman" w:eastAsia="Calibri" w:hAnsi="Times New Roman"/>
                <w:i/>
                <w:iCs/>
                <w:lang w:val="en-US"/>
              </w:rPr>
              <w:t>Iksan</w:t>
            </w:r>
            <w:proofErr w:type="spellEnd"/>
            <w:r w:rsidRPr="00DE7113">
              <w:rPr>
                <w:rFonts w:ascii="Times New Roman" w:eastAsia="Calibri" w:hAnsi="Times New Roman"/>
                <w:i/>
                <w:iCs/>
                <w:lang w:val="en-US"/>
              </w:rPr>
              <w:t xml:space="preserve"> </w:t>
            </w:r>
            <w:proofErr w:type="spellStart"/>
            <w:r w:rsidRPr="00DE7113">
              <w:rPr>
                <w:rFonts w:ascii="Times New Roman" w:eastAsia="Calibri" w:hAnsi="Times New Roman"/>
                <w:i/>
                <w:iCs/>
                <w:lang w:val="en-US"/>
              </w:rPr>
              <w:t>Saifudin</w:t>
            </w:r>
            <w:proofErr w:type="spellEnd"/>
            <w:r w:rsidRPr="00DE7113">
              <w:rPr>
                <w:rFonts w:ascii="Times New Roman" w:eastAsia="Calibri" w:hAnsi="Times New Roman"/>
                <w:i/>
                <w:iCs/>
                <w:lang w:val="en-US"/>
              </w:rPr>
              <w:t xml:space="preserve">, </w:t>
            </w:r>
            <w:r w:rsidRPr="00DE7113">
              <w:rPr>
                <w:rFonts w:ascii="Times New Roman" w:eastAsia="Calibri" w:hAnsi="Times New Roman"/>
                <w:i/>
                <w:iCs/>
                <w:vertAlign w:val="superscript"/>
                <w:lang w:val="en-US"/>
              </w:rPr>
              <w:t>1</w:t>
            </w:r>
            <w:r w:rsidRPr="00DE7113">
              <w:rPr>
                <w:rFonts w:ascii="Times New Roman" w:eastAsia="Calibri" w:hAnsi="Times New Roman"/>
                <w:i/>
                <w:iCs/>
                <w:lang w:val="en-US"/>
              </w:rPr>
              <w:t xml:space="preserve">Aliong </w:t>
            </w:r>
            <w:proofErr w:type="spellStart"/>
            <w:r w:rsidRPr="00DE7113">
              <w:rPr>
                <w:rFonts w:ascii="Times New Roman" w:eastAsia="Calibri" w:hAnsi="Times New Roman"/>
                <w:i/>
                <w:iCs/>
                <w:lang w:val="en-US"/>
              </w:rPr>
              <w:t>Silalahi</w:t>
            </w:r>
            <w:proofErr w:type="spellEnd"/>
            <w:r w:rsidRPr="00DE7113">
              <w:rPr>
                <w:rFonts w:ascii="Times New Roman" w:eastAsia="Calibri" w:hAnsi="Times New Roman"/>
                <w:i/>
                <w:iCs/>
                <w:lang w:val="en-US"/>
              </w:rPr>
              <w:t xml:space="preserve">, </w:t>
            </w:r>
            <w:r w:rsidRPr="00DE7113">
              <w:rPr>
                <w:rFonts w:ascii="Times New Roman" w:eastAsia="Calibri" w:hAnsi="Times New Roman"/>
                <w:i/>
                <w:iCs/>
                <w:vertAlign w:val="superscript"/>
                <w:lang w:val="en-US"/>
              </w:rPr>
              <w:t>2</w:t>
            </w:r>
            <w:r w:rsidRPr="00DE7113">
              <w:rPr>
                <w:rFonts w:ascii="Times New Roman" w:eastAsia="Calibri" w:hAnsi="Times New Roman"/>
                <w:i/>
                <w:iCs/>
                <w:lang w:val="en-US"/>
              </w:rPr>
              <w:t xml:space="preserve">Jaya </w:t>
            </w:r>
            <w:proofErr w:type="spellStart"/>
            <w:r w:rsidRPr="00DE7113">
              <w:rPr>
                <w:rFonts w:ascii="Times New Roman" w:eastAsia="Calibri" w:hAnsi="Times New Roman"/>
                <w:i/>
                <w:iCs/>
                <w:lang w:val="en-US"/>
              </w:rPr>
              <w:t>Alamsyah</w:t>
            </w:r>
            <w:proofErr w:type="spellEnd"/>
          </w:p>
          <w:p w:rsidR="00DE7113" w:rsidRPr="00DE7113" w:rsidRDefault="00DE7113" w:rsidP="00DE7113">
            <w:pPr>
              <w:autoSpaceDE w:val="0"/>
              <w:autoSpaceDN w:val="0"/>
              <w:adjustRightInd w:val="0"/>
              <w:spacing w:after="0" w:line="240" w:lineRule="auto"/>
              <w:jc w:val="center"/>
              <w:rPr>
                <w:rFonts w:ascii="Times New Roman" w:eastAsia="Calibri" w:hAnsi="Times New Roman"/>
                <w:i/>
                <w:iCs/>
                <w:lang w:val="en-US"/>
              </w:rPr>
            </w:pPr>
          </w:p>
          <w:p w:rsidR="00DE7113" w:rsidRPr="00DE7113" w:rsidRDefault="00DE7113" w:rsidP="00DE7113">
            <w:pPr>
              <w:autoSpaceDE w:val="0"/>
              <w:autoSpaceDN w:val="0"/>
              <w:adjustRightInd w:val="0"/>
              <w:spacing w:after="0" w:line="240" w:lineRule="auto"/>
              <w:jc w:val="center"/>
              <w:rPr>
                <w:rFonts w:ascii="Times New Roman" w:eastAsia="Calibri" w:hAnsi="Times New Roman"/>
                <w:i/>
                <w:iCs/>
                <w:lang w:val="en-US"/>
              </w:rPr>
            </w:pPr>
            <w:r w:rsidRPr="00DE7113">
              <w:rPr>
                <w:rFonts w:ascii="Times New Roman" w:eastAsia="Calibri" w:hAnsi="Times New Roman"/>
                <w:i/>
                <w:iCs/>
                <w:vertAlign w:val="superscript"/>
                <w:lang w:val="en-US"/>
              </w:rPr>
              <w:t>1</w:t>
            </w:r>
            <w:r w:rsidRPr="00DE7113">
              <w:rPr>
                <w:rFonts w:ascii="Times New Roman" w:eastAsia="Calibri" w:hAnsi="Times New Roman"/>
                <w:i/>
                <w:iCs/>
                <w:lang w:val="en-US"/>
              </w:rPr>
              <w:t xml:space="preserve">Maritime Polytechnic of North Sulawesi, South </w:t>
            </w:r>
            <w:proofErr w:type="spellStart"/>
            <w:r w:rsidRPr="00DE7113">
              <w:rPr>
                <w:rFonts w:ascii="Times New Roman" w:eastAsia="Calibri" w:hAnsi="Times New Roman"/>
                <w:i/>
                <w:iCs/>
                <w:lang w:val="en-US"/>
              </w:rPr>
              <w:t>Minahasa</w:t>
            </w:r>
            <w:proofErr w:type="spellEnd"/>
            <w:r w:rsidRPr="00DE7113">
              <w:rPr>
                <w:rFonts w:ascii="Times New Roman" w:eastAsia="Calibri" w:hAnsi="Times New Roman"/>
                <w:i/>
                <w:iCs/>
                <w:lang w:val="en-US"/>
              </w:rPr>
              <w:t>, Indonesia</w:t>
            </w:r>
          </w:p>
          <w:p w:rsidR="00DE7113" w:rsidRPr="00DE7113" w:rsidRDefault="00DE7113" w:rsidP="00DE7113">
            <w:pPr>
              <w:autoSpaceDE w:val="0"/>
              <w:autoSpaceDN w:val="0"/>
              <w:adjustRightInd w:val="0"/>
              <w:spacing w:after="0" w:line="240" w:lineRule="auto"/>
              <w:jc w:val="center"/>
              <w:rPr>
                <w:rFonts w:ascii="Times New Roman" w:eastAsia="Calibri" w:hAnsi="Times New Roman"/>
                <w:i/>
                <w:iCs/>
                <w:lang w:val="en-US"/>
              </w:rPr>
            </w:pPr>
          </w:p>
          <w:p w:rsidR="00DE7113" w:rsidRPr="00DE7113" w:rsidRDefault="00DE7113" w:rsidP="00B621A6">
            <w:pPr>
              <w:autoSpaceDE w:val="0"/>
              <w:autoSpaceDN w:val="0"/>
              <w:adjustRightInd w:val="0"/>
              <w:spacing w:after="0" w:line="240" w:lineRule="auto"/>
              <w:jc w:val="center"/>
              <w:rPr>
                <w:rFonts w:ascii="Times New Roman" w:eastAsia="Calibri" w:hAnsi="Times New Roman"/>
                <w:i/>
                <w:iCs/>
              </w:rPr>
            </w:pPr>
            <w:r w:rsidRPr="00DE7113">
              <w:rPr>
                <w:rFonts w:ascii="Times New Roman" w:eastAsia="Calibri" w:hAnsi="Times New Roman"/>
                <w:bCs/>
                <w:i/>
                <w:iCs/>
                <w:lang w:val="en-US"/>
              </w:rPr>
              <w:t>*</w:t>
            </w:r>
            <w:proofErr w:type="gramStart"/>
            <w:r w:rsidRPr="00DE7113">
              <w:rPr>
                <w:rFonts w:ascii="Times New Roman" w:eastAsia="Calibri" w:hAnsi="Times New Roman"/>
                <w:bCs/>
                <w:i/>
                <w:iCs/>
                <w:lang w:val="en-US"/>
              </w:rPr>
              <w:t>email</w:t>
            </w:r>
            <w:proofErr w:type="gramEnd"/>
            <w:r w:rsidRPr="00DE7113">
              <w:rPr>
                <w:rFonts w:ascii="Times New Roman" w:eastAsia="Calibri" w:hAnsi="Times New Roman"/>
                <w:bCs/>
                <w:i/>
                <w:iCs/>
                <w:lang w:val="en-US"/>
              </w:rPr>
              <w:t xml:space="preserve">: </w:t>
            </w:r>
            <w:hyperlink r:id="rId9" w:history="1">
              <w:r w:rsidRPr="00DE7113">
                <w:rPr>
                  <w:rStyle w:val="Hyperlink"/>
                  <w:rFonts w:ascii="Times New Roman" w:eastAsia="Calibri" w:hAnsi="Times New Roman"/>
                  <w:i/>
                  <w:iCs/>
                </w:rPr>
                <w:t>ikhsan@poltekpelsulut.ac.id</w:t>
              </w:r>
            </w:hyperlink>
            <w:r w:rsidRPr="00DE7113">
              <w:rPr>
                <w:rFonts w:ascii="Times New Roman" w:eastAsia="Calibri" w:hAnsi="Times New Roman"/>
                <w:i/>
                <w:iCs/>
              </w:rPr>
              <w:t xml:space="preserve"> </w:t>
            </w:r>
          </w:p>
          <w:p w:rsidR="0075247C" w:rsidRPr="002D518D" w:rsidRDefault="0075247C" w:rsidP="00B621A6">
            <w:pPr>
              <w:autoSpaceDE w:val="0"/>
              <w:autoSpaceDN w:val="0"/>
              <w:adjustRightInd w:val="0"/>
              <w:spacing w:after="0" w:line="240" w:lineRule="auto"/>
              <w:jc w:val="center"/>
              <w:rPr>
                <w:rFonts w:ascii="Times New Roman" w:hAnsi="Times New Roman"/>
                <w:bCs/>
                <w:i/>
                <w:iCs/>
                <w:color w:val="000000"/>
              </w:rPr>
            </w:pPr>
          </w:p>
        </w:tc>
      </w:tr>
      <w:tr w:rsidR="0075247C" w:rsidRPr="002D518D" w:rsidTr="00E3393F">
        <w:tblPrEx>
          <w:jc w:val="left"/>
          <w:tblBorders>
            <w:top w:val="single" w:sz="4" w:space="0" w:color="auto"/>
            <w:bottom w:val="single" w:sz="4" w:space="0" w:color="7E7E7E"/>
            <w:insideH w:val="single" w:sz="4" w:space="0" w:color="7E7E7E"/>
            <w:insideV w:val="single" w:sz="4" w:space="0" w:color="7E7E7E"/>
          </w:tblBorders>
        </w:tblPrEx>
        <w:trPr>
          <w:gridBefore w:val="1"/>
          <w:gridAfter w:val="1"/>
          <w:wBefore w:w="108" w:type="dxa"/>
          <w:wAfter w:w="141" w:type="dxa"/>
        </w:trPr>
        <w:tc>
          <w:tcPr>
            <w:tcW w:w="9390" w:type="dxa"/>
            <w:gridSpan w:val="2"/>
            <w:tcBorders>
              <w:top w:val="single" w:sz="8" w:space="0" w:color="auto"/>
              <w:bottom w:val="single" w:sz="8" w:space="0" w:color="auto"/>
            </w:tcBorders>
            <w:shd w:val="clear" w:color="auto" w:fill="auto"/>
          </w:tcPr>
          <w:p w:rsidR="0075247C" w:rsidRPr="002D518D" w:rsidRDefault="0075247C" w:rsidP="00951562">
            <w:pPr>
              <w:autoSpaceDE w:val="0"/>
              <w:autoSpaceDN w:val="0"/>
              <w:adjustRightInd w:val="0"/>
              <w:spacing w:after="0" w:line="240" w:lineRule="auto"/>
              <w:rPr>
                <w:rFonts w:ascii="Times New Roman" w:eastAsia="Calibri" w:hAnsi="Times New Roman"/>
                <w:bCs/>
              </w:rPr>
            </w:pPr>
          </w:p>
          <w:p w:rsidR="0075247C" w:rsidRPr="002D518D" w:rsidRDefault="0075247C" w:rsidP="00951562">
            <w:pPr>
              <w:rPr>
                <w:rFonts w:ascii="Times New Roman" w:hAnsi="Times New Roman"/>
                <w:bCs/>
                <w:color w:val="000000"/>
                <w:sz w:val="20"/>
                <w:szCs w:val="20"/>
              </w:rPr>
            </w:pPr>
            <w:proofErr w:type="gramStart"/>
            <w:r w:rsidRPr="00951562">
              <w:rPr>
                <w:rFonts w:ascii="Times New Roman" w:hAnsi="Times New Roman"/>
                <w:b/>
                <w:i/>
                <w:iCs/>
                <w:color w:val="000000"/>
                <w:lang w:val="en-US"/>
              </w:rPr>
              <w:t xml:space="preserve">Submitted </w:t>
            </w:r>
            <w:r w:rsidRPr="002D518D">
              <w:rPr>
                <w:rFonts w:ascii="Times New Roman" w:hAnsi="Times New Roman"/>
                <w:bCs/>
                <w:color w:val="000000"/>
                <w:lang w:val="en-US"/>
              </w:rPr>
              <w:t>:</w:t>
            </w:r>
            <w:proofErr w:type="gramEnd"/>
            <w:r w:rsidRPr="002D518D">
              <w:rPr>
                <w:rFonts w:ascii="Times New Roman" w:hAnsi="Times New Roman"/>
                <w:bCs/>
                <w:color w:val="000000"/>
                <w:lang w:val="en-US"/>
              </w:rPr>
              <w:t xml:space="preserve"> </w:t>
            </w:r>
            <w:r w:rsidR="00CB3908">
              <w:rPr>
                <w:rFonts w:ascii="Times New Roman" w:hAnsi="Times New Roman"/>
                <w:bCs/>
                <w:color w:val="000000"/>
              </w:rPr>
              <w:t>20</w:t>
            </w:r>
            <w:r w:rsidR="00B621A6" w:rsidRPr="002D518D">
              <w:rPr>
                <w:rFonts w:ascii="Times New Roman" w:hAnsi="Times New Roman"/>
                <w:bCs/>
                <w:color w:val="000000"/>
                <w:lang w:val="en-US"/>
              </w:rPr>
              <w:t>/</w:t>
            </w:r>
            <w:r w:rsidR="007119B1">
              <w:rPr>
                <w:rFonts w:ascii="Times New Roman" w:hAnsi="Times New Roman"/>
                <w:bCs/>
                <w:color w:val="000000"/>
              </w:rPr>
              <w:t>01</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r w:rsidRPr="002D518D">
              <w:rPr>
                <w:rFonts w:ascii="Times New Roman" w:hAnsi="Times New Roman"/>
                <w:bCs/>
                <w:color w:val="000000"/>
                <w:lang w:val="en-US"/>
              </w:rPr>
              <w:t xml:space="preserve">    </w:t>
            </w:r>
            <w:proofErr w:type="gramStart"/>
            <w:r w:rsidR="00B621A6" w:rsidRPr="00951562">
              <w:rPr>
                <w:rFonts w:ascii="Times New Roman" w:hAnsi="Times New Roman"/>
                <w:b/>
                <w:i/>
                <w:iCs/>
                <w:color w:val="000000"/>
                <w:lang w:val="en-US"/>
              </w:rPr>
              <w:t>R</w:t>
            </w:r>
            <w:r w:rsidRPr="00951562">
              <w:rPr>
                <w:rFonts w:ascii="Times New Roman" w:hAnsi="Times New Roman"/>
                <w:b/>
                <w:i/>
                <w:iCs/>
                <w:color w:val="000000"/>
                <w:lang w:val="en-US"/>
              </w:rPr>
              <w:t>evised</w:t>
            </w:r>
            <w:r w:rsidRPr="002D518D">
              <w:rPr>
                <w:rFonts w:ascii="Times New Roman" w:hAnsi="Times New Roman"/>
                <w:bCs/>
                <w:color w:val="000000"/>
                <w:lang w:val="en-US"/>
              </w:rPr>
              <w:t xml:space="preserve"> :</w:t>
            </w:r>
            <w:proofErr w:type="gramEnd"/>
            <w:r w:rsidR="00B621A6" w:rsidRPr="002D518D">
              <w:rPr>
                <w:rFonts w:ascii="Times New Roman" w:hAnsi="Times New Roman"/>
                <w:bCs/>
                <w:color w:val="000000"/>
                <w:lang w:val="en-US"/>
              </w:rPr>
              <w:t xml:space="preserve"> </w:t>
            </w:r>
            <w:r w:rsidR="00CB3908">
              <w:rPr>
                <w:rFonts w:ascii="Times New Roman" w:hAnsi="Times New Roman"/>
                <w:bCs/>
                <w:color w:val="000000"/>
              </w:rPr>
              <w:t>0</w:t>
            </w:r>
            <w:r w:rsidR="00951562">
              <w:rPr>
                <w:rFonts w:ascii="Times New Roman" w:hAnsi="Times New Roman"/>
                <w:bCs/>
                <w:color w:val="000000"/>
              </w:rPr>
              <w:t>7</w:t>
            </w:r>
            <w:r w:rsidR="00B621A6" w:rsidRPr="002D518D">
              <w:rPr>
                <w:rFonts w:ascii="Times New Roman" w:hAnsi="Times New Roman"/>
                <w:bCs/>
                <w:color w:val="000000"/>
                <w:lang w:val="en-US"/>
              </w:rPr>
              <w:t>/</w:t>
            </w:r>
            <w:r w:rsidR="00951562">
              <w:rPr>
                <w:rFonts w:ascii="Times New Roman" w:hAnsi="Times New Roman"/>
                <w:bCs/>
                <w:color w:val="000000"/>
              </w:rPr>
              <w:t>02</w:t>
            </w:r>
            <w:r w:rsidR="00B621A6" w:rsidRPr="002D518D">
              <w:rPr>
                <w:rFonts w:ascii="Times New Roman" w:hAnsi="Times New Roman"/>
                <w:bCs/>
                <w:color w:val="000000"/>
                <w:lang w:val="en-US"/>
              </w:rPr>
              <w:t>/202</w:t>
            </w:r>
            <w:r w:rsidR="00951562">
              <w:rPr>
                <w:rFonts w:ascii="Times New Roman" w:hAnsi="Times New Roman"/>
                <w:bCs/>
                <w:color w:val="000000"/>
                <w:lang w:val="en-US"/>
              </w:rPr>
              <w:t>5</w:t>
            </w:r>
            <w:r w:rsidRPr="002D518D">
              <w:rPr>
                <w:rFonts w:ascii="Times New Roman" w:hAnsi="Times New Roman"/>
                <w:bCs/>
                <w:color w:val="000000"/>
                <w:lang w:val="en-US"/>
              </w:rPr>
              <w:t xml:space="preserve">    </w:t>
            </w:r>
            <w:r w:rsidR="00951562">
              <w:rPr>
                <w:rFonts w:ascii="Times New Roman" w:hAnsi="Times New Roman"/>
                <w:bCs/>
                <w:color w:val="000000"/>
                <w:lang w:val="en-US"/>
              </w:rPr>
              <w:t xml:space="preserve">  </w:t>
            </w:r>
            <w:proofErr w:type="gramStart"/>
            <w:r w:rsidRPr="00951562">
              <w:rPr>
                <w:rFonts w:ascii="Times New Roman" w:hAnsi="Times New Roman"/>
                <w:b/>
                <w:i/>
                <w:iCs/>
                <w:color w:val="000000"/>
                <w:lang w:val="en-US"/>
              </w:rPr>
              <w:t>Accepted</w:t>
            </w:r>
            <w:r w:rsidR="00B621A6" w:rsidRPr="002D518D">
              <w:rPr>
                <w:rFonts w:ascii="Times New Roman" w:hAnsi="Times New Roman"/>
                <w:bCs/>
                <w:color w:val="000000"/>
                <w:lang w:val="en-US"/>
              </w:rPr>
              <w:t xml:space="preserve"> </w:t>
            </w:r>
            <w:r w:rsidRPr="002D518D">
              <w:rPr>
                <w:rFonts w:ascii="Times New Roman" w:hAnsi="Times New Roman"/>
                <w:bCs/>
                <w:color w:val="000000"/>
                <w:lang w:val="en-US"/>
              </w:rPr>
              <w:t>:</w:t>
            </w:r>
            <w:proofErr w:type="gramEnd"/>
            <w:r w:rsidRPr="002D518D">
              <w:rPr>
                <w:rFonts w:ascii="Times New Roman" w:hAnsi="Times New Roman"/>
                <w:bCs/>
                <w:color w:val="000000"/>
                <w:lang w:val="en-US"/>
              </w:rPr>
              <w:t xml:space="preserve"> </w:t>
            </w:r>
            <w:r w:rsidR="00951562">
              <w:rPr>
                <w:rFonts w:ascii="Times New Roman" w:hAnsi="Times New Roman"/>
                <w:bCs/>
                <w:color w:val="000000"/>
                <w:lang w:val="en-US"/>
              </w:rPr>
              <w:t>07</w:t>
            </w:r>
            <w:r w:rsidR="00B621A6" w:rsidRPr="002D518D">
              <w:rPr>
                <w:rFonts w:ascii="Times New Roman" w:hAnsi="Times New Roman"/>
                <w:bCs/>
                <w:color w:val="000000"/>
                <w:lang w:val="en-US"/>
              </w:rPr>
              <w:t>/</w:t>
            </w:r>
            <w:r w:rsidR="00951562">
              <w:rPr>
                <w:rFonts w:ascii="Times New Roman" w:hAnsi="Times New Roman"/>
                <w:bCs/>
                <w:color w:val="000000"/>
              </w:rPr>
              <w:t>06</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proofErr w:type="gramStart"/>
            <w:r w:rsidR="00951562" w:rsidRPr="00951562">
              <w:rPr>
                <w:rFonts w:ascii="Times New Roman" w:hAnsi="Times New Roman"/>
                <w:b/>
                <w:i/>
                <w:iCs/>
                <w:color w:val="000000"/>
                <w:lang w:val="en-US"/>
              </w:rPr>
              <w:t>Published</w:t>
            </w:r>
            <w:r w:rsidR="00951562" w:rsidRPr="00951562">
              <w:rPr>
                <w:rFonts w:ascii="Times New Roman" w:hAnsi="Times New Roman"/>
                <w:b/>
                <w:color w:val="000000"/>
                <w:lang w:val="en-US"/>
              </w:rPr>
              <w:t xml:space="preserve"> </w:t>
            </w:r>
            <w:r w:rsidR="00951562" w:rsidRPr="00951562">
              <w:rPr>
                <w:rFonts w:ascii="Times New Roman" w:hAnsi="Times New Roman"/>
                <w:bCs/>
                <w:color w:val="000000"/>
                <w:lang w:val="en-US"/>
              </w:rPr>
              <w:t>:</w:t>
            </w:r>
            <w:proofErr w:type="gramEnd"/>
            <w:r w:rsidR="00951562" w:rsidRPr="00951562">
              <w:rPr>
                <w:rFonts w:ascii="Times New Roman" w:hAnsi="Times New Roman"/>
                <w:bCs/>
                <w:color w:val="000000"/>
                <w:lang w:val="en-US"/>
              </w:rPr>
              <w:t xml:space="preserve"> </w:t>
            </w:r>
            <w:r w:rsidR="00DE7113">
              <w:rPr>
                <w:rFonts w:ascii="Times New Roman" w:hAnsi="Times New Roman"/>
                <w:bCs/>
                <w:color w:val="000000"/>
                <w:lang w:val="en-US"/>
              </w:rPr>
              <w:t>30</w:t>
            </w:r>
            <w:r w:rsidR="00951562" w:rsidRPr="00951562">
              <w:rPr>
                <w:rFonts w:ascii="Times New Roman" w:hAnsi="Times New Roman"/>
                <w:bCs/>
                <w:color w:val="000000"/>
                <w:lang w:val="en-US"/>
              </w:rPr>
              <w:t>/</w:t>
            </w:r>
            <w:r w:rsidR="00951562">
              <w:rPr>
                <w:rFonts w:ascii="Times New Roman" w:hAnsi="Times New Roman"/>
                <w:bCs/>
                <w:color w:val="000000"/>
                <w:lang w:val="en-US"/>
              </w:rPr>
              <w:t>06</w:t>
            </w:r>
            <w:r w:rsidR="00951562" w:rsidRPr="00951562">
              <w:rPr>
                <w:rFonts w:ascii="Times New Roman" w:hAnsi="Times New Roman"/>
                <w:bCs/>
                <w:color w:val="000000"/>
                <w:lang w:val="en-US"/>
              </w:rPr>
              <w:t>/202</w:t>
            </w:r>
            <w:r w:rsidR="00951562">
              <w:rPr>
                <w:rFonts w:ascii="Times New Roman" w:hAnsi="Times New Roman"/>
                <w:bCs/>
                <w:color w:val="000000"/>
                <w:lang w:val="en-US"/>
              </w:rPr>
              <w:t>5</w:t>
            </w:r>
          </w:p>
        </w:tc>
      </w:tr>
    </w:tbl>
    <w:p w:rsidR="0075247C" w:rsidRPr="002D518D" w:rsidRDefault="0075247C" w:rsidP="000C4333">
      <w:pPr>
        <w:pStyle w:val="Heading1"/>
        <w:numPr>
          <w:ilvl w:val="0"/>
          <w:numId w:val="0"/>
        </w:numPr>
        <w:jc w:val="center"/>
        <w:rPr>
          <w:i/>
          <w:lang w:val="en-US"/>
        </w:rPr>
      </w:pPr>
      <w:r w:rsidRPr="002D518D">
        <w:rPr>
          <w:i/>
        </w:rPr>
        <w:t>Abstra</w:t>
      </w:r>
      <w:proofErr w:type="spellStart"/>
      <w:r w:rsidRPr="002D518D">
        <w:rPr>
          <w:i/>
          <w:lang w:val="en-US"/>
        </w:rPr>
        <w:t>ct</w:t>
      </w:r>
      <w:proofErr w:type="spellEnd"/>
    </w:p>
    <w:p w:rsidR="0075247C" w:rsidRPr="002D518D" w:rsidRDefault="00D34A3E">
      <w:pPr>
        <w:jc w:val="both"/>
        <w:rPr>
          <w:rFonts w:ascii="Times New Roman" w:eastAsia="Times New Roman" w:hAnsi="Times New Roman"/>
          <w:i/>
          <w:iCs/>
          <w:lang w:val="zh-CN" w:eastAsia="zh-CN"/>
        </w:rPr>
      </w:pPr>
      <w:r w:rsidRPr="00D34A3E">
        <w:rPr>
          <w:rFonts w:ascii="Times New Roman" w:eastAsia="Times New Roman" w:hAnsi="Times New Roman"/>
          <w:i/>
          <w:iCs/>
          <w:lang w:eastAsia="zh-CN"/>
        </w:rPr>
        <w:t>This qualitative study examines the effectiveness of sustainability integration in maritime vocational education through perspectives of experienced professionals and recent graduates. Using semi-structured interviews with ten participants (five maritime industry experts and five recent graduates), the research investigates transdisciplinary competency development and educational-professional alignment in sustainability contexts. Thematic analysis reveals moderate effectiveness in current educational approaches, with a Professional Competency Integration Index (PCII) of 6.4 and Educational-Professional Alignment Coefficient (EPAC) of 6.1 out of 10. While participants demonstrate strong theoretical foundations in environmental knowledge, significant gaps exist in practical integration skills, stakeholder engagement, and economic analysis capabilities. Both cohorts recognize the critical importance of sustainability integration but diverge in assessing educational adequacy. Experienced professionals emphasize practical implementation challenges, while graduates focus on theoretical enhancement needs. The research identifies industry-education partnerships, transdisciplinary pedagogical approaches, and continuing education as critical factors for improving professional preparedness. Findings indicate that effective sustainability education requires systematic integration of theoretical knowledge with practical application opportunities, supported by enhanced faculty development and comprehensive industry collaboration. The study provides evidence-based recommendations for maritime education transformation to address urgent environmental and regulatory pressures while supporting broader sustainability goals.</w:t>
      </w:r>
    </w:p>
    <w:tbl>
      <w:tblPr>
        <w:tblW w:w="9984"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984"/>
      </w:tblGrid>
      <w:tr w:rsidR="0075247C" w:rsidRPr="002D518D" w:rsidTr="00DE7113">
        <w:trPr>
          <w:trHeight w:val="484"/>
        </w:trPr>
        <w:tc>
          <w:tcPr>
            <w:tcW w:w="9984" w:type="dxa"/>
            <w:tcBorders>
              <w:bottom w:val="nil"/>
            </w:tcBorders>
          </w:tcPr>
          <w:p w:rsidR="0075247C" w:rsidRPr="002D518D" w:rsidRDefault="0075247C">
            <w:pPr>
              <w:autoSpaceDE w:val="0"/>
              <w:autoSpaceDN w:val="0"/>
              <w:adjustRightInd w:val="0"/>
              <w:jc w:val="center"/>
              <w:rPr>
                <w:rFonts w:ascii="Times New Roman" w:eastAsia="Calibri" w:hAnsi="Times New Roman"/>
                <w:i/>
                <w:iCs/>
              </w:rPr>
            </w:pPr>
            <w:r w:rsidRPr="002D518D">
              <w:rPr>
                <w:rFonts w:ascii="Times New Roman" w:eastAsia="Calibri" w:hAnsi="Times New Roman"/>
                <w:i/>
                <w:lang w:val="en-US"/>
              </w:rPr>
              <w:t xml:space="preserve">Copyright </w:t>
            </w:r>
            <w:r w:rsidRPr="002D518D">
              <w:rPr>
                <w:rFonts w:ascii="Times New Roman" w:eastAsia="Calibri" w:hAnsi="Times New Roman"/>
                <w:i/>
              </w:rPr>
              <w:t>©202</w:t>
            </w:r>
            <w:r w:rsidR="007119B1">
              <w:rPr>
                <w:rFonts w:ascii="Times New Roman" w:eastAsia="Calibri" w:hAnsi="Times New Roman"/>
                <w:i/>
              </w:rPr>
              <w:t>5</w:t>
            </w:r>
            <w:r w:rsidRPr="002D518D">
              <w:rPr>
                <w:rFonts w:ascii="Times New Roman" w:eastAsia="Calibri" w:hAnsi="Times New Roman"/>
                <w:i/>
                <w:lang w:val="en-US"/>
              </w:rPr>
              <w:t xml:space="preserve">, </w:t>
            </w:r>
            <w:r w:rsidRPr="002D518D">
              <w:rPr>
                <w:rFonts w:ascii="Times New Roman" w:eastAsia="Calibri" w:hAnsi="Times New Roman"/>
                <w:b/>
                <w:bCs/>
                <w:i/>
                <w:lang w:val="en-US"/>
              </w:rPr>
              <w:t>METEOR STIP MARUNDA</w:t>
            </w:r>
            <w:r w:rsidRPr="002D518D">
              <w:rPr>
                <w:rFonts w:ascii="Times New Roman" w:eastAsia="Calibri" w:hAnsi="Times New Roman"/>
                <w:lang w:val="en-US"/>
              </w:rPr>
              <w:t xml:space="preserve">, </w:t>
            </w:r>
            <w:proofErr w:type="spellStart"/>
            <w:r w:rsidRPr="002D518D">
              <w:rPr>
                <w:rFonts w:ascii="Times New Roman" w:eastAsia="Calibri" w:hAnsi="Times New Roman"/>
                <w:i/>
                <w:iCs/>
                <w:lang w:val="en-US"/>
              </w:rPr>
              <w:t>pISSN</w:t>
            </w:r>
            <w:proofErr w:type="spellEnd"/>
            <w:r w:rsidRPr="002D518D">
              <w:rPr>
                <w:rFonts w:ascii="Times New Roman" w:eastAsia="Calibri" w:hAnsi="Times New Roman"/>
                <w:i/>
                <w:iCs/>
                <w:lang w:val="en-US"/>
              </w:rPr>
              <w:t>: 1979-4746</w:t>
            </w:r>
            <w:r w:rsidRPr="002D518D">
              <w:rPr>
                <w:rFonts w:ascii="Times New Roman" w:eastAsia="Calibri" w:hAnsi="Times New Roman"/>
                <w:i/>
                <w:iCs/>
              </w:rPr>
              <w:t>, eISSN: 2685-4775</w:t>
            </w:r>
          </w:p>
        </w:tc>
      </w:tr>
      <w:tr w:rsidR="0075247C" w:rsidRPr="002D518D" w:rsidTr="00DE7113">
        <w:trPr>
          <w:trHeight w:val="782"/>
        </w:trPr>
        <w:tc>
          <w:tcPr>
            <w:tcW w:w="9984" w:type="dxa"/>
            <w:tcBorders>
              <w:top w:val="nil"/>
              <w:bottom w:val="nil"/>
            </w:tcBorders>
          </w:tcPr>
          <w:p w:rsidR="0075247C" w:rsidRPr="002D518D" w:rsidRDefault="0075247C" w:rsidP="00D34A3E">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2D518D">
              <w:rPr>
                <w:rFonts w:ascii="Times New Roman" w:eastAsia="Calibri" w:hAnsi="Times New Roman"/>
                <w:b/>
                <w:i/>
              </w:rPr>
              <w:t xml:space="preserve">Keywords: </w:t>
            </w:r>
            <w:r w:rsidR="00D34A3E" w:rsidRPr="00D34A3E">
              <w:rPr>
                <w:rFonts w:ascii="Times New Roman" w:eastAsia="Calibri" w:hAnsi="Times New Roman"/>
                <w:bCs/>
                <w:i/>
              </w:rPr>
              <w:t>maritime sustainability education</w:t>
            </w:r>
            <w:r w:rsidR="00D34A3E">
              <w:rPr>
                <w:rFonts w:ascii="Times New Roman" w:eastAsia="Calibri" w:hAnsi="Times New Roman"/>
                <w:bCs/>
                <w:i/>
              </w:rPr>
              <w:t xml:space="preserve">, </w:t>
            </w:r>
            <w:r w:rsidR="00D34A3E" w:rsidRPr="00D34A3E">
              <w:rPr>
                <w:rFonts w:ascii="Times New Roman" w:eastAsia="Calibri" w:hAnsi="Times New Roman"/>
                <w:bCs/>
                <w:i/>
              </w:rPr>
              <w:t>transdisciplinary competency development</w:t>
            </w:r>
            <w:r w:rsidR="00D34A3E">
              <w:rPr>
                <w:rFonts w:ascii="Times New Roman" w:eastAsia="Calibri" w:hAnsi="Times New Roman"/>
                <w:bCs/>
                <w:i/>
              </w:rPr>
              <w:t xml:space="preserve">, </w:t>
            </w:r>
            <w:r w:rsidR="00D34A3E" w:rsidRPr="00D34A3E">
              <w:rPr>
                <w:rFonts w:ascii="Times New Roman" w:eastAsia="Calibri" w:hAnsi="Times New Roman"/>
                <w:bCs/>
                <w:i/>
              </w:rPr>
              <w:t>vocational training effectiveness</w:t>
            </w:r>
            <w:r w:rsidR="00D34A3E">
              <w:rPr>
                <w:rFonts w:ascii="Times New Roman" w:eastAsia="Calibri" w:hAnsi="Times New Roman"/>
                <w:bCs/>
                <w:i/>
              </w:rPr>
              <w:t xml:space="preserve">, </w:t>
            </w:r>
            <w:r w:rsidR="00D34A3E" w:rsidRPr="00D34A3E">
              <w:rPr>
                <w:rFonts w:ascii="Times New Roman" w:eastAsia="Calibri" w:hAnsi="Times New Roman"/>
                <w:bCs/>
                <w:i/>
              </w:rPr>
              <w:t>professional development integration</w:t>
            </w:r>
            <w:r w:rsidR="00D34A3E">
              <w:rPr>
                <w:rFonts w:ascii="Times New Roman" w:eastAsia="Calibri" w:hAnsi="Times New Roman"/>
                <w:bCs/>
                <w:i/>
              </w:rPr>
              <w:t xml:space="preserve">, </w:t>
            </w:r>
            <w:r w:rsidR="00D34A3E" w:rsidRPr="00D34A3E">
              <w:rPr>
                <w:rFonts w:ascii="Times New Roman" w:eastAsia="Calibri" w:hAnsi="Times New Roman"/>
                <w:bCs/>
                <w:i/>
              </w:rPr>
              <w:t>educational-industry partnerships</w:t>
            </w:r>
          </w:p>
          <w:p w:rsidR="0075247C" w:rsidRPr="002D518D"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D34A3E" w:rsidRDefault="00D34A3E" w:rsidP="00D34A3E">
      <w:pPr>
        <w:pStyle w:val="Heading1"/>
        <w:numPr>
          <w:ilvl w:val="0"/>
          <w:numId w:val="7"/>
        </w:numPr>
        <w:rPr>
          <w:lang w:val="en-US"/>
        </w:rPr>
        <w:sectPr w:rsidR="00D34A3E" w:rsidSect="00DE7113">
          <w:footerReference w:type="default" r:id="rId10"/>
          <w:type w:val="continuous"/>
          <w:pgSz w:w="11906" w:h="16838" w:code="9"/>
          <w:pgMar w:top="1080" w:right="907" w:bottom="1440" w:left="907" w:header="720" w:footer="720" w:gutter="0"/>
          <w:pgNumType w:start="40"/>
          <w:cols w:space="360"/>
          <w:docGrid w:linePitch="360"/>
        </w:sectPr>
      </w:pPr>
    </w:p>
    <w:p w:rsidR="00D34A3E" w:rsidRPr="00D34A3E" w:rsidRDefault="00D34A3E" w:rsidP="00D34A3E">
      <w:pPr>
        <w:pStyle w:val="Heading1"/>
        <w:numPr>
          <w:ilvl w:val="0"/>
          <w:numId w:val="7"/>
        </w:numPr>
        <w:rPr>
          <w:lang w:val="en-US"/>
        </w:rPr>
      </w:pPr>
      <w:r w:rsidRPr="00D34A3E">
        <w:rPr>
          <w:lang w:val="en-US"/>
        </w:rPr>
        <w:t>Introduction</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maritime industry stands at a critical juncture where traditional operational paradigms intersect with unprecedented environmental, technological, and social transformation demands. As global trade continues to expand and environmental consciousness intensifies, </w:t>
      </w:r>
      <w:r w:rsidRPr="00D34A3E">
        <w:rPr>
          <w:rFonts w:ascii="Times New Roman" w:eastAsia="Times New Roman" w:hAnsi="Times New Roman"/>
          <w:iCs/>
          <w:lang w:val="en-US" w:eastAsia="zh-CN"/>
        </w:rPr>
        <w:t>the maritime sector faces the complex challenge of maintaining economic viability while embracing sustainable practices that ensure ecosystem resilience [1]</w:t>
      </w:r>
      <w:r>
        <w:rPr>
          <w:rFonts w:ascii="Times New Roman" w:eastAsia="Times New Roman" w:hAnsi="Times New Roman"/>
          <w:iCs/>
          <w:lang w:val="en-US" w:eastAsia="zh-CN"/>
        </w:rPr>
        <w:t>[8]</w:t>
      </w:r>
      <w:r w:rsidRPr="00D34A3E">
        <w:rPr>
          <w:rFonts w:ascii="Times New Roman" w:eastAsia="Times New Roman" w:hAnsi="Times New Roman"/>
          <w:iCs/>
          <w:lang w:val="en-US" w:eastAsia="zh-CN"/>
        </w:rPr>
        <w:t xml:space="preserve">. This transformation necessitates a fundamental reimagining of maritime education, particularly in vocational training programs that prepare the next generation of maritime professionals. The integration of </w:t>
      </w:r>
      <w:r w:rsidRPr="00D34A3E">
        <w:rPr>
          <w:rFonts w:ascii="Times New Roman" w:eastAsia="Times New Roman" w:hAnsi="Times New Roman"/>
          <w:iCs/>
          <w:lang w:val="en-US" w:eastAsia="zh-CN"/>
        </w:rPr>
        <w:lastRenderedPageBreak/>
        <w:t>sustainability science into maritime vocational education represents not merely an educational enhancement but a strategic imperative for the industry's long-term viability and environmental stewardship.</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Contemporary maritime education operates within a rapidly evolving landscape where traditional competency frameworks must accommodate transdisciplinary approaches that bridge technical expertise with sustainability consciousness </w:t>
      </w:r>
      <w:r>
        <w:rPr>
          <w:rFonts w:ascii="Times New Roman" w:eastAsia="Times New Roman" w:hAnsi="Times New Roman"/>
          <w:iCs/>
          <w:lang w:val="en-US" w:eastAsia="zh-CN"/>
        </w:rPr>
        <w:t>[11][6]</w:t>
      </w:r>
      <w:r w:rsidRPr="00D34A3E">
        <w:rPr>
          <w:rFonts w:ascii="Times New Roman" w:eastAsia="Times New Roman" w:hAnsi="Times New Roman"/>
          <w:iCs/>
          <w:lang w:val="en-US" w:eastAsia="zh-CN"/>
        </w:rPr>
        <w:t xml:space="preserve">. The conventional model of maritime training, historically focused on operational efficiency and safety compliance, now requires expansion to encompass broader environmental and social responsibilities that reflect the industry's role in global ecosystem management </w:t>
      </w:r>
      <w:r>
        <w:rPr>
          <w:rFonts w:ascii="Times New Roman" w:eastAsia="Times New Roman" w:hAnsi="Times New Roman"/>
          <w:iCs/>
          <w:lang w:val="en-US" w:eastAsia="zh-CN"/>
        </w:rPr>
        <w:t>[9]</w:t>
      </w:r>
      <w:r w:rsidRPr="00D34A3E">
        <w:rPr>
          <w:rFonts w:ascii="Times New Roman" w:eastAsia="Times New Roman" w:hAnsi="Times New Roman"/>
          <w:iCs/>
          <w:lang w:val="en-US" w:eastAsia="zh-CN"/>
        </w:rPr>
        <w:t xml:space="preserve">. This educational transformation occurs against the backdrop of Industry 4.0 developments that fundamentally alter maritime operations, demanding new competency sets that integrate technological proficiency with sustainable practice implementation </w:t>
      </w:r>
      <w:r>
        <w:rPr>
          <w:rFonts w:ascii="Times New Roman" w:eastAsia="Times New Roman" w:hAnsi="Times New Roman"/>
          <w:iCs/>
          <w:lang w:val="en-US" w:eastAsia="zh-CN"/>
        </w:rPr>
        <w:t>[10][2]</w:t>
      </w:r>
      <w:r w:rsidRPr="00D34A3E">
        <w:rPr>
          <w:rFonts w:ascii="Times New Roman" w:eastAsia="Times New Roman" w:hAnsi="Times New Roman"/>
          <w:iCs/>
          <w:lang w:val="en-US" w:eastAsia="zh-CN"/>
        </w:rPr>
        <w:t>. The convergence of these factors creates a unique opportunity to develop educational frameworks that prepare maritime professionals for leadership in sustainable ocean economy development.</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theoretical foundations of maritime education have traditionally emphasized technical competency development through structured training programs aligned with international standards such as the Standards of Training, Certification and Watchkeeping for Seafarers (STCW) </w:t>
      </w:r>
      <w:r>
        <w:rPr>
          <w:rFonts w:ascii="Times New Roman" w:eastAsia="Times New Roman" w:hAnsi="Times New Roman"/>
          <w:iCs/>
          <w:lang w:val="en-US" w:eastAsia="zh-CN"/>
        </w:rPr>
        <w:t>[11][12]</w:t>
      </w:r>
      <w:r w:rsidRPr="00D34A3E">
        <w:rPr>
          <w:rFonts w:ascii="Times New Roman" w:eastAsia="Times New Roman" w:hAnsi="Times New Roman"/>
          <w:iCs/>
          <w:lang w:val="en-US" w:eastAsia="zh-CN"/>
        </w:rPr>
        <w:t xml:space="preserve">. However, contemporary maritime challenges require educational approaches that transcend conventional disciplinary boundaries, incorporating sustainability science principles that address complex environmental and social systems </w:t>
      </w:r>
      <w:r>
        <w:rPr>
          <w:rFonts w:ascii="Times New Roman" w:eastAsia="Times New Roman" w:hAnsi="Times New Roman"/>
          <w:iCs/>
          <w:lang w:val="en-US" w:eastAsia="zh-CN"/>
        </w:rPr>
        <w:t>[6]</w:t>
      </w:r>
      <w:r w:rsidRPr="00D34A3E">
        <w:rPr>
          <w:rFonts w:ascii="Times New Roman" w:eastAsia="Times New Roman" w:hAnsi="Times New Roman"/>
          <w:iCs/>
          <w:lang w:val="en-US" w:eastAsia="zh-CN"/>
        </w:rPr>
        <w:t xml:space="preserve">. The integration of transdisciplinary methodologies into maritime vocational training represents a paradigm shift that acknowledges the interconnected nature of maritime operations with broader ecological and social systems </w:t>
      </w:r>
      <w:r>
        <w:rPr>
          <w:rFonts w:ascii="Times New Roman" w:eastAsia="Times New Roman" w:hAnsi="Times New Roman"/>
          <w:iCs/>
          <w:lang w:val="en-US" w:eastAsia="zh-CN"/>
        </w:rPr>
        <w:t>[9]</w:t>
      </w:r>
      <w:r w:rsidRPr="00D34A3E">
        <w:rPr>
          <w:rFonts w:ascii="Times New Roman" w:eastAsia="Times New Roman" w:hAnsi="Times New Roman"/>
          <w:iCs/>
          <w:lang w:val="en-US" w:eastAsia="zh-CN"/>
        </w:rPr>
        <w:t>. This transformation demands comprehensive understanding of how educational institutions can effectively prepare professionals for roles that require both technical expertise and sustainability leadership capabilities.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Current research in maritime education reveals significant gaps between traditional training approaches and the competency requirements of contemporary sustainable maritime operations </w:t>
      </w:r>
      <w:r>
        <w:rPr>
          <w:rFonts w:ascii="Times New Roman" w:eastAsia="Times New Roman" w:hAnsi="Times New Roman"/>
          <w:iCs/>
          <w:lang w:val="en-US" w:eastAsia="zh-CN"/>
        </w:rPr>
        <w:t>[11][6]</w:t>
      </w:r>
      <w:r w:rsidRPr="00D34A3E">
        <w:rPr>
          <w:rFonts w:ascii="Times New Roman" w:eastAsia="Times New Roman" w:hAnsi="Times New Roman"/>
          <w:iCs/>
          <w:lang w:val="en-US" w:eastAsia="zh-CN"/>
        </w:rPr>
        <w:t xml:space="preserve">. Existing literature demonstrates that while maritime professionals recognize the importance of sustainability integration, educational institutions struggle to develop effective frameworks for transdisciplinary competency development </w:t>
      </w:r>
      <w:r>
        <w:rPr>
          <w:rFonts w:ascii="Times New Roman" w:eastAsia="Times New Roman" w:hAnsi="Times New Roman"/>
          <w:iCs/>
          <w:lang w:val="en-US" w:eastAsia="zh-CN"/>
        </w:rPr>
        <w:t>[9][10]</w:t>
      </w:r>
      <w:r w:rsidRPr="00D34A3E">
        <w:rPr>
          <w:rFonts w:ascii="Times New Roman" w:eastAsia="Times New Roman" w:hAnsi="Times New Roman"/>
          <w:iCs/>
          <w:lang w:val="en-US" w:eastAsia="zh-CN"/>
        </w:rPr>
        <w:t xml:space="preserve">. The challenge extends beyond curriculum modification to encompass fundamental questions about pedagogical approaches, assessment methodologies, and industry-education partnership </w:t>
      </w:r>
      <w:r w:rsidRPr="00D34A3E">
        <w:rPr>
          <w:rFonts w:ascii="Times New Roman" w:eastAsia="Times New Roman" w:hAnsi="Times New Roman"/>
          <w:iCs/>
          <w:lang w:val="en-US" w:eastAsia="zh-CN"/>
        </w:rPr>
        <w:t xml:space="preserve">models that can effectively prepare professionals for complex sustainability challenges </w:t>
      </w:r>
      <w:r>
        <w:rPr>
          <w:rFonts w:ascii="Times New Roman" w:eastAsia="Times New Roman" w:hAnsi="Times New Roman"/>
          <w:iCs/>
          <w:lang w:val="en-US" w:eastAsia="zh-CN"/>
        </w:rPr>
        <w:t>[6][11]</w:t>
      </w:r>
      <w:r w:rsidRPr="00D34A3E">
        <w:rPr>
          <w:rFonts w:ascii="Times New Roman" w:eastAsia="Times New Roman" w:hAnsi="Times New Roman"/>
          <w:iCs/>
          <w:lang w:val="en-US" w:eastAsia="zh-CN"/>
        </w:rPr>
        <w:t>. Furthermore, the rapid pace of technological and regulatory change in the maritime industry creates ongoing pressure for educational institutions to develop adaptive frameworks that can accommodate evolving professional requirements while maintaining educational quality and relevance.</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significance of this educational transformation extends beyond individual professional development to encompass broader implications for maritime industry sustainability and global environmental management </w:t>
      </w:r>
      <w:r>
        <w:rPr>
          <w:rFonts w:ascii="Times New Roman" w:eastAsia="Times New Roman" w:hAnsi="Times New Roman"/>
          <w:iCs/>
          <w:lang w:val="en-US" w:eastAsia="zh-CN"/>
        </w:rPr>
        <w:t>[8][9]</w:t>
      </w:r>
      <w:r w:rsidRPr="00D34A3E">
        <w:rPr>
          <w:rFonts w:ascii="Times New Roman" w:eastAsia="Times New Roman" w:hAnsi="Times New Roman"/>
          <w:iCs/>
          <w:lang w:val="en-US" w:eastAsia="zh-CN"/>
        </w:rPr>
        <w:t xml:space="preserve">. Maritime operations directly impact marine ecosystems through various pathways including emissions, ballast water management, waste disposal, and resource consumption, making the industry's approach to sustainability a critical factor in global environmental health </w:t>
      </w:r>
      <w:r>
        <w:rPr>
          <w:rFonts w:ascii="Times New Roman" w:eastAsia="Times New Roman" w:hAnsi="Times New Roman"/>
          <w:iCs/>
          <w:lang w:val="en-US" w:eastAsia="zh-CN"/>
        </w:rPr>
        <w:t>[8]</w:t>
      </w:r>
      <w:r w:rsidRPr="00D34A3E">
        <w:rPr>
          <w:rFonts w:ascii="Times New Roman" w:eastAsia="Times New Roman" w:hAnsi="Times New Roman"/>
          <w:iCs/>
          <w:lang w:val="en-US" w:eastAsia="zh-CN"/>
        </w:rPr>
        <w:t xml:space="preserve">. The development of sustainability-conscious maritime professionals therefore represents a strategic investment in ecosystem resilience that extends far beyond traditional industry boundaries </w:t>
      </w:r>
      <w:r>
        <w:rPr>
          <w:rFonts w:ascii="Times New Roman" w:eastAsia="Times New Roman" w:hAnsi="Times New Roman"/>
          <w:iCs/>
          <w:lang w:val="en-US" w:eastAsia="zh-CN"/>
        </w:rPr>
        <w:t>[9]</w:t>
      </w:r>
      <w:r w:rsidRPr="00D34A3E">
        <w:rPr>
          <w:rFonts w:ascii="Times New Roman" w:eastAsia="Times New Roman" w:hAnsi="Times New Roman"/>
          <w:iCs/>
          <w:lang w:val="en-US" w:eastAsia="zh-CN"/>
        </w:rPr>
        <w:t>. Moreover, the economic implications of sustainability integration in maritime operations require professionals who understand both the environmental imperatives and business case for sustainable practices, highlighting the need for educational approaches that effectively integrate these perspectives.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Research examining the effectiveness of current maritime education approaches reveals concerning gaps between educational outcomes and professional requirements for sustainability integration </w:t>
      </w:r>
      <w:r>
        <w:rPr>
          <w:rFonts w:ascii="Times New Roman" w:eastAsia="Times New Roman" w:hAnsi="Times New Roman"/>
          <w:iCs/>
          <w:lang w:val="en-US" w:eastAsia="zh-CN"/>
        </w:rPr>
        <w:t>[6][11]</w:t>
      </w:r>
      <w:r w:rsidRPr="00D34A3E">
        <w:rPr>
          <w:rFonts w:ascii="Times New Roman" w:eastAsia="Times New Roman" w:hAnsi="Times New Roman"/>
          <w:iCs/>
          <w:lang w:val="en-US" w:eastAsia="zh-CN"/>
        </w:rPr>
        <w:t xml:space="preserve">. Studies indicate that while maritime graduates demonstrate strong technical competencies, they often lack the transdisciplinary thinking skills necessary for effective sustainability implementation in professional contexts </w:t>
      </w:r>
      <w:r>
        <w:rPr>
          <w:rFonts w:ascii="Times New Roman" w:eastAsia="Times New Roman" w:hAnsi="Times New Roman"/>
          <w:iCs/>
          <w:lang w:val="en-US" w:eastAsia="zh-CN"/>
        </w:rPr>
        <w:t>[11]</w:t>
      </w:r>
      <w:r w:rsidRPr="00D34A3E">
        <w:rPr>
          <w:rFonts w:ascii="Times New Roman" w:eastAsia="Times New Roman" w:hAnsi="Times New Roman"/>
          <w:iCs/>
          <w:lang w:val="en-US" w:eastAsia="zh-CN"/>
        </w:rPr>
        <w:t xml:space="preserve">. This gap becomes particularly pronounced when examining the transition from educational settings to professional practice, where graduates encounter complex sustainability challenges that require integration of technical knowledge with environmental science, social responsibility, and economic analysis </w:t>
      </w:r>
      <w:r>
        <w:rPr>
          <w:rFonts w:ascii="Times New Roman" w:eastAsia="Times New Roman" w:hAnsi="Times New Roman"/>
          <w:iCs/>
          <w:lang w:val="en-US" w:eastAsia="zh-CN"/>
        </w:rPr>
        <w:t>[9]</w:t>
      </w:r>
      <w:r w:rsidRPr="00D34A3E">
        <w:rPr>
          <w:rFonts w:ascii="Times New Roman" w:eastAsia="Times New Roman" w:hAnsi="Times New Roman"/>
          <w:iCs/>
          <w:lang w:val="en-US" w:eastAsia="zh-CN"/>
        </w:rPr>
        <w:t>. The implications of these gaps extend beyond individual career development to impact the maritime industry's collective capacity for sustainable transformation and ecosystem stewardship.</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The contemporary maritime industry operates within an increasingly complex regulatory and market environment that demands professionals capable of navigating multiple stakeholder perspectives and balancing competing priorities related to economic efficiency, environmental protection, and social responsibility [1]</w:t>
      </w:r>
      <w:r>
        <w:rPr>
          <w:rFonts w:ascii="Times New Roman" w:eastAsia="Times New Roman" w:hAnsi="Times New Roman"/>
          <w:iCs/>
          <w:lang w:val="en-US" w:eastAsia="zh-CN"/>
        </w:rPr>
        <w:t>[9]</w:t>
      </w:r>
      <w:r w:rsidRPr="00D34A3E">
        <w:rPr>
          <w:rFonts w:ascii="Times New Roman" w:eastAsia="Times New Roman" w:hAnsi="Times New Roman"/>
          <w:iCs/>
          <w:lang w:val="en-US" w:eastAsia="zh-CN"/>
        </w:rPr>
        <w:t xml:space="preserve">. This complexity requires educational approaches that develop not only technical competencies but also critical thinking skills, stakeholder engagement capabilities, and systems thinking approaches that enable effective navigation of </w:t>
      </w:r>
      <w:r w:rsidRPr="00D34A3E">
        <w:rPr>
          <w:rFonts w:ascii="Times New Roman" w:eastAsia="Times New Roman" w:hAnsi="Times New Roman"/>
          <w:iCs/>
          <w:lang w:val="en-US" w:eastAsia="zh-CN"/>
        </w:rPr>
        <w:lastRenderedPageBreak/>
        <w:t xml:space="preserve">transdisciplinary challenges </w:t>
      </w:r>
      <w:r>
        <w:rPr>
          <w:rFonts w:ascii="Times New Roman" w:eastAsia="Times New Roman" w:hAnsi="Times New Roman"/>
          <w:iCs/>
          <w:lang w:val="en-US" w:eastAsia="zh-CN"/>
        </w:rPr>
        <w:t>[6]</w:t>
      </w:r>
      <w:r w:rsidRPr="00D34A3E">
        <w:rPr>
          <w:rFonts w:ascii="Times New Roman" w:eastAsia="Times New Roman" w:hAnsi="Times New Roman"/>
          <w:iCs/>
          <w:lang w:val="en-US" w:eastAsia="zh-CN"/>
        </w:rPr>
        <w:t>. The development of such competencies requires educational methodologies that move beyond traditional lecture-based approaches to incorporate experiential learning, case-based analysis, and collaborative problem-solving that mirrors the complexity of real-world maritime sustainability challenges.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integration of sustainability science into maritime vocational education also reflects broader trends in professional education that recognize the interconnected nature of contemporary global challenges </w:t>
      </w:r>
      <w:r>
        <w:rPr>
          <w:rFonts w:ascii="Times New Roman" w:eastAsia="Times New Roman" w:hAnsi="Times New Roman"/>
          <w:iCs/>
          <w:lang w:val="en-US" w:eastAsia="zh-CN"/>
        </w:rPr>
        <w:t>[2][9]</w:t>
      </w:r>
      <w:r w:rsidRPr="00D34A3E">
        <w:rPr>
          <w:rFonts w:ascii="Times New Roman" w:eastAsia="Times New Roman" w:hAnsi="Times New Roman"/>
          <w:iCs/>
          <w:lang w:val="en-US" w:eastAsia="zh-CN"/>
        </w:rPr>
        <w:t xml:space="preserve">. Climate change, resource depletion, and social inequality create complex challenges that require professional responses that transcend traditional disciplinary boundaries </w:t>
      </w:r>
      <w:r>
        <w:rPr>
          <w:rFonts w:ascii="Times New Roman" w:eastAsia="Times New Roman" w:hAnsi="Times New Roman"/>
          <w:iCs/>
          <w:lang w:val="en-US" w:eastAsia="zh-CN"/>
        </w:rPr>
        <w:t>[8]</w:t>
      </w:r>
      <w:r w:rsidRPr="00D34A3E">
        <w:rPr>
          <w:rFonts w:ascii="Times New Roman" w:eastAsia="Times New Roman" w:hAnsi="Times New Roman"/>
          <w:iCs/>
          <w:lang w:val="en-US" w:eastAsia="zh-CN"/>
        </w:rPr>
        <w:t xml:space="preserve">. Maritime education must therefore develop frameworks that prepare professionals to engage with these challenges through transdisciplinary approaches that integrate technical expertise with broader understanding of environmental and social systems </w:t>
      </w:r>
      <w:r>
        <w:rPr>
          <w:rFonts w:ascii="Times New Roman" w:eastAsia="Times New Roman" w:hAnsi="Times New Roman"/>
          <w:iCs/>
          <w:lang w:val="en-US" w:eastAsia="zh-CN"/>
        </w:rPr>
        <w:t>[6][9]</w:t>
      </w:r>
      <w:r w:rsidRPr="00D34A3E">
        <w:rPr>
          <w:rFonts w:ascii="Times New Roman" w:eastAsia="Times New Roman" w:hAnsi="Times New Roman"/>
          <w:iCs/>
          <w:lang w:val="en-US" w:eastAsia="zh-CN"/>
        </w:rPr>
        <w:t>. This integration represents not merely an educational enhancement but a fundamental requirement for professional effectiveness in contemporary maritime contexts.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The central research problem addressed in this study focuses on the effectiveness of current approaches to integrating sustainability science into maritime vocational education and the gap between educational outcomes and professional requirements for transdisciplinary competency development. Specifically, this research investigates how maritime professionals and recent graduates perceive the adequacy of current educational approaches for preparing professionals to address complex sustainability challenges in port and shipping operations. The research question emerges from recognition that while maritime education has evolved to incorporate sustainability concepts, the effectiveness of these educational approaches in developing transdisciplinary competencies remains unclear. This investigation becomes particularly urgent given the accelerating pace of environmental and regulatory change that demands immediate improvements in professional preparation for sustainability leadership roles.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specific objectives of this research encompass multiple dimensions of educational effectiveness and professional development. The primary objective involves comprehensive analysis of how maritime professionals and graduates perceive the integration of sustainability science into vocational training programs and the adequacy of current educational approaches for developing transdisciplinary competencies. Secondary objectives include identification of specific gaps between educational outcomes and professional requirements, examination of factors that facilitate or impede effective sustainability integration in maritime </w:t>
      </w:r>
      <w:r w:rsidRPr="00D34A3E">
        <w:rPr>
          <w:rFonts w:ascii="Times New Roman" w:eastAsia="Times New Roman" w:hAnsi="Times New Roman"/>
          <w:iCs/>
          <w:lang w:val="en-US" w:eastAsia="zh-CN"/>
        </w:rPr>
        <w:t>education, and development of evidence-based recommendations for enhancing educational approaches to better prepare professionals for sustainability leadership roles. Additionally, the research aims to understand how different stakeholder perspectives (experienced professionals versus recent graduates) converge or diverge regarding educational effectiveness and professional development needs.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rationale for this research emerges from multiple converging factors that create urgent demand for improved understanding of maritime education effectiveness. Environmental pressures facing the maritime industry require immediate transformation of professional practices, making the development of sustainability-conscious professionals a critical priority </w:t>
      </w:r>
      <w:r>
        <w:rPr>
          <w:rFonts w:ascii="Times New Roman" w:eastAsia="Times New Roman" w:hAnsi="Times New Roman"/>
          <w:iCs/>
          <w:lang w:val="en-US" w:eastAsia="zh-CN"/>
        </w:rPr>
        <w:t>[8][9]</w:t>
      </w:r>
      <w:r w:rsidRPr="00D34A3E">
        <w:rPr>
          <w:rFonts w:ascii="Times New Roman" w:eastAsia="Times New Roman" w:hAnsi="Times New Roman"/>
          <w:iCs/>
          <w:lang w:val="en-US" w:eastAsia="zh-CN"/>
        </w:rPr>
        <w:t xml:space="preserve">. Regulatory developments at international and national levels increasingly demand maritime operations that demonstrate environmental responsibility and social awareness, creating professional competency requirements that extend beyond traditional technical skills [1]. Economic pressures related to resource efficiency, stakeholder expectations, and market differentiation make sustainability competency development a strategic necessity for maritime industry competitiveness </w:t>
      </w:r>
      <w:r>
        <w:rPr>
          <w:rFonts w:ascii="Times New Roman" w:eastAsia="Times New Roman" w:hAnsi="Times New Roman"/>
          <w:iCs/>
          <w:lang w:val="en-US" w:eastAsia="zh-CN"/>
        </w:rPr>
        <w:t>[9]</w:t>
      </w:r>
      <w:r w:rsidRPr="00D34A3E">
        <w:rPr>
          <w:rFonts w:ascii="Times New Roman" w:eastAsia="Times New Roman" w:hAnsi="Times New Roman"/>
          <w:iCs/>
          <w:lang w:val="en-US" w:eastAsia="zh-CN"/>
        </w:rPr>
        <w:t xml:space="preserve">. Furthermore, technological developments associated with Industry 4.0 create opportunities for enhanced sustainability integration but require professionals capable of leveraging these technologies for environmental and social benefit </w:t>
      </w:r>
      <w:r>
        <w:rPr>
          <w:rFonts w:ascii="Times New Roman" w:eastAsia="Times New Roman" w:hAnsi="Times New Roman"/>
          <w:iCs/>
          <w:lang w:val="en-US" w:eastAsia="zh-CN"/>
        </w:rPr>
        <w:t>[2][10]</w:t>
      </w:r>
      <w:r w:rsidRPr="00D34A3E">
        <w:rPr>
          <w:rFonts w:ascii="Times New Roman" w:eastAsia="Times New Roman" w:hAnsi="Times New Roman"/>
          <w:iCs/>
          <w:lang w:val="en-US" w:eastAsia="zh-CN"/>
        </w:rPr>
        <w:t>.</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methodological approach employed in this research utilizes qualitative analysis to examine the perspectives and experiences of maritime professionals and graduates regarding sustainability integration in vocational education </w:t>
      </w:r>
      <w:r>
        <w:rPr>
          <w:rFonts w:ascii="Times New Roman" w:eastAsia="Times New Roman" w:hAnsi="Times New Roman"/>
          <w:iCs/>
          <w:lang w:val="en-US" w:eastAsia="zh-CN"/>
        </w:rPr>
        <w:t>[4][5]</w:t>
      </w:r>
      <w:r w:rsidRPr="00D34A3E">
        <w:rPr>
          <w:rFonts w:ascii="Times New Roman" w:eastAsia="Times New Roman" w:hAnsi="Times New Roman"/>
          <w:iCs/>
          <w:lang w:val="en-US" w:eastAsia="zh-CN"/>
        </w:rPr>
        <w:t xml:space="preserve">. This approach recognizes that understanding educational effectiveness requires deep exploration of individual experiences, perceptions, and professional development trajectories that quantitative approaches cannot adequately capture </w:t>
      </w:r>
      <w:r>
        <w:rPr>
          <w:rFonts w:ascii="Times New Roman" w:eastAsia="Times New Roman" w:hAnsi="Times New Roman"/>
          <w:iCs/>
          <w:lang w:val="en-US" w:eastAsia="zh-CN"/>
        </w:rPr>
        <w:t>[7]</w:t>
      </w:r>
      <w:r w:rsidRPr="00D34A3E">
        <w:rPr>
          <w:rFonts w:ascii="Times New Roman" w:eastAsia="Times New Roman" w:hAnsi="Times New Roman"/>
          <w:iCs/>
          <w:lang w:val="en-US" w:eastAsia="zh-CN"/>
        </w:rPr>
        <w:t xml:space="preserve">. The research employs semi-structured interviews with experienced maritime professionals and recent graduates to develop comprehensive understanding of how educational experiences translate into professional competencies and how current educational approaches can be enhanced to better prepare professionals for sustainability leadership roles </w:t>
      </w:r>
      <w:r>
        <w:rPr>
          <w:rFonts w:ascii="Times New Roman" w:eastAsia="Times New Roman" w:hAnsi="Times New Roman"/>
          <w:iCs/>
          <w:lang w:val="en-US" w:eastAsia="zh-CN"/>
        </w:rPr>
        <w:t>[4]</w:t>
      </w:r>
      <w:r w:rsidRPr="00D34A3E">
        <w:rPr>
          <w:rFonts w:ascii="Times New Roman" w:eastAsia="Times New Roman" w:hAnsi="Times New Roman"/>
          <w:iCs/>
          <w:lang w:val="en-US" w:eastAsia="zh-CN"/>
        </w:rPr>
        <w:t>. The qualitative methodology enables examination of complex relationships between educational experiences, professional development, and sustainability competency development that inform evidence-based recommendations for educational enhancement.</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conceptual framework guiding this research integrates multiple theoretical perspectives that illuminate different dimensions of educational effectiveness and professional development. The framework incorporates competency-based education </w:t>
      </w:r>
      <w:r w:rsidRPr="00D34A3E">
        <w:rPr>
          <w:rFonts w:ascii="Times New Roman" w:eastAsia="Times New Roman" w:hAnsi="Times New Roman"/>
          <w:iCs/>
          <w:lang w:val="en-US" w:eastAsia="zh-CN"/>
        </w:rPr>
        <w:lastRenderedPageBreak/>
        <w:t xml:space="preserve">theory that emphasizes the development of specific skills and knowledge sets required for professional effectiveness </w:t>
      </w:r>
      <w:r>
        <w:rPr>
          <w:rFonts w:ascii="Times New Roman" w:eastAsia="Times New Roman" w:hAnsi="Times New Roman"/>
          <w:iCs/>
          <w:lang w:val="en-US" w:eastAsia="zh-CN"/>
        </w:rPr>
        <w:t>[13]</w:t>
      </w:r>
      <w:r w:rsidRPr="00D34A3E">
        <w:rPr>
          <w:rFonts w:ascii="Times New Roman" w:eastAsia="Times New Roman" w:hAnsi="Times New Roman"/>
          <w:iCs/>
          <w:lang w:val="en-US" w:eastAsia="zh-CN"/>
        </w:rPr>
        <w:t xml:space="preserve">. Additionally, the framework draws upon systems thinking approaches that recognize the interconnected nature of maritime operations with broader environmental and social systems </w:t>
      </w:r>
      <w:r>
        <w:rPr>
          <w:rFonts w:ascii="Times New Roman" w:eastAsia="Times New Roman" w:hAnsi="Times New Roman"/>
          <w:iCs/>
          <w:lang w:val="en-US" w:eastAsia="zh-CN"/>
        </w:rPr>
        <w:t>[9]</w:t>
      </w:r>
      <w:r w:rsidRPr="00D34A3E">
        <w:rPr>
          <w:rFonts w:ascii="Times New Roman" w:eastAsia="Times New Roman" w:hAnsi="Times New Roman"/>
          <w:iCs/>
          <w:lang w:val="en-US" w:eastAsia="zh-CN"/>
        </w:rPr>
        <w:t xml:space="preserve">. Transdisciplinary education theory provides foundation for understanding how educational programs can effectively integrate knowledge from multiple disciplines to address complex real-world challenges </w:t>
      </w:r>
      <w:r>
        <w:rPr>
          <w:rFonts w:ascii="Times New Roman" w:eastAsia="Times New Roman" w:hAnsi="Times New Roman"/>
          <w:iCs/>
          <w:lang w:val="en-US" w:eastAsia="zh-CN"/>
        </w:rPr>
        <w:t>[6]</w:t>
      </w:r>
      <w:r w:rsidRPr="00D34A3E">
        <w:rPr>
          <w:rFonts w:ascii="Times New Roman" w:eastAsia="Times New Roman" w:hAnsi="Times New Roman"/>
          <w:iCs/>
          <w:lang w:val="en-US" w:eastAsia="zh-CN"/>
        </w:rPr>
        <w:t xml:space="preserve">. Furthermore, the framework incorporates professional development theory that examines how individuals transition from educational settings to professional practice and continue learning throughout their careers </w:t>
      </w:r>
      <w:r>
        <w:rPr>
          <w:rFonts w:ascii="Times New Roman" w:eastAsia="Times New Roman" w:hAnsi="Times New Roman"/>
          <w:iCs/>
          <w:lang w:val="en-US" w:eastAsia="zh-CN"/>
        </w:rPr>
        <w:t>[13]</w:t>
      </w:r>
      <w:r w:rsidRPr="00D34A3E">
        <w:rPr>
          <w:rFonts w:ascii="Times New Roman" w:eastAsia="Times New Roman" w:hAnsi="Times New Roman"/>
          <w:iCs/>
          <w:lang w:val="en-US" w:eastAsia="zh-CN"/>
        </w:rPr>
        <w:t>.</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variables examined in this research encompass multiple dimensions of educational effectiveness and professional development that influence sustainability competency development. Independent variables include educational program characteristics such as curriculum content, pedagogical approaches, practical training components, and industry partnership elements that potentially influence graduate preparedness for sustainability challenges </w:t>
      </w:r>
      <w:r>
        <w:rPr>
          <w:rFonts w:ascii="Times New Roman" w:eastAsia="Times New Roman" w:hAnsi="Times New Roman"/>
          <w:iCs/>
          <w:lang w:val="en-US" w:eastAsia="zh-CN"/>
        </w:rPr>
        <w:t>[6][11]</w:t>
      </w:r>
      <w:r w:rsidRPr="00D34A3E">
        <w:rPr>
          <w:rFonts w:ascii="Times New Roman" w:eastAsia="Times New Roman" w:hAnsi="Times New Roman"/>
          <w:iCs/>
          <w:lang w:val="en-US" w:eastAsia="zh-CN"/>
        </w:rPr>
        <w:t xml:space="preserve">. Participant characteristics including professional experience level, educational background, and current role responsibilities serve as additional independent variables that may influence perspectives on educational effectiveness </w:t>
      </w:r>
      <w:r>
        <w:rPr>
          <w:rFonts w:ascii="Times New Roman" w:eastAsia="Times New Roman" w:hAnsi="Times New Roman"/>
          <w:iCs/>
          <w:lang w:val="en-US" w:eastAsia="zh-CN"/>
        </w:rPr>
        <w:t>[13]</w:t>
      </w:r>
      <w:r w:rsidRPr="00D34A3E">
        <w:rPr>
          <w:rFonts w:ascii="Times New Roman" w:eastAsia="Times New Roman" w:hAnsi="Times New Roman"/>
          <w:iCs/>
          <w:lang w:val="en-US" w:eastAsia="zh-CN"/>
        </w:rPr>
        <w:t xml:space="preserve">. Dependent variables focus on perceptions of educational adequacy, professional preparedness for sustainability challenges, and specific competency development outcomes related to transdisciplinary thinking and sustainability implementation </w:t>
      </w:r>
      <w:r>
        <w:rPr>
          <w:rFonts w:ascii="Times New Roman" w:eastAsia="Times New Roman" w:hAnsi="Times New Roman"/>
          <w:iCs/>
          <w:lang w:val="en-US" w:eastAsia="zh-CN"/>
        </w:rPr>
        <w:t>[9]</w:t>
      </w:r>
      <w:r w:rsidRPr="00D34A3E">
        <w:rPr>
          <w:rFonts w:ascii="Times New Roman" w:eastAsia="Times New Roman" w:hAnsi="Times New Roman"/>
          <w:iCs/>
          <w:lang w:val="en-US" w:eastAsia="zh-CN"/>
        </w:rPr>
        <w:t>.</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significance of this research extends beyond immediate educational improvement to encompass broader implications for maritime industry transformation and global environmental management. The findings contribute to understanding how professional education can effectively prepare individuals for leadership roles in sustainable development contexts that require integration of technical expertise with environmental and social consciousness </w:t>
      </w:r>
      <w:r>
        <w:rPr>
          <w:rFonts w:ascii="Times New Roman" w:eastAsia="Times New Roman" w:hAnsi="Times New Roman"/>
          <w:iCs/>
          <w:lang w:val="en-US" w:eastAsia="zh-CN"/>
        </w:rPr>
        <w:t>[9]</w:t>
      </w:r>
      <w:r w:rsidRPr="00D34A3E">
        <w:rPr>
          <w:rFonts w:ascii="Times New Roman" w:eastAsia="Times New Roman" w:hAnsi="Times New Roman"/>
          <w:iCs/>
          <w:lang w:val="en-US" w:eastAsia="zh-CN"/>
        </w:rPr>
        <w:t xml:space="preserve">. The research provides evidence-based foundation for educational policy development and institutional planning that supports maritime industry transformation toward greater sustainability </w:t>
      </w:r>
      <w:r>
        <w:rPr>
          <w:rFonts w:ascii="Times New Roman" w:eastAsia="Times New Roman" w:hAnsi="Times New Roman"/>
          <w:iCs/>
          <w:lang w:val="en-US" w:eastAsia="zh-CN"/>
        </w:rPr>
        <w:t>[6]</w:t>
      </w:r>
      <w:r w:rsidRPr="00D34A3E">
        <w:rPr>
          <w:rFonts w:ascii="Times New Roman" w:eastAsia="Times New Roman" w:hAnsi="Times New Roman"/>
          <w:iCs/>
          <w:lang w:val="en-US" w:eastAsia="zh-CN"/>
        </w:rPr>
        <w:t xml:space="preserve">. Additionally, the findings inform broader discussions about professional education effectiveness in contexts where traditional disciplinary boundaries must be transcended to address complex global challenges </w:t>
      </w:r>
      <w:r>
        <w:rPr>
          <w:rFonts w:ascii="Times New Roman" w:eastAsia="Times New Roman" w:hAnsi="Times New Roman"/>
          <w:iCs/>
          <w:lang w:val="en-US" w:eastAsia="zh-CN"/>
        </w:rPr>
        <w:t>[2]</w:t>
      </w:r>
      <w:r w:rsidRPr="00D34A3E">
        <w:rPr>
          <w:rFonts w:ascii="Times New Roman" w:eastAsia="Times New Roman" w:hAnsi="Times New Roman"/>
          <w:iCs/>
          <w:lang w:val="en-US" w:eastAsia="zh-CN"/>
        </w:rPr>
        <w:t>.</w:t>
      </w:r>
    </w:p>
    <w:p w:rsid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urgency of this research reflects the accelerating pace of environmental and regulatory change that demands immediate improvements in professional preparation for sustainability leadership </w:t>
      </w:r>
      <w:r w:rsidRPr="00D34A3E">
        <w:rPr>
          <w:rFonts w:ascii="Times New Roman" w:eastAsia="Times New Roman" w:hAnsi="Times New Roman"/>
          <w:iCs/>
          <w:lang w:val="en-US" w:eastAsia="zh-CN"/>
        </w:rPr>
        <w:t xml:space="preserve">roles </w:t>
      </w:r>
      <w:r>
        <w:rPr>
          <w:rFonts w:ascii="Times New Roman" w:eastAsia="Times New Roman" w:hAnsi="Times New Roman"/>
          <w:iCs/>
          <w:lang w:val="en-US" w:eastAsia="zh-CN"/>
        </w:rPr>
        <w:t>[8][9]</w:t>
      </w:r>
      <w:r w:rsidRPr="00D34A3E">
        <w:rPr>
          <w:rFonts w:ascii="Times New Roman" w:eastAsia="Times New Roman" w:hAnsi="Times New Roman"/>
          <w:iCs/>
          <w:lang w:val="en-US" w:eastAsia="zh-CN"/>
        </w:rPr>
        <w:t>. Climate change impacts on marine ecosystems, evolving international environmental regulations, and increasing stakeholder expectations for corporate environmental responsibility create immediate demand for maritime professionals capable of effective sustainability integration [1]</w:t>
      </w:r>
      <w:r>
        <w:rPr>
          <w:rFonts w:ascii="Times New Roman" w:eastAsia="Times New Roman" w:hAnsi="Times New Roman"/>
          <w:iCs/>
          <w:lang w:val="en-US" w:eastAsia="zh-CN"/>
        </w:rPr>
        <w:t>[8]</w:t>
      </w:r>
      <w:r w:rsidRPr="00D34A3E">
        <w:rPr>
          <w:rFonts w:ascii="Times New Roman" w:eastAsia="Times New Roman" w:hAnsi="Times New Roman"/>
          <w:iCs/>
          <w:lang w:val="en-US" w:eastAsia="zh-CN"/>
        </w:rPr>
        <w:t xml:space="preserve">. The maritime industry's role in global trade and environmental impact makes the development of sustainability-conscious professionals a critical factor in global environmental management </w:t>
      </w:r>
      <w:r>
        <w:rPr>
          <w:rFonts w:ascii="Times New Roman" w:eastAsia="Times New Roman" w:hAnsi="Times New Roman"/>
          <w:iCs/>
          <w:lang w:val="en-US" w:eastAsia="zh-CN"/>
        </w:rPr>
        <w:t>[8]</w:t>
      </w:r>
      <w:r w:rsidRPr="00D34A3E">
        <w:rPr>
          <w:rFonts w:ascii="Times New Roman" w:eastAsia="Times New Roman" w:hAnsi="Times New Roman"/>
          <w:iCs/>
          <w:lang w:val="en-US" w:eastAsia="zh-CN"/>
        </w:rPr>
        <w:t xml:space="preserve">. Furthermore, competitive pressures and market evolution create economic incentives for sustainability competency development that make educational enhancement a strategic priority for maritime institutions and industry stakeholders </w:t>
      </w:r>
      <w:r>
        <w:rPr>
          <w:rFonts w:ascii="Times New Roman" w:eastAsia="Times New Roman" w:hAnsi="Times New Roman"/>
          <w:iCs/>
          <w:lang w:val="en-US" w:eastAsia="zh-CN"/>
        </w:rPr>
        <w:t>[9]</w:t>
      </w:r>
      <w:r w:rsidRPr="00D34A3E">
        <w:rPr>
          <w:rFonts w:ascii="Times New Roman" w:eastAsia="Times New Roman" w:hAnsi="Times New Roman"/>
          <w:iCs/>
          <w:lang w:val="en-US" w:eastAsia="zh-CN"/>
        </w:rPr>
        <w:t>.</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p>
    <w:p w:rsidR="00D34A3E" w:rsidRPr="00D34A3E" w:rsidRDefault="00D34A3E" w:rsidP="00D34A3E">
      <w:pPr>
        <w:pStyle w:val="Heading1"/>
        <w:numPr>
          <w:ilvl w:val="0"/>
          <w:numId w:val="7"/>
        </w:numPr>
        <w:rPr>
          <w:lang w:val="en-US"/>
        </w:rPr>
      </w:pPr>
      <w:r w:rsidRPr="00D34A3E">
        <w:rPr>
          <w:lang w:val="en-US"/>
        </w:rPr>
        <w:t>Methodology</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This research employs a qualitative descriptive approach to examine the perspectives and experiences of maritime professionals and graduates regarding the integration of sustainability science into vocational education programs </w:t>
      </w:r>
      <w:r>
        <w:rPr>
          <w:rFonts w:ascii="Times New Roman" w:eastAsia="Times New Roman" w:hAnsi="Times New Roman"/>
          <w:iCs/>
          <w:lang w:val="en-US" w:eastAsia="zh-CN"/>
        </w:rPr>
        <w:t>[7][4]</w:t>
      </w:r>
      <w:r w:rsidRPr="00D34A3E">
        <w:rPr>
          <w:rFonts w:ascii="Times New Roman" w:eastAsia="Times New Roman" w:hAnsi="Times New Roman"/>
          <w:iCs/>
          <w:lang w:val="en-US" w:eastAsia="zh-CN"/>
        </w:rPr>
        <w:t xml:space="preserve">. The methodological framework recognizes that understanding educational effectiveness and professional development requires deep exploration of individual experiences, perceptions, and professional trajectories that cannot be adequately captured through quantitative approaches alone </w:t>
      </w:r>
      <w:r>
        <w:rPr>
          <w:rFonts w:ascii="Times New Roman" w:eastAsia="Times New Roman" w:hAnsi="Times New Roman"/>
          <w:iCs/>
          <w:lang w:val="en-US" w:eastAsia="zh-CN"/>
        </w:rPr>
        <w:t>[5]</w:t>
      </w:r>
      <w:r w:rsidRPr="00D34A3E">
        <w:rPr>
          <w:rFonts w:ascii="Times New Roman" w:eastAsia="Times New Roman" w:hAnsi="Times New Roman"/>
          <w:iCs/>
          <w:lang w:val="en-US" w:eastAsia="zh-CN"/>
        </w:rPr>
        <w:t xml:space="preserve">. The research design specifically addresses the complex relationships between educational experiences, professional competency development, and sustainability integration in maritime contexts through systematic analysis of stakeholder perspectives across different career stages and professional roles </w:t>
      </w:r>
      <w:r>
        <w:rPr>
          <w:rFonts w:ascii="Times New Roman" w:eastAsia="Times New Roman" w:hAnsi="Times New Roman"/>
          <w:iCs/>
          <w:lang w:val="en-US" w:eastAsia="zh-CN"/>
        </w:rPr>
        <w:t>[4]</w:t>
      </w:r>
      <w:r w:rsidRPr="00D34A3E">
        <w:rPr>
          <w:rFonts w:ascii="Times New Roman" w:eastAsia="Times New Roman" w:hAnsi="Times New Roman"/>
          <w:iCs/>
          <w:lang w:val="en-US" w:eastAsia="zh-CN"/>
        </w:rPr>
        <w:t>.</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population for this study comprises individuals actively engaged in maritime professions or recently graduated from maritime educational institutions, representing different perspectives on educational effectiveness and professional development needs </w:t>
      </w:r>
      <w:r>
        <w:rPr>
          <w:rFonts w:ascii="Times New Roman" w:eastAsia="Times New Roman" w:hAnsi="Times New Roman"/>
          <w:iCs/>
          <w:lang w:val="en-US" w:eastAsia="zh-CN"/>
        </w:rPr>
        <w:t>[6]</w:t>
      </w:r>
      <w:r w:rsidRPr="00D34A3E">
        <w:rPr>
          <w:rFonts w:ascii="Times New Roman" w:eastAsia="Times New Roman" w:hAnsi="Times New Roman"/>
          <w:iCs/>
          <w:lang w:val="en-US" w:eastAsia="zh-CN"/>
        </w:rPr>
        <w:t xml:space="preserve">. The purposive sampling strategy targets two distinct cohorts that provide complementary perspectives on maritime education effectiveness and sustainability integration challenges. The first cohort consists of five experienced maritime professionals who have worked as entrepreneurs in port and shipping industries, officers and managers in maritime companies, and advisors in maritime contexts, each with minimum twenty years of sea-going experience in both public and private sector maritime operations </w:t>
      </w:r>
      <w:r>
        <w:rPr>
          <w:rFonts w:ascii="Times New Roman" w:eastAsia="Times New Roman" w:hAnsi="Times New Roman"/>
          <w:iCs/>
          <w:lang w:val="en-US" w:eastAsia="zh-CN"/>
        </w:rPr>
        <w:t>[3]</w:t>
      </w:r>
      <w:r w:rsidRPr="00D34A3E">
        <w:rPr>
          <w:rFonts w:ascii="Times New Roman" w:eastAsia="Times New Roman" w:hAnsi="Times New Roman"/>
          <w:iCs/>
          <w:lang w:val="en-US" w:eastAsia="zh-CN"/>
        </w:rPr>
        <w:t xml:space="preserve">. These participants represent diverse professional trajectories including former officers in renowned port and shipping industries, divisors, auditors, and advisors who possess extensive practical experience in maritime operations and professional development. The selection of experienced professionals ensures access to perspectives informed by long-term industry engagement and comprehensive understanding of how </w:t>
      </w:r>
      <w:r w:rsidRPr="00D34A3E">
        <w:rPr>
          <w:rFonts w:ascii="Times New Roman" w:eastAsia="Times New Roman" w:hAnsi="Times New Roman"/>
          <w:iCs/>
          <w:lang w:val="en-US" w:eastAsia="zh-CN"/>
        </w:rPr>
        <w:lastRenderedPageBreak/>
        <w:t>educational preparation translates into professional effectiveness over extended career periods.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second cohort comprises five recent graduates from maritime institutes who have completed studies in Nautical Deck Engineering, Naval Marine Engineering, or Port and Shipping Engineering, each having completed four-year vocational maritime programs including practical studies and shipping industry experience </w:t>
      </w:r>
      <w:r>
        <w:rPr>
          <w:rFonts w:ascii="Times New Roman" w:eastAsia="Times New Roman" w:hAnsi="Times New Roman"/>
          <w:iCs/>
          <w:lang w:val="en-US" w:eastAsia="zh-CN"/>
        </w:rPr>
        <w:t>[6][11]</w:t>
      </w:r>
      <w:r w:rsidRPr="00D34A3E">
        <w:rPr>
          <w:rFonts w:ascii="Times New Roman" w:eastAsia="Times New Roman" w:hAnsi="Times New Roman"/>
          <w:iCs/>
          <w:lang w:val="en-US" w:eastAsia="zh-CN"/>
        </w:rPr>
        <w:t>. These participants provide contemporary perspectives on educational effectiveness and represent the current state of maritime education outcomes in sustainability integration contexts. The inclusion of graduates from different maritime engineering disciplines ensures comprehensive coverage of various educational approaches and specialization areas within maritime vocational training. The selection criteria require participants to have completed their educational programs within the past three years, ensuring that their perspectives reflect contemporary educational approaches and current industry transition experiences.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rationale for this dual-cohort sampling approach recognizes that educational effectiveness assessment requires perspectives from both experienced professionals who understand long-term professional development needs and recent graduates who have direct experience with contemporary educational approaches </w:t>
      </w:r>
      <w:r>
        <w:rPr>
          <w:rFonts w:ascii="Times New Roman" w:eastAsia="Times New Roman" w:hAnsi="Times New Roman"/>
          <w:iCs/>
          <w:lang w:val="en-US" w:eastAsia="zh-CN"/>
        </w:rPr>
        <w:t>[7]</w:t>
      </w:r>
      <w:r w:rsidRPr="00D34A3E">
        <w:rPr>
          <w:rFonts w:ascii="Times New Roman" w:eastAsia="Times New Roman" w:hAnsi="Times New Roman"/>
          <w:iCs/>
          <w:lang w:val="en-US" w:eastAsia="zh-CN"/>
        </w:rPr>
        <w:t>. The experienced professionals provide insights into how educational preparation influences professional effectiveness over extended periods and can identify gaps between educational outcomes and professional requirements based on extensive industry experience. Recent graduates offer perspectives on current educational approaches, contemporary pedagogical methods, and immediate transition experiences from educational settings to professional practice. This combination enables comprehensive analysis of educational effectiveness across different temporal perspectives and career stages.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research instruments employed in this study include semi-structured interview protocols specifically designed to explore participant perspectives on sustainability integration in maritime education and professional development </w:t>
      </w:r>
      <w:r>
        <w:rPr>
          <w:rFonts w:ascii="Times New Roman" w:eastAsia="Times New Roman" w:hAnsi="Times New Roman"/>
          <w:iCs/>
          <w:lang w:val="en-US" w:eastAsia="zh-CN"/>
        </w:rPr>
        <w:t>[4][5]</w:t>
      </w:r>
      <w:r w:rsidRPr="00D34A3E">
        <w:rPr>
          <w:rFonts w:ascii="Times New Roman" w:eastAsia="Times New Roman" w:hAnsi="Times New Roman"/>
          <w:iCs/>
          <w:lang w:val="en-US" w:eastAsia="zh-CN"/>
        </w:rPr>
        <w:t xml:space="preserve">. The interview protocols are tailored to each cohort while maintaining consistency in core themes to enable comparative analysis across participant groups. For experienced professionals, the interview protocol focuses on career-long perspectives on educational adequacy, professional development experiences, and observed changes in educational effectiveness over time. The protocol explores how educational preparation influenced professional effectiveness in sustainability contexts and identifies specific areas where educational enhancement could improve professional outcomes. Questions examine the evolution of professional </w:t>
      </w:r>
      <w:r w:rsidRPr="00D34A3E">
        <w:rPr>
          <w:rFonts w:ascii="Times New Roman" w:eastAsia="Times New Roman" w:hAnsi="Times New Roman"/>
          <w:iCs/>
          <w:lang w:val="en-US" w:eastAsia="zh-CN"/>
        </w:rPr>
        <w:t>competency requirements, the adequacy of current educational approaches for preparing professionals for contemporary challenges, and recommendations for educational improvement based on extensive professional experience.</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For recent graduates, the interview protocol emphasizes immediate educational experiences, transition challenges, and perceptions of professional preparedness for sustainability integration in maritime contexts </w:t>
      </w:r>
      <w:r>
        <w:rPr>
          <w:rFonts w:ascii="Times New Roman" w:eastAsia="Times New Roman" w:hAnsi="Times New Roman"/>
          <w:iCs/>
          <w:lang w:val="en-US" w:eastAsia="zh-CN"/>
        </w:rPr>
        <w:t>[6]</w:t>
      </w:r>
      <w:r w:rsidRPr="00D34A3E">
        <w:rPr>
          <w:rFonts w:ascii="Times New Roman" w:eastAsia="Times New Roman" w:hAnsi="Times New Roman"/>
          <w:iCs/>
          <w:lang w:val="en-US" w:eastAsia="zh-CN"/>
        </w:rPr>
        <w:t>. The protocol explores specific educational components that contributed to or limited sustainability competency development, practical training effectiveness, and perceived gaps between educational preparation and professional requirements. Questions examine the adequacy of current educational approaches for addressing contemporary maritime challenges, the effectiveness of different pedagogical methods, and specific recommendations for educational enhancement based on recent educational experiences and early professional engagement.</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research instruments also include demographic questionnaires that capture participant characteristics relevant to educational experience and professional development, including educational background, professional experience, current role responsibilities, and specific sustainability-related training or experience </w:t>
      </w:r>
      <w:r>
        <w:rPr>
          <w:rFonts w:ascii="Times New Roman" w:eastAsia="Times New Roman" w:hAnsi="Times New Roman"/>
          <w:iCs/>
          <w:lang w:val="en-US" w:eastAsia="zh-CN"/>
        </w:rPr>
        <w:t>[13]</w:t>
      </w:r>
      <w:r w:rsidRPr="00D34A3E">
        <w:rPr>
          <w:rFonts w:ascii="Times New Roman" w:eastAsia="Times New Roman" w:hAnsi="Times New Roman"/>
          <w:iCs/>
          <w:lang w:val="en-US" w:eastAsia="zh-CN"/>
        </w:rPr>
        <w:t>. Document analysis protocols enable systematic examination of relevant educational materials, curricula, and professional development resources that participants reference during interviews. Observational protocols guide systematic recording of interview dynamics, participant engagement patterns, and contextual factors that may influence response quality or interpretation.</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Data collection procedures follow systematic protocols designed to ensure comprehensive capture of participant perspectives while maintaining research quality and ethical standards </w:t>
      </w:r>
      <w:r>
        <w:rPr>
          <w:rFonts w:ascii="Times New Roman" w:eastAsia="Times New Roman" w:hAnsi="Times New Roman"/>
          <w:iCs/>
          <w:lang w:val="en-US" w:eastAsia="zh-CN"/>
        </w:rPr>
        <w:t>[4]</w:t>
      </w:r>
      <w:r w:rsidRPr="00D34A3E">
        <w:rPr>
          <w:rFonts w:ascii="Times New Roman" w:eastAsia="Times New Roman" w:hAnsi="Times New Roman"/>
          <w:iCs/>
          <w:lang w:val="en-US" w:eastAsia="zh-CN"/>
        </w:rPr>
        <w:t>. Initial contact with participants involves detailed explanation of research purposes, participant rights, and confidentiality protections, followed by formal consent procedures that ensure voluntary participation and informed understanding of research involvement. Interview scheduling accommodates participant availability and preferences, with flexibility for in-person, video conference, or telephone interviews based on participant location and preferences. Each interview is scheduled for sixty to ninety minutes, allowing sufficient time for comprehensive exploration of research themes while respecting participant time constraints.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Interview procedures begin with rapport-building activities that establish comfortable communication dynamics and clarify research purposes and participant roles </w:t>
      </w:r>
      <w:r>
        <w:rPr>
          <w:rFonts w:ascii="Times New Roman" w:eastAsia="Times New Roman" w:hAnsi="Times New Roman"/>
          <w:iCs/>
          <w:lang w:val="en-US" w:eastAsia="zh-CN"/>
        </w:rPr>
        <w:t>[5]</w:t>
      </w:r>
      <w:r w:rsidRPr="00D34A3E">
        <w:rPr>
          <w:rFonts w:ascii="Times New Roman" w:eastAsia="Times New Roman" w:hAnsi="Times New Roman"/>
          <w:iCs/>
          <w:lang w:val="en-US" w:eastAsia="zh-CN"/>
        </w:rPr>
        <w:t xml:space="preserve">. The semi-structured format enables systematic coverage of research themes while allowing </w:t>
      </w:r>
      <w:r w:rsidRPr="00D34A3E">
        <w:rPr>
          <w:rFonts w:ascii="Times New Roman" w:eastAsia="Times New Roman" w:hAnsi="Times New Roman"/>
          <w:iCs/>
          <w:lang w:val="en-US" w:eastAsia="zh-CN"/>
        </w:rPr>
        <w:lastRenderedPageBreak/>
        <w:t>flexibility for pursuing emergent topics that contribute to understanding of educational effectiveness and professional development. Interview protocols guide systematic exploration of predetermined themes while encouraging participant elaboration on topics of particular relevance or interest. Recording procedures ensure accurate capture of participant responses for subsequent transcription and analysis, with backup recording systems to prevent data loss. Field notes document interview dynamics, participant engagement patterns, and contextual observations that inform data interpretation.</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Data analysis employs thematic analysis procedures that systematically identify, analyze, and report patterns within the collected data while maintaining focus on research objectives and theoretical frameworks </w:t>
      </w:r>
      <w:r>
        <w:rPr>
          <w:rFonts w:ascii="Times New Roman" w:eastAsia="Times New Roman" w:hAnsi="Times New Roman"/>
          <w:iCs/>
          <w:lang w:val="en-US" w:eastAsia="zh-CN"/>
        </w:rPr>
        <w:t>[4][5]</w:t>
      </w:r>
      <w:r w:rsidRPr="00D34A3E">
        <w:rPr>
          <w:rFonts w:ascii="Times New Roman" w:eastAsia="Times New Roman" w:hAnsi="Times New Roman"/>
          <w:iCs/>
          <w:lang w:val="en-US" w:eastAsia="zh-CN"/>
        </w:rPr>
        <w:t>. The analysis process begins with verbatim transcription of all interview recordings, followed by systematic reading and initial coding to identify preliminary themes and patterns across participant responses. Initial coding focuses on manifest content while remaining sensitive to latent meanings and underlying assumptions that inform participant perspectives. Subsequent coding cycles develop and refine thematic categories while maintaining systematic comparison across participant groups and individual cases.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Thematic categorization specifically addresses competency development and sustainability themes that emerge from participant responses, with particular attention to how educational experiences influence professional preparedness for sustainability integration challenges </w:t>
      </w:r>
      <w:r>
        <w:rPr>
          <w:rFonts w:ascii="Times New Roman" w:eastAsia="Times New Roman" w:hAnsi="Times New Roman"/>
          <w:iCs/>
          <w:lang w:val="en-US" w:eastAsia="zh-CN"/>
        </w:rPr>
        <w:t>[7]</w:t>
      </w:r>
      <w:r w:rsidRPr="00D34A3E">
        <w:rPr>
          <w:rFonts w:ascii="Times New Roman" w:eastAsia="Times New Roman" w:hAnsi="Times New Roman"/>
          <w:iCs/>
          <w:lang w:val="en-US" w:eastAsia="zh-CN"/>
        </w:rPr>
        <w:t>. The analysis identifies specific educational components that contribute to or limit sustainability competency development, examines factors that facilitate or impede effective transition from educational settings to professional practice, and explores participant recommendations for educational enhancement. Categorization procedures ensure systematic organization of findings while maintaining sensitivity to individual participant perspectives and experiences.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Cross-group comparisons systematically examine commonalities and distinctions between experienced professionals and recent graduates regarding educational effectiveness, professional development needs, and sustainability integration challenges </w:t>
      </w:r>
      <w:r>
        <w:rPr>
          <w:rFonts w:ascii="Times New Roman" w:eastAsia="Times New Roman" w:hAnsi="Times New Roman"/>
          <w:iCs/>
          <w:lang w:val="en-US" w:eastAsia="zh-CN"/>
        </w:rPr>
        <w:t>[5]</w:t>
      </w:r>
      <w:r w:rsidRPr="00D34A3E">
        <w:rPr>
          <w:rFonts w:ascii="Times New Roman" w:eastAsia="Times New Roman" w:hAnsi="Times New Roman"/>
          <w:iCs/>
          <w:lang w:val="en-US" w:eastAsia="zh-CN"/>
        </w:rPr>
        <w:t>. Comparative analysis identifies areas of convergence and divergence between cohorts, explores potential explanations for different perspectives, and examines how professional experience influences perceptions of educational adequacy. The analysis specifically addresses how different career stages and professional roles influence perspectives on educational effectiveness and professional development priorities.</w:t>
      </w:r>
    </w:p>
    <w:p w:rsid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Narrative synthesis procedures develop cohesive explanations of research findings that integrate thematic analysis results with comparative insights to address research objectives comprehensively </w:t>
      </w:r>
      <w:r>
        <w:rPr>
          <w:rFonts w:ascii="Times New Roman" w:eastAsia="Times New Roman" w:hAnsi="Times New Roman"/>
          <w:iCs/>
          <w:lang w:val="en-US" w:eastAsia="zh-CN"/>
        </w:rPr>
        <w:t>[7]</w:t>
      </w:r>
      <w:r w:rsidRPr="00D34A3E">
        <w:rPr>
          <w:rFonts w:ascii="Times New Roman" w:eastAsia="Times New Roman" w:hAnsi="Times New Roman"/>
          <w:iCs/>
          <w:lang w:val="en-US" w:eastAsia="zh-CN"/>
        </w:rPr>
        <w:t>. The synthesis process examines relationships between different themes, explores implications of comparative findings, and develops evidence-based recommendations for educational enhancement. Narrative development maintains focus on research questions while incorporating participant perspectives authentically and comprehensively. The synthesis process also identifies areas where findings extend beyond initial research expectations and suggest directions for future investigation or practical application.</w:t>
      </w:r>
    </w:p>
    <w:p w:rsid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p>
    <w:p w:rsidR="00D34A3E" w:rsidRPr="00D34A3E" w:rsidRDefault="00D34A3E" w:rsidP="00D34A3E">
      <w:pPr>
        <w:pStyle w:val="Heading1"/>
        <w:numPr>
          <w:ilvl w:val="0"/>
          <w:numId w:val="7"/>
        </w:numPr>
        <w:rPr>
          <w:lang w:val="en-US"/>
        </w:rPr>
      </w:pPr>
      <w:r w:rsidRPr="00D34A3E">
        <w:rPr>
          <w:lang w:val="en-US"/>
        </w:rPr>
        <w:t>Results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The qualitative analysis of interviews with ten maritime professionals and graduates revealed comprehensive insights into the effectiveness of sustainability integration within maritime vocational education and the preparedness of professionals for transdisciplinary challenges in port and shipping management. The results demonstrate significant convergence across participant groups regarding the necessity for enhanced sustainability education while revealing important distinctions in perspectives based on professional experience and educational background.</w:t>
      </w:r>
    </w:p>
    <w:p w:rsidR="00D34A3E" w:rsidRDefault="00D34A3E" w:rsidP="00D34A3E">
      <w:pPr>
        <w:autoSpaceDE w:val="0"/>
        <w:autoSpaceDN w:val="0"/>
        <w:adjustRightInd w:val="0"/>
        <w:spacing w:after="0" w:line="240" w:lineRule="auto"/>
        <w:jc w:val="both"/>
        <w:rPr>
          <w:rFonts w:ascii="Times New Roman" w:eastAsia="Times New Roman" w:hAnsi="Times New Roman"/>
          <w:b/>
          <w:bCs/>
          <w:iCs/>
          <w:lang w:val="en-US" w:eastAsia="zh-CN"/>
        </w:rPr>
      </w:pPr>
    </w:p>
    <w:p w:rsidR="00D34A3E" w:rsidRPr="00D34A3E" w:rsidRDefault="00D34A3E" w:rsidP="00D34A3E">
      <w:pPr>
        <w:autoSpaceDE w:val="0"/>
        <w:autoSpaceDN w:val="0"/>
        <w:adjustRightInd w:val="0"/>
        <w:spacing w:after="0" w:line="240" w:lineRule="auto"/>
        <w:jc w:val="both"/>
        <w:rPr>
          <w:rFonts w:ascii="Times New Roman" w:eastAsia="Times New Roman" w:hAnsi="Times New Roman"/>
          <w:b/>
          <w:bCs/>
          <w:i/>
          <w:lang w:val="en-US" w:eastAsia="zh-CN"/>
        </w:rPr>
      </w:pPr>
      <w:r w:rsidRPr="00D34A3E">
        <w:rPr>
          <w:rFonts w:ascii="Times New Roman" w:eastAsia="Times New Roman" w:hAnsi="Times New Roman"/>
          <w:b/>
          <w:bCs/>
          <w:i/>
          <w:lang w:val="en-US" w:eastAsia="zh-CN"/>
        </w:rPr>
        <w:t>Thematic Analysis Results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D34A3E">
        <w:rPr>
          <w:rFonts w:ascii="Times New Roman" w:eastAsia="Times New Roman" w:hAnsi="Times New Roman"/>
          <w:b/>
          <w:bCs/>
          <w:iCs/>
          <w:lang w:val="en-US" w:eastAsia="zh-CN"/>
        </w:rPr>
        <w:t>Theme 1: Current Sustainability Integration Assessment</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Analysis of participant responses revealed unanimous recognition that current maritime vocational education incorporates sustainability concepts but lacks comprehensive integration necessary for effective professional application. Experienced professionals consistently identified gaps between theoretical sustainability education and practical implementation requirements in professional contexts. Professional Participant 1 (PP1), a former port manager with twenty-five </w:t>
      </w:r>
      <w:proofErr w:type="spellStart"/>
      <w:r w:rsidRPr="00D34A3E">
        <w:rPr>
          <w:rFonts w:ascii="Times New Roman" w:eastAsia="Times New Roman" w:hAnsi="Times New Roman"/>
          <w:iCs/>
          <w:lang w:val="en-US" w:eastAsia="zh-CN"/>
        </w:rPr>
        <w:t>years experience</w:t>
      </w:r>
      <w:proofErr w:type="spellEnd"/>
      <w:r w:rsidRPr="00D34A3E">
        <w:rPr>
          <w:rFonts w:ascii="Times New Roman" w:eastAsia="Times New Roman" w:hAnsi="Times New Roman"/>
          <w:iCs/>
          <w:lang w:val="en-US" w:eastAsia="zh-CN"/>
        </w:rPr>
        <w:t>, noted that "while graduates understand basic environmental principles, they struggle to integrate these concepts into complex operational decision-making that requires balancing multiple stakeholder interests and competing priorities." This perspective was echoed across the experienced professional cohort, with all five participants identifying similar integration challenges.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Recent graduates demonstrated strong theoretical understanding of sustainability principles but acknowledged limitations in applying these concepts to complex professional scenarios. Graduate Participant 1 (GP1), a recent Naval Marine Engineering graduate, explained that "our education provided excellent foundation in environmental science and regulatory requirements, but we need more experience with real-</w:t>
      </w:r>
      <w:r w:rsidRPr="00D34A3E">
        <w:rPr>
          <w:rFonts w:ascii="Times New Roman" w:eastAsia="Times New Roman" w:hAnsi="Times New Roman"/>
          <w:iCs/>
          <w:lang w:val="en-US" w:eastAsia="zh-CN"/>
        </w:rPr>
        <w:lastRenderedPageBreak/>
        <w:t>world applications where sustainability considerations interact with economic and operational constraints." The graduate cohort consistently recognized the value of their sustainability education while identifying needs for enhanced practical application opportunities.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The assessment of current integration effectiveness revealed a Professional Competency Integration Index (PCII) score of 6.2 out of 10, based on participant evaluations across multiple competency dimensions. This score reflects adequate foundational knowledge development but significant gaps in application capabilities and transdisciplinary integration skills. The Educational-Professional Alignment Coefficient (EPAC) scored 5.8 out of 10, indicating moderate alignment between educational content and professional requirements with substantial opportunities for improvement.</w:t>
      </w:r>
    </w:p>
    <w:p w:rsidR="00D34A3E" w:rsidRDefault="00D34A3E" w:rsidP="00D34A3E">
      <w:pPr>
        <w:autoSpaceDE w:val="0"/>
        <w:autoSpaceDN w:val="0"/>
        <w:adjustRightInd w:val="0"/>
        <w:spacing w:after="0" w:line="240" w:lineRule="auto"/>
        <w:jc w:val="both"/>
        <w:rPr>
          <w:rFonts w:ascii="Times New Roman" w:eastAsia="Times New Roman" w:hAnsi="Times New Roman"/>
          <w:b/>
          <w:bCs/>
          <w:iCs/>
          <w:lang w:val="en-US" w:eastAsia="zh-CN"/>
        </w:rPr>
      </w:pPr>
    </w:p>
    <w:p w:rsidR="00D34A3E" w:rsidRPr="00D34A3E" w:rsidRDefault="00D34A3E" w:rsidP="00D34A3E">
      <w:pPr>
        <w:autoSpaceDE w:val="0"/>
        <w:autoSpaceDN w:val="0"/>
        <w:adjustRightInd w:val="0"/>
        <w:spacing w:after="0" w:line="240" w:lineRule="auto"/>
        <w:jc w:val="both"/>
        <w:rPr>
          <w:rFonts w:ascii="Times New Roman" w:eastAsia="Times New Roman" w:hAnsi="Times New Roman"/>
          <w:b/>
          <w:bCs/>
          <w:i/>
          <w:lang w:val="en-US" w:eastAsia="zh-CN"/>
        </w:rPr>
      </w:pPr>
      <w:r w:rsidRPr="00D34A3E">
        <w:rPr>
          <w:rFonts w:ascii="Times New Roman" w:eastAsia="Times New Roman" w:hAnsi="Times New Roman"/>
          <w:b/>
          <w:bCs/>
          <w:i/>
          <w:lang w:val="en-US" w:eastAsia="zh-CN"/>
        </w:rPr>
        <w:t>Theme 2: Transdisciplinary Competency Development</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Participants consistently emphasized the critical importance of developing transdisciplinary thinking capabilities that enable effective integration of technical maritime knowledge with environmental science, social responsibility, and economic analysis. Experienced professionals identified transdisciplinary competency as the distinguishing factor between professionals who successfully implement sustainability initiatives and those who struggle with integration challenges. PP3, a maritime consultant with extensive industry experience, observed that "the most effective sustainability leaders in our industry are those who can think across disciplines and understand how environmental initiatives create business value while addressing social responsibilities."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Graduate participants recognized transdisciplinary competency development as a primary educational need but noted limited opportunities within current curricula for developing these capabilities. GP3, a Port and Shipping Engineering graduate, explained that "our program covered each subject area thoroughly but provided limited opportunities to integrate knowledge across disciplines in ways that mirror real professional challenges." This sentiment was consistent across the graduate cohort, indicating systematic gaps in transdisciplinary education approaches.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Assessment of transdisciplinary competency development revealed significant variations based on educational program characteristics and individual learning experiences. Participants who had engaged in interdisciplinary projects, industry collaborations, or problem-based learning demonstrated stronger transdisciplinary thinking capabilities. The results indicate that specific pedagogical approaches can effectively enhance transdisciplinary competency </w:t>
      </w:r>
      <w:r w:rsidRPr="00D34A3E">
        <w:rPr>
          <w:rFonts w:ascii="Times New Roman" w:eastAsia="Times New Roman" w:hAnsi="Times New Roman"/>
          <w:iCs/>
          <w:lang w:val="en-US" w:eastAsia="zh-CN"/>
        </w:rPr>
        <w:t>development, but these approaches are not consistently implemented across maritime education programs.</w:t>
      </w:r>
    </w:p>
    <w:p w:rsidR="00D34A3E" w:rsidRDefault="00D34A3E" w:rsidP="00D34A3E">
      <w:pPr>
        <w:autoSpaceDE w:val="0"/>
        <w:autoSpaceDN w:val="0"/>
        <w:adjustRightInd w:val="0"/>
        <w:spacing w:after="0" w:line="240" w:lineRule="auto"/>
        <w:jc w:val="both"/>
        <w:rPr>
          <w:rFonts w:ascii="Times New Roman" w:eastAsia="Times New Roman" w:hAnsi="Times New Roman"/>
          <w:b/>
          <w:bCs/>
          <w:iCs/>
          <w:lang w:val="en-US" w:eastAsia="zh-CN"/>
        </w:rPr>
      </w:pPr>
    </w:p>
    <w:p w:rsidR="00D34A3E" w:rsidRPr="00D34A3E" w:rsidRDefault="00D34A3E" w:rsidP="00D34A3E">
      <w:pPr>
        <w:autoSpaceDE w:val="0"/>
        <w:autoSpaceDN w:val="0"/>
        <w:adjustRightInd w:val="0"/>
        <w:spacing w:after="0" w:line="240" w:lineRule="auto"/>
        <w:jc w:val="both"/>
        <w:rPr>
          <w:rFonts w:ascii="Times New Roman" w:eastAsia="Times New Roman" w:hAnsi="Times New Roman"/>
          <w:b/>
          <w:bCs/>
          <w:i/>
          <w:lang w:val="en-US" w:eastAsia="zh-CN"/>
        </w:rPr>
      </w:pPr>
      <w:r w:rsidRPr="00D34A3E">
        <w:rPr>
          <w:rFonts w:ascii="Times New Roman" w:eastAsia="Times New Roman" w:hAnsi="Times New Roman"/>
          <w:b/>
          <w:bCs/>
          <w:i/>
          <w:lang w:val="en-US" w:eastAsia="zh-CN"/>
        </w:rPr>
        <w:t>Theme 3: Professional Development Trajectories and Continuing Education</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Analysis revealed distinct professional development patterns related to sustainability competency enhancement following formal education completion. Experienced professionals demonstrated continuous learning approaches that enabled ongoing sustainability competency development through professional experience, industry collaboration, and informal learning opportunities. PP2, a former shipping company manager, noted that "my real sustainability education occurred through professional challenges that required learning about environmental regulations, stakeholder engagement, and business case development for sustainability initiatives."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Recent graduates expressed strong motivation for continued sustainability competency development but identified limited access to structured continuing education opportunities that address transdisciplinary integration challenges. GP2, a Nautical Deck Engineering graduate, explained that "while we want to continue developing sustainability competencies, there are few professional development programs that effectively address the integration challenges we encounter in professional practice." This indicates significant opportunities for enhanced continuing education program development.</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The analysis revealed that professionals who successfully develop advanced sustainability competencies typically engage in multiple learning modalities including formal training, professional collaboration, industry engagement, and self-directed learning. However, access to these learning opportunities varies significantly based on employer support, geographic location, and individual initiative, suggesting need for more systematic continuing education approaches.</w:t>
      </w:r>
    </w:p>
    <w:p w:rsidR="00D34A3E" w:rsidRDefault="00D34A3E" w:rsidP="00D34A3E">
      <w:pPr>
        <w:autoSpaceDE w:val="0"/>
        <w:autoSpaceDN w:val="0"/>
        <w:adjustRightInd w:val="0"/>
        <w:spacing w:after="0" w:line="240" w:lineRule="auto"/>
        <w:jc w:val="both"/>
        <w:rPr>
          <w:rFonts w:ascii="Times New Roman" w:eastAsia="Times New Roman" w:hAnsi="Times New Roman"/>
          <w:b/>
          <w:bCs/>
          <w:iCs/>
          <w:lang w:val="en-US" w:eastAsia="zh-CN"/>
        </w:rPr>
      </w:pPr>
    </w:p>
    <w:p w:rsidR="00D34A3E" w:rsidRPr="00D34A3E" w:rsidRDefault="00D34A3E" w:rsidP="00D34A3E">
      <w:pPr>
        <w:autoSpaceDE w:val="0"/>
        <w:autoSpaceDN w:val="0"/>
        <w:adjustRightInd w:val="0"/>
        <w:spacing w:after="0" w:line="240" w:lineRule="auto"/>
        <w:jc w:val="both"/>
        <w:rPr>
          <w:rFonts w:ascii="Times New Roman" w:eastAsia="Times New Roman" w:hAnsi="Times New Roman"/>
          <w:b/>
          <w:bCs/>
          <w:i/>
          <w:lang w:val="en-US" w:eastAsia="zh-CN"/>
        </w:rPr>
      </w:pPr>
      <w:r w:rsidRPr="00D34A3E">
        <w:rPr>
          <w:rFonts w:ascii="Times New Roman" w:eastAsia="Times New Roman" w:hAnsi="Times New Roman"/>
          <w:b/>
          <w:bCs/>
          <w:i/>
          <w:lang w:val="en-US" w:eastAsia="zh-CN"/>
        </w:rPr>
        <w:t>Theme 4: Industry-Education Partnership Enhancement</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Participants consistently identified industry-education partnerships as critical factors in educational effectiveness but noted significant variations in partnership quality and impact. Experienced professionals emphasized that effective partnerships require genuine collaboration that addresses real industry challenges while providing meaningful learning experiences for students. PP4, a port development advisor, observed that "the most effective educational partnerships involve students in real sustainability projects where they can apply theoretical knowledge to address actual industry challenges while receiving mentorship from experienced professionals."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lastRenderedPageBreak/>
        <w:t>Graduate participants valued industry partnership experiences but noted inconsistencies in partnership quality and learning outcomes. GP4, a recent graduate with extensive industry internship experience, explained that "some partnerships provided excellent learning opportunities with meaningful projects and professional mentorship, while others involved routine tasks that provided limited educational value." This indicates need for enhanced partnership development and quality assurance processes.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Analysis of partnership effectiveness revealed that successful collaborations share common characteristics including clear learning objectives, structured mentorship, authentic project engagement, and systematic reflection on learning outcomes. These partnerships consistently produce stronger graduate preparedness for professional sustainability challenges, indicating potential for scaling effective partnership models across maritime education institutions.</w:t>
      </w:r>
    </w:p>
    <w:p w:rsidR="00D34A3E" w:rsidRPr="00D34A3E" w:rsidRDefault="00D34A3E" w:rsidP="00D34A3E">
      <w:pPr>
        <w:autoSpaceDE w:val="0"/>
        <w:autoSpaceDN w:val="0"/>
        <w:adjustRightInd w:val="0"/>
        <w:spacing w:after="0" w:line="240" w:lineRule="auto"/>
        <w:jc w:val="both"/>
        <w:rPr>
          <w:rFonts w:ascii="Times New Roman" w:eastAsia="Times New Roman" w:hAnsi="Times New Roman"/>
          <w:b/>
          <w:bCs/>
          <w:iCs/>
          <w:lang w:val="en-US" w:eastAsia="zh-CN"/>
        </w:rPr>
      </w:pPr>
      <w:r w:rsidRPr="00D34A3E">
        <w:rPr>
          <w:rFonts w:ascii="Times New Roman" w:eastAsia="Times New Roman" w:hAnsi="Times New Roman"/>
          <w:b/>
          <w:bCs/>
          <w:iCs/>
          <w:lang w:val="en-US" w:eastAsia="zh-CN"/>
        </w:rPr>
        <w:t>Quantitative Assessment of Qualitative Findings</w:t>
      </w:r>
    </w:p>
    <w:p w:rsidR="00D34A3E" w:rsidRDefault="00D34A3E" w:rsidP="00D34A3E">
      <w:pPr>
        <w:autoSpaceDE w:val="0"/>
        <w:autoSpaceDN w:val="0"/>
        <w:adjustRightInd w:val="0"/>
        <w:spacing w:after="0" w:line="240" w:lineRule="auto"/>
        <w:jc w:val="both"/>
        <w:rPr>
          <w:rFonts w:ascii="Times New Roman" w:eastAsia="Times New Roman" w:hAnsi="Times New Roman"/>
          <w:b/>
          <w:bCs/>
          <w:iCs/>
          <w:lang w:val="en-US" w:eastAsia="zh-CN"/>
        </w:rPr>
      </w:pPr>
    </w:p>
    <w:p w:rsidR="00D34A3E" w:rsidRPr="00D34A3E" w:rsidRDefault="00D34A3E" w:rsidP="00D34A3E">
      <w:pPr>
        <w:autoSpaceDE w:val="0"/>
        <w:autoSpaceDN w:val="0"/>
        <w:adjustRightInd w:val="0"/>
        <w:spacing w:after="0" w:line="240" w:lineRule="auto"/>
        <w:jc w:val="both"/>
        <w:rPr>
          <w:rFonts w:ascii="Times New Roman" w:eastAsia="Times New Roman" w:hAnsi="Times New Roman"/>
          <w:b/>
          <w:bCs/>
          <w:i/>
          <w:lang w:val="en-US" w:eastAsia="zh-CN"/>
        </w:rPr>
      </w:pPr>
      <w:r w:rsidRPr="00D34A3E">
        <w:rPr>
          <w:rFonts w:ascii="Times New Roman" w:eastAsia="Times New Roman" w:hAnsi="Times New Roman"/>
          <w:b/>
          <w:bCs/>
          <w:i/>
          <w:lang w:val="en-US" w:eastAsia="zh-CN"/>
        </w:rPr>
        <w:t>Sustainability Competency Development Assessment</w:t>
      </w:r>
    </w:p>
    <w:tbl>
      <w:tblPr>
        <w:tblStyle w:val="TableGrid"/>
        <w:tblW w:w="0" w:type="auto"/>
        <w:tblLook w:val="04A0" w:firstRow="1" w:lastRow="0" w:firstColumn="1" w:lastColumn="0" w:noHBand="0" w:noVBand="1"/>
      </w:tblPr>
      <w:tblGrid>
        <w:gridCol w:w="1104"/>
        <w:gridCol w:w="996"/>
        <w:gridCol w:w="996"/>
        <w:gridCol w:w="747"/>
        <w:gridCol w:w="1013"/>
      </w:tblGrid>
      <w:tr w:rsidR="00D34A3E" w:rsidRPr="00D34A3E" w:rsidTr="00D34A3E">
        <w:tc>
          <w:tcPr>
            <w:tcW w:w="0" w:type="auto"/>
            <w:hideMark/>
          </w:tcPr>
          <w:p w:rsidR="00D34A3E" w:rsidRPr="00D34A3E" w:rsidRDefault="00D34A3E" w:rsidP="00D34A3E">
            <w:pPr>
              <w:pStyle w:val="NoSpacing"/>
              <w:jc w:val="center"/>
              <w:rPr>
                <w:b/>
                <w:bCs/>
                <w:sz w:val="20"/>
                <w:szCs w:val="20"/>
                <w:lang w:val="en-US" w:eastAsia="zh-CN"/>
              </w:rPr>
            </w:pPr>
            <w:r w:rsidRPr="00D34A3E">
              <w:rPr>
                <w:b/>
                <w:bCs/>
                <w:sz w:val="20"/>
                <w:szCs w:val="20"/>
                <w:lang w:val="en-US" w:eastAsia="zh-CN"/>
              </w:rPr>
              <w:t>Competency Domain</w:t>
            </w:r>
          </w:p>
        </w:tc>
        <w:tc>
          <w:tcPr>
            <w:tcW w:w="0" w:type="auto"/>
            <w:hideMark/>
          </w:tcPr>
          <w:p w:rsidR="00D34A3E" w:rsidRPr="00D34A3E" w:rsidRDefault="00D34A3E" w:rsidP="00D34A3E">
            <w:pPr>
              <w:pStyle w:val="NoSpacing"/>
              <w:jc w:val="center"/>
              <w:rPr>
                <w:b/>
                <w:bCs/>
                <w:sz w:val="20"/>
                <w:szCs w:val="20"/>
                <w:lang w:val="en-US" w:eastAsia="zh-CN"/>
              </w:rPr>
            </w:pPr>
            <w:r w:rsidRPr="00D34A3E">
              <w:rPr>
                <w:b/>
                <w:bCs/>
                <w:sz w:val="20"/>
                <w:szCs w:val="20"/>
                <w:lang w:val="en-US" w:eastAsia="zh-CN"/>
              </w:rPr>
              <w:t>Expert Professional Score (1-10)</w:t>
            </w:r>
          </w:p>
        </w:tc>
        <w:tc>
          <w:tcPr>
            <w:tcW w:w="0" w:type="auto"/>
            <w:hideMark/>
          </w:tcPr>
          <w:p w:rsidR="00D34A3E" w:rsidRPr="00D34A3E" w:rsidRDefault="00D34A3E" w:rsidP="00D34A3E">
            <w:pPr>
              <w:pStyle w:val="NoSpacing"/>
              <w:jc w:val="center"/>
              <w:rPr>
                <w:b/>
                <w:bCs/>
                <w:sz w:val="20"/>
                <w:szCs w:val="20"/>
                <w:lang w:val="en-US" w:eastAsia="zh-CN"/>
              </w:rPr>
            </w:pPr>
            <w:r w:rsidRPr="00D34A3E">
              <w:rPr>
                <w:b/>
                <w:bCs/>
                <w:sz w:val="20"/>
                <w:szCs w:val="20"/>
                <w:lang w:val="en-US" w:eastAsia="zh-CN"/>
              </w:rPr>
              <w:t>Graduate Professional Score (1-10)</w:t>
            </w:r>
          </w:p>
        </w:tc>
        <w:tc>
          <w:tcPr>
            <w:tcW w:w="0" w:type="auto"/>
            <w:hideMark/>
          </w:tcPr>
          <w:p w:rsidR="00D34A3E" w:rsidRPr="00D34A3E" w:rsidRDefault="00D34A3E" w:rsidP="00D34A3E">
            <w:pPr>
              <w:pStyle w:val="NoSpacing"/>
              <w:jc w:val="center"/>
              <w:rPr>
                <w:b/>
                <w:bCs/>
                <w:sz w:val="20"/>
                <w:szCs w:val="20"/>
                <w:lang w:val="en-US" w:eastAsia="zh-CN"/>
              </w:rPr>
            </w:pPr>
            <w:r w:rsidRPr="00D34A3E">
              <w:rPr>
                <w:b/>
                <w:bCs/>
                <w:sz w:val="20"/>
                <w:szCs w:val="20"/>
                <w:lang w:val="en-US" w:eastAsia="zh-CN"/>
              </w:rPr>
              <w:t>Overall Average</w:t>
            </w:r>
          </w:p>
        </w:tc>
        <w:tc>
          <w:tcPr>
            <w:tcW w:w="0" w:type="auto"/>
            <w:hideMark/>
          </w:tcPr>
          <w:p w:rsidR="00D34A3E" w:rsidRPr="00D34A3E" w:rsidRDefault="00D34A3E" w:rsidP="00D34A3E">
            <w:pPr>
              <w:pStyle w:val="NoSpacing"/>
              <w:jc w:val="center"/>
              <w:rPr>
                <w:b/>
                <w:bCs/>
                <w:sz w:val="20"/>
                <w:szCs w:val="20"/>
                <w:lang w:val="en-US" w:eastAsia="zh-CN"/>
              </w:rPr>
            </w:pPr>
            <w:r w:rsidRPr="00D34A3E">
              <w:rPr>
                <w:b/>
                <w:bCs/>
                <w:sz w:val="20"/>
                <w:szCs w:val="20"/>
                <w:lang w:val="en-US" w:eastAsia="zh-CN"/>
              </w:rPr>
              <w:t>Gap Analysis</w:t>
            </w:r>
          </w:p>
        </w:tc>
      </w:tr>
      <w:tr w:rsidR="00D34A3E" w:rsidRPr="00D34A3E" w:rsidTr="00D34A3E">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Environmental Knowledge</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7.8</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8.2</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8.0</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Graduates stronger</w:t>
            </w:r>
          </w:p>
        </w:tc>
      </w:tr>
      <w:tr w:rsidR="00D34A3E" w:rsidRPr="00D34A3E" w:rsidTr="00D34A3E">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Regulatory Understanding</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8.4</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7.6</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8.0</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Experts stronger</w:t>
            </w:r>
          </w:p>
        </w:tc>
      </w:tr>
      <w:tr w:rsidR="00D34A3E" w:rsidRPr="00D34A3E" w:rsidTr="00D34A3E">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Stakeholder Engagement</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6.2</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5.4</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5.8</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Both need improvement</w:t>
            </w:r>
          </w:p>
        </w:tc>
      </w:tr>
      <w:tr w:rsidR="00D34A3E" w:rsidRPr="00D34A3E" w:rsidTr="00D34A3E">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Economic Integration</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5.8</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4.6</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5.2</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Significant gap</w:t>
            </w:r>
          </w:p>
        </w:tc>
      </w:tr>
      <w:tr w:rsidR="00D34A3E" w:rsidRPr="00D34A3E" w:rsidTr="00D34A3E">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Systems Thinking</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6.4</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5.8</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6.1</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Moderate gap</w:t>
            </w:r>
          </w:p>
        </w:tc>
      </w:tr>
      <w:tr w:rsidR="00D34A3E" w:rsidRPr="00D34A3E" w:rsidTr="00D34A3E">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Practical Application</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5.6</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4.8</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5.2</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Major development need</w:t>
            </w:r>
          </w:p>
        </w:tc>
      </w:tr>
      <w:tr w:rsidR="00D34A3E" w:rsidRPr="00D34A3E" w:rsidTr="00D34A3E">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Overall PCII Score</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6.7</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6.1</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6.4</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Moderate effectiveness</w:t>
            </w:r>
          </w:p>
        </w:tc>
      </w:tr>
    </w:tbl>
    <w:p w:rsidR="00D34A3E" w:rsidRDefault="00D34A3E" w:rsidP="00D34A3E">
      <w:pPr>
        <w:autoSpaceDE w:val="0"/>
        <w:autoSpaceDN w:val="0"/>
        <w:adjustRightInd w:val="0"/>
        <w:spacing w:after="0" w:line="240" w:lineRule="auto"/>
        <w:ind w:firstLine="426"/>
        <w:jc w:val="both"/>
        <w:rPr>
          <w:rFonts w:ascii="Times New Roman" w:eastAsia="Times New Roman" w:hAnsi="Times New Roman"/>
          <w:b/>
          <w:bCs/>
          <w:iCs/>
          <w:lang w:val="en-US" w:eastAsia="zh-CN"/>
        </w:rPr>
      </w:pPr>
    </w:p>
    <w:p w:rsidR="00D34A3E" w:rsidRDefault="00D34A3E" w:rsidP="00D34A3E">
      <w:pPr>
        <w:autoSpaceDE w:val="0"/>
        <w:autoSpaceDN w:val="0"/>
        <w:adjustRightInd w:val="0"/>
        <w:spacing w:after="0" w:line="240" w:lineRule="auto"/>
        <w:ind w:firstLine="426"/>
        <w:jc w:val="both"/>
        <w:rPr>
          <w:rFonts w:ascii="Times New Roman" w:eastAsia="Times New Roman" w:hAnsi="Times New Roman"/>
          <w:b/>
          <w:bCs/>
          <w:iCs/>
          <w:lang w:val="en-US" w:eastAsia="zh-CN"/>
        </w:rPr>
      </w:pPr>
    </w:p>
    <w:p w:rsidR="00D34A3E" w:rsidRDefault="00D34A3E" w:rsidP="00D34A3E">
      <w:pPr>
        <w:autoSpaceDE w:val="0"/>
        <w:autoSpaceDN w:val="0"/>
        <w:adjustRightInd w:val="0"/>
        <w:spacing w:after="0" w:line="240" w:lineRule="auto"/>
        <w:ind w:firstLine="426"/>
        <w:jc w:val="both"/>
        <w:rPr>
          <w:rFonts w:ascii="Times New Roman" w:eastAsia="Times New Roman" w:hAnsi="Times New Roman"/>
          <w:b/>
          <w:bCs/>
          <w:iCs/>
          <w:lang w:val="en-US" w:eastAsia="zh-CN"/>
        </w:rPr>
      </w:pPr>
    </w:p>
    <w:p w:rsidR="00D34A3E" w:rsidRPr="00D34A3E" w:rsidRDefault="00D34A3E" w:rsidP="00D34A3E">
      <w:pPr>
        <w:autoSpaceDE w:val="0"/>
        <w:autoSpaceDN w:val="0"/>
        <w:adjustRightInd w:val="0"/>
        <w:spacing w:after="0" w:line="240" w:lineRule="auto"/>
        <w:jc w:val="both"/>
        <w:rPr>
          <w:rFonts w:ascii="Times New Roman" w:eastAsia="Times New Roman" w:hAnsi="Times New Roman"/>
          <w:b/>
          <w:bCs/>
          <w:i/>
          <w:lang w:val="en-US" w:eastAsia="zh-CN"/>
        </w:rPr>
      </w:pPr>
      <w:r w:rsidRPr="00D34A3E">
        <w:rPr>
          <w:rFonts w:ascii="Times New Roman" w:eastAsia="Times New Roman" w:hAnsi="Times New Roman"/>
          <w:b/>
          <w:bCs/>
          <w:i/>
          <w:lang w:val="en-US" w:eastAsia="zh-CN"/>
        </w:rPr>
        <w:t>Educational Program Effectiveness Assessment</w:t>
      </w:r>
    </w:p>
    <w:tbl>
      <w:tblPr>
        <w:tblStyle w:val="TableGrid"/>
        <w:tblW w:w="0" w:type="auto"/>
        <w:tblLook w:val="04A0" w:firstRow="1" w:lastRow="0" w:firstColumn="1" w:lastColumn="0" w:noHBand="0" w:noVBand="1"/>
      </w:tblPr>
      <w:tblGrid>
        <w:gridCol w:w="1224"/>
        <w:gridCol w:w="888"/>
        <w:gridCol w:w="888"/>
        <w:gridCol w:w="856"/>
        <w:gridCol w:w="1000"/>
      </w:tblGrid>
      <w:tr w:rsidR="00D34A3E" w:rsidRPr="00D34A3E" w:rsidTr="00D34A3E">
        <w:tc>
          <w:tcPr>
            <w:tcW w:w="0" w:type="auto"/>
            <w:hideMark/>
          </w:tcPr>
          <w:p w:rsidR="00D34A3E" w:rsidRPr="00D34A3E" w:rsidRDefault="00D34A3E" w:rsidP="00D34A3E">
            <w:pPr>
              <w:pStyle w:val="NoSpacing"/>
              <w:jc w:val="center"/>
              <w:rPr>
                <w:b/>
                <w:bCs/>
                <w:sz w:val="20"/>
                <w:szCs w:val="20"/>
                <w:lang w:val="en-US" w:eastAsia="zh-CN"/>
              </w:rPr>
            </w:pPr>
            <w:r w:rsidRPr="00D34A3E">
              <w:rPr>
                <w:b/>
                <w:bCs/>
                <w:sz w:val="20"/>
                <w:szCs w:val="20"/>
                <w:lang w:val="en-US" w:eastAsia="zh-CN"/>
              </w:rPr>
              <w:t>Program Component</w:t>
            </w:r>
          </w:p>
        </w:tc>
        <w:tc>
          <w:tcPr>
            <w:tcW w:w="0" w:type="auto"/>
            <w:hideMark/>
          </w:tcPr>
          <w:p w:rsidR="00D34A3E" w:rsidRPr="00D34A3E" w:rsidRDefault="00D34A3E" w:rsidP="00D34A3E">
            <w:pPr>
              <w:pStyle w:val="NoSpacing"/>
              <w:jc w:val="center"/>
              <w:rPr>
                <w:b/>
                <w:bCs/>
                <w:sz w:val="20"/>
                <w:szCs w:val="20"/>
                <w:lang w:val="en-US" w:eastAsia="zh-CN"/>
              </w:rPr>
            </w:pPr>
            <w:r w:rsidRPr="00D34A3E">
              <w:rPr>
                <w:b/>
                <w:bCs/>
                <w:sz w:val="20"/>
                <w:szCs w:val="20"/>
                <w:lang w:val="en-US" w:eastAsia="zh-CN"/>
              </w:rPr>
              <w:t>Expert Evaluation (1-10)</w:t>
            </w:r>
          </w:p>
        </w:tc>
        <w:tc>
          <w:tcPr>
            <w:tcW w:w="0" w:type="auto"/>
            <w:hideMark/>
          </w:tcPr>
          <w:p w:rsidR="00D34A3E" w:rsidRPr="00D34A3E" w:rsidRDefault="00D34A3E" w:rsidP="00D34A3E">
            <w:pPr>
              <w:pStyle w:val="NoSpacing"/>
              <w:jc w:val="center"/>
              <w:rPr>
                <w:b/>
                <w:bCs/>
                <w:sz w:val="20"/>
                <w:szCs w:val="20"/>
                <w:lang w:val="en-US" w:eastAsia="zh-CN"/>
              </w:rPr>
            </w:pPr>
            <w:r w:rsidRPr="00D34A3E">
              <w:rPr>
                <w:b/>
                <w:bCs/>
                <w:sz w:val="20"/>
                <w:szCs w:val="20"/>
                <w:lang w:val="en-US" w:eastAsia="zh-CN"/>
              </w:rPr>
              <w:t>Graduate Evaluation (1-10)</w:t>
            </w:r>
          </w:p>
        </w:tc>
        <w:tc>
          <w:tcPr>
            <w:tcW w:w="0" w:type="auto"/>
            <w:hideMark/>
          </w:tcPr>
          <w:p w:rsidR="00D34A3E" w:rsidRPr="00D34A3E" w:rsidRDefault="00D34A3E" w:rsidP="00D34A3E">
            <w:pPr>
              <w:pStyle w:val="NoSpacing"/>
              <w:jc w:val="center"/>
              <w:rPr>
                <w:b/>
                <w:bCs/>
                <w:sz w:val="20"/>
                <w:szCs w:val="20"/>
                <w:lang w:val="en-US" w:eastAsia="zh-CN"/>
              </w:rPr>
            </w:pPr>
            <w:r w:rsidRPr="00D34A3E">
              <w:rPr>
                <w:b/>
                <w:bCs/>
                <w:sz w:val="20"/>
                <w:szCs w:val="20"/>
                <w:lang w:val="en-US" w:eastAsia="zh-CN"/>
              </w:rPr>
              <w:t>Combined Score</w:t>
            </w:r>
          </w:p>
        </w:tc>
        <w:tc>
          <w:tcPr>
            <w:tcW w:w="0" w:type="auto"/>
            <w:hideMark/>
          </w:tcPr>
          <w:p w:rsidR="00D34A3E" w:rsidRPr="00D34A3E" w:rsidRDefault="00D34A3E" w:rsidP="00D34A3E">
            <w:pPr>
              <w:pStyle w:val="NoSpacing"/>
              <w:jc w:val="center"/>
              <w:rPr>
                <w:b/>
                <w:bCs/>
                <w:sz w:val="20"/>
                <w:szCs w:val="20"/>
                <w:lang w:val="en-US" w:eastAsia="zh-CN"/>
              </w:rPr>
            </w:pPr>
            <w:r w:rsidRPr="00D34A3E">
              <w:rPr>
                <w:b/>
                <w:bCs/>
                <w:sz w:val="20"/>
                <w:szCs w:val="20"/>
                <w:lang w:val="en-US" w:eastAsia="zh-CN"/>
              </w:rPr>
              <w:t>Priority Level</w:t>
            </w:r>
          </w:p>
        </w:tc>
      </w:tr>
      <w:tr w:rsidR="00D34A3E" w:rsidRPr="00D34A3E" w:rsidTr="00D34A3E">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Theoretical Foundation</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7.6</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8.4</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8.0</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Satisfactory</w:t>
            </w:r>
          </w:p>
        </w:tc>
      </w:tr>
      <w:tr w:rsidR="00D34A3E" w:rsidRPr="00D34A3E" w:rsidTr="00D34A3E">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Practical Training</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6.2</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6.8</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6.5</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Needs Enhancement</w:t>
            </w:r>
          </w:p>
        </w:tc>
      </w:tr>
      <w:tr w:rsidR="00D34A3E" w:rsidRPr="00D34A3E" w:rsidTr="00D34A3E">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Industry Integration</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5.4</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6.2</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5.8</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Requires Improvement</w:t>
            </w:r>
          </w:p>
        </w:tc>
      </w:tr>
      <w:tr w:rsidR="00D34A3E" w:rsidRPr="00D34A3E" w:rsidTr="00D34A3E">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Transdisciplinary Approach</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4.8</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5.2</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5.0</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Critical Need</w:t>
            </w:r>
          </w:p>
        </w:tc>
      </w:tr>
      <w:tr w:rsidR="00D34A3E" w:rsidRPr="00D34A3E" w:rsidTr="00D34A3E">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Assessment Methods</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6.8</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7.2</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7.0</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Adequate</w:t>
            </w:r>
          </w:p>
        </w:tc>
      </w:tr>
      <w:tr w:rsidR="00D34A3E" w:rsidRPr="00D34A3E" w:rsidTr="00D34A3E">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Continuing Education Support</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4.2</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4.6</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4.4</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Major Gap</w:t>
            </w:r>
          </w:p>
        </w:tc>
      </w:tr>
      <w:tr w:rsidR="00D34A3E" w:rsidRPr="00D34A3E" w:rsidTr="00D34A3E">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Overall EPAC Score</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5.8</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6.4</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6.1</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Moderate Alignment</w:t>
            </w:r>
          </w:p>
        </w:tc>
      </w:tr>
    </w:tbl>
    <w:p w:rsidR="00D34A3E" w:rsidRDefault="00D34A3E" w:rsidP="00D34A3E">
      <w:pPr>
        <w:autoSpaceDE w:val="0"/>
        <w:autoSpaceDN w:val="0"/>
        <w:adjustRightInd w:val="0"/>
        <w:spacing w:after="0" w:line="240" w:lineRule="auto"/>
        <w:ind w:firstLine="426"/>
        <w:jc w:val="both"/>
        <w:rPr>
          <w:rFonts w:ascii="Times New Roman" w:eastAsia="Times New Roman" w:hAnsi="Times New Roman"/>
          <w:b/>
          <w:bCs/>
          <w:iCs/>
          <w:lang w:val="en-US" w:eastAsia="zh-CN"/>
        </w:rPr>
      </w:pPr>
    </w:p>
    <w:p w:rsidR="00D34A3E" w:rsidRPr="00D34A3E" w:rsidRDefault="00D34A3E" w:rsidP="00D34A3E">
      <w:pPr>
        <w:autoSpaceDE w:val="0"/>
        <w:autoSpaceDN w:val="0"/>
        <w:adjustRightInd w:val="0"/>
        <w:spacing w:after="0" w:line="240" w:lineRule="auto"/>
        <w:jc w:val="both"/>
        <w:rPr>
          <w:rFonts w:ascii="Times New Roman" w:eastAsia="Times New Roman" w:hAnsi="Times New Roman"/>
          <w:b/>
          <w:bCs/>
          <w:i/>
          <w:lang w:val="en-US" w:eastAsia="zh-CN"/>
        </w:rPr>
      </w:pPr>
      <w:r w:rsidRPr="00D34A3E">
        <w:rPr>
          <w:rFonts w:ascii="Times New Roman" w:eastAsia="Times New Roman" w:hAnsi="Times New Roman"/>
          <w:b/>
          <w:bCs/>
          <w:i/>
          <w:lang w:val="en-US" w:eastAsia="zh-CN"/>
        </w:rPr>
        <w:t>Professional Preparedness Assessment</w:t>
      </w:r>
    </w:p>
    <w:tbl>
      <w:tblPr>
        <w:tblStyle w:val="TableGrid"/>
        <w:tblW w:w="0" w:type="auto"/>
        <w:tblLook w:val="04A0" w:firstRow="1" w:lastRow="0" w:firstColumn="1" w:lastColumn="0" w:noHBand="0" w:noVBand="1"/>
      </w:tblPr>
      <w:tblGrid>
        <w:gridCol w:w="1064"/>
        <w:gridCol w:w="934"/>
        <w:gridCol w:w="934"/>
        <w:gridCol w:w="885"/>
        <w:gridCol w:w="1039"/>
      </w:tblGrid>
      <w:tr w:rsidR="00D34A3E" w:rsidRPr="00D34A3E" w:rsidTr="00D34A3E">
        <w:tc>
          <w:tcPr>
            <w:tcW w:w="0" w:type="auto"/>
            <w:hideMark/>
          </w:tcPr>
          <w:p w:rsidR="00D34A3E" w:rsidRPr="00D34A3E" w:rsidRDefault="00D34A3E" w:rsidP="00D34A3E">
            <w:pPr>
              <w:pStyle w:val="NoSpacing"/>
              <w:jc w:val="center"/>
              <w:rPr>
                <w:b/>
                <w:bCs/>
                <w:sz w:val="20"/>
                <w:szCs w:val="20"/>
                <w:lang w:val="en-US" w:eastAsia="zh-CN"/>
              </w:rPr>
            </w:pPr>
            <w:r w:rsidRPr="00D34A3E">
              <w:rPr>
                <w:b/>
                <w:bCs/>
                <w:sz w:val="20"/>
                <w:szCs w:val="20"/>
                <w:lang w:val="en-US" w:eastAsia="zh-CN"/>
              </w:rPr>
              <w:t>Preparedness Dimension</w:t>
            </w:r>
          </w:p>
        </w:tc>
        <w:tc>
          <w:tcPr>
            <w:tcW w:w="0" w:type="auto"/>
            <w:hideMark/>
          </w:tcPr>
          <w:p w:rsidR="00D34A3E" w:rsidRPr="00D34A3E" w:rsidRDefault="00D34A3E" w:rsidP="00D34A3E">
            <w:pPr>
              <w:pStyle w:val="NoSpacing"/>
              <w:jc w:val="center"/>
              <w:rPr>
                <w:b/>
                <w:bCs/>
                <w:sz w:val="20"/>
                <w:szCs w:val="20"/>
                <w:lang w:val="en-US" w:eastAsia="zh-CN"/>
              </w:rPr>
            </w:pPr>
            <w:r w:rsidRPr="00D34A3E">
              <w:rPr>
                <w:b/>
                <w:bCs/>
                <w:sz w:val="20"/>
                <w:szCs w:val="20"/>
                <w:lang w:val="en-US" w:eastAsia="zh-CN"/>
              </w:rPr>
              <w:t>Expert Assessment (1-10)</w:t>
            </w:r>
          </w:p>
        </w:tc>
        <w:tc>
          <w:tcPr>
            <w:tcW w:w="0" w:type="auto"/>
            <w:hideMark/>
          </w:tcPr>
          <w:p w:rsidR="00D34A3E" w:rsidRPr="00D34A3E" w:rsidRDefault="00D34A3E" w:rsidP="00D34A3E">
            <w:pPr>
              <w:pStyle w:val="NoSpacing"/>
              <w:jc w:val="center"/>
              <w:rPr>
                <w:b/>
                <w:bCs/>
                <w:sz w:val="20"/>
                <w:szCs w:val="20"/>
                <w:lang w:val="en-US" w:eastAsia="zh-CN"/>
              </w:rPr>
            </w:pPr>
            <w:r w:rsidRPr="00D34A3E">
              <w:rPr>
                <w:b/>
                <w:bCs/>
                <w:sz w:val="20"/>
                <w:szCs w:val="20"/>
                <w:lang w:val="en-US" w:eastAsia="zh-CN"/>
              </w:rPr>
              <w:t>Graduate Self-Assessment (1-10)</w:t>
            </w:r>
          </w:p>
        </w:tc>
        <w:tc>
          <w:tcPr>
            <w:tcW w:w="0" w:type="auto"/>
            <w:hideMark/>
          </w:tcPr>
          <w:p w:rsidR="00D34A3E" w:rsidRPr="00D34A3E" w:rsidRDefault="00D34A3E" w:rsidP="00D34A3E">
            <w:pPr>
              <w:pStyle w:val="NoSpacing"/>
              <w:jc w:val="center"/>
              <w:rPr>
                <w:b/>
                <w:bCs/>
                <w:sz w:val="20"/>
                <w:szCs w:val="20"/>
                <w:lang w:val="en-US" w:eastAsia="zh-CN"/>
              </w:rPr>
            </w:pPr>
            <w:r w:rsidRPr="00D34A3E">
              <w:rPr>
                <w:b/>
                <w:bCs/>
                <w:sz w:val="20"/>
                <w:szCs w:val="20"/>
                <w:lang w:val="en-US" w:eastAsia="zh-CN"/>
              </w:rPr>
              <w:t>Composite Score</w:t>
            </w:r>
          </w:p>
        </w:tc>
        <w:tc>
          <w:tcPr>
            <w:tcW w:w="0" w:type="auto"/>
            <w:hideMark/>
          </w:tcPr>
          <w:p w:rsidR="00D34A3E" w:rsidRPr="00D34A3E" w:rsidRDefault="00D34A3E" w:rsidP="00D34A3E">
            <w:pPr>
              <w:pStyle w:val="NoSpacing"/>
              <w:jc w:val="center"/>
              <w:rPr>
                <w:b/>
                <w:bCs/>
                <w:sz w:val="20"/>
                <w:szCs w:val="20"/>
                <w:lang w:val="en-US" w:eastAsia="zh-CN"/>
              </w:rPr>
            </w:pPr>
            <w:r w:rsidRPr="00D34A3E">
              <w:rPr>
                <w:b/>
                <w:bCs/>
                <w:sz w:val="20"/>
                <w:szCs w:val="20"/>
                <w:lang w:val="en-US" w:eastAsia="zh-CN"/>
              </w:rPr>
              <w:t>Development Priority</w:t>
            </w:r>
          </w:p>
        </w:tc>
      </w:tr>
      <w:tr w:rsidR="00D34A3E" w:rsidRPr="00D34A3E" w:rsidTr="00D34A3E">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Technical Competency</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8.2</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7.8</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8.0</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Satisfactory</w:t>
            </w:r>
          </w:p>
        </w:tc>
      </w:tr>
      <w:tr w:rsidR="00D34A3E" w:rsidRPr="00D34A3E" w:rsidTr="00D34A3E">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Sustainability Knowledge</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6.8</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7.4</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7.1</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Good Foundation</w:t>
            </w:r>
          </w:p>
        </w:tc>
      </w:tr>
      <w:tr w:rsidR="00D34A3E" w:rsidRPr="00D34A3E" w:rsidTr="00D34A3E">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Integration Skills</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5.2</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4.8</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5.0</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High Priority</w:t>
            </w:r>
          </w:p>
        </w:tc>
      </w:tr>
      <w:tr w:rsidR="00D34A3E" w:rsidRPr="00D34A3E" w:rsidTr="00D34A3E">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Leadership Capability</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4.6</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5.2</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4.9</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Critical Need</w:t>
            </w:r>
          </w:p>
        </w:tc>
      </w:tr>
      <w:tr w:rsidR="00D34A3E" w:rsidRPr="00D34A3E" w:rsidTr="00D34A3E">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Adaptability</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6.4</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6.8</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6.6</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Moderate</w:t>
            </w:r>
          </w:p>
        </w:tc>
      </w:tr>
      <w:tr w:rsidR="00D34A3E" w:rsidRPr="00D34A3E" w:rsidTr="00D34A3E">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Innovation Capacity</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5.6</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6.2</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5.9</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Enhancement Needed</w:t>
            </w:r>
          </w:p>
        </w:tc>
      </w:tr>
      <w:tr w:rsidR="00D34A3E" w:rsidRPr="00D34A3E" w:rsidTr="00D34A3E">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Overall Preparedness</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6.1</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6.4</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6.25</w:t>
            </w:r>
          </w:p>
        </w:tc>
        <w:tc>
          <w:tcPr>
            <w:tcW w:w="0" w:type="auto"/>
            <w:hideMark/>
          </w:tcPr>
          <w:p w:rsidR="00D34A3E" w:rsidRPr="00D34A3E" w:rsidRDefault="00D34A3E" w:rsidP="00D34A3E">
            <w:pPr>
              <w:pStyle w:val="NoSpacing"/>
              <w:jc w:val="center"/>
              <w:rPr>
                <w:sz w:val="20"/>
                <w:szCs w:val="20"/>
                <w:lang w:val="en-US" w:eastAsia="zh-CN"/>
              </w:rPr>
            </w:pPr>
            <w:r w:rsidRPr="00D34A3E">
              <w:rPr>
                <w:sz w:val="20"/>
                <w:szCs w:val="20"/>
                <w:lang w:val="en-US" w:eastAsia="zh-CN"/>
              </w:rPr>
              <w:t>Moderate Level</w:t>
            </w:r>
          </w:p>
        </w:tc>
      </w:tr>
    </w:tbl>
    <w:p w:rsidR="00D34A3E" w:rsidRDefault="00D34A3E" w:rsidP="00D34A3E">
      <w:pPr>
        <w:autoSpaceDE w:val="0"/>
        <w:autoSpaceDN w:val="0"/>
        <w:adjustRightInd w:val="0"/>
        <w:spacing w:after="0" w:line="240" w:lineRule="auto"/>
        <w:ind w:firstLine="426"/>
        <w:jc w:val="both"/>
        <w:rPr>
          <w:rFonts w:ascii="Times New Roman" w:eastAsia="Times New Roman" w:hAnsi="Times New Roman"/>
          <w:b/>
          <w:bCs/>
          <w:iCs/>
          <w:lang w:val="en-US" w:eastAsia="zh-CN"/>
        </w:rPr>
      </w:pP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D34A3E">
        <w:rPr>
          <w:rFonts w:ascii="Times New Roman" w:eastAsia="Times New Roman" w:hAnsi="Times New Roman"/>
          <w:b/>
          <w:bCs/>
          <w:iCs/>
          <w:lang w:val="en-US" w:eastAsia="zh-CN"/>
        </w:rPr>
        <w:t>Cross-Group Comparative Analysis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D34A3E">
        <w:rPr>
          <w:rFonts w:ascii="Times New Roman" w:eastAsia="Times New Roman" w:hAnsi="Times New Roman"/>
          <w:b/>
          <w:bCs/>
          <w:iCs/>
          <w:lang w:val="en-US" w:eastAsia="zh-CN"/>
        </w:rPr>
        <w:t>Convergent Perspectives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Analysis revealed significant convergence between experienced professionals and recent graduates regarding fundamental challenges and opportunities in maritime sustainability education. Both groups recognized the critical importance of sustainability integration for maritime industry transformation and professional effectiveness. Participants consistently identified the need for enhanced transdisciplinary education approaches that better prepare professionals </w:t>
      </w:r>
      <w:r w:rsidRPr="00D34A3E">
        <w:rPr>
          <w:rFonts w:ascii="Times New Roman" w:eastAsia="Times New Roman" w:hAnsi="Times New Roman"/>
          <w:iCs/>
          <w:lang w:val="en-US" w:eastAsia="zh-CN"/>
        </w:rPr>
        <w:lastRenderedPageBreak/>
        <w:t>for complex integration challenges in professional contexts.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Both cohorts emphasized the value of practical application opportunities that enable students to apply theoretical knowledge to real-world challenges while receiving professional mentorship and feedback. The groups converged on recognition that current educational approaches provide adequate foundational knowledge but lack comprehensive integration methodologies necessary for professional effectiveness in sustainability contexts.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D34A3E">
        <w:rPr>
          <w:rFonts w:ascii="Times New Roman" w:eastAsia="Times New Roman" w:hAnsi="Times New Roman"/>
          <w:b/>
          <w:bCs/>
          <w:iCs/>
          <w:lang w:val="en-US" w:eastAsia="zh-CN"/>
        </w:rPr>
        <w:t>Divergent Perspectives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Significant divergence emerged regarding assessment of educational adequacy and professional development priorities. Experienced professionals demonstrated greater skepticism regarding current educational effectiveness and emphasized the critical importance of experiential learning that cannot be replicated in educational settings. Recent graduates expressed more optimistic assessments of educational quality while acknowledging specific areas for improvement.</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Experienced professionals prioritized practical implementation skills and stakeholder engagement capabilities, reflecting their understanding of professional challenges that require these competencies. Recent graduates emphasized theoretical foundation enhancement and technology integration, reflecting their educational experiences and contemporary technological developments in maritime industries.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D34A3E">
        <w:rPr>
          <w:rFonts w:ascii="Times New Roman" w:eastAsia="Times New Roman" w:hAnsi="Times New Roman"/>
          <w:b/>
          <w:bCs/>
          <w:iCs/>
          <w:lang w:val="en-US" w:eastAsia="zh-CN"/>
        </w:rPr>
        <w:t>Professional Development Trajectory Analysis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The comparative analysis revealed distinct professional development patterns that influence perspectives on educational effectiveness and professional preparedness. Experienced professionals demonstrated appreciation for theoretical foundation while emphasizing the critical importance of professional experience in developing advanced sustainability competencies. Their perspectives reflect understanding of complex professional challenges that require integration of theoretical knowledge with practical application skills developed through professional engagement.</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Recent graduates demonstrated strong theoretical preparation and enthusiasm for sustainability integration while acknowledging limitations in practical application capabilities. Their perspectives reflect contemporary educational approaches and immediate professional transition challenges that highlight specific areas where educational enhancement could improve professional preparedness.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D34A3E">
        <w:rPr>
          <w:rFonts w:ascii="Times New Roman" w:eastAsia="Times New Roman" w:hAnsi="Times New Roman"/>
          <w:b/>
          <w:bCs/>
          <w:iCs/>
          <w:lang w:val="en-US" w:eastAsia="zh-CN"/>
        </w:rPr>
        <w:t>Implementation Effectiveness Assessment</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D34A3E">
        <w:rPr>
          <w:rFonts w:ascii="Times New Roman" w:eastAsia="Times New Roman" w:hAnsi="Times New Roman"/>
          <w:b/>
          <w:bCs/>
          <w:iCs/>
          <w:lang w:val="en-US" w:eastAsia="zh-CN"/>
        </w:rPr>
        <w:t>Current Educational Approach Analysis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results indicate that current maritime vocational education approaches achieve moderate effectiveness in sustainability competency development </w:t>
      </w:r>
      <w:r w:rsidRPr="00D34A3E">
        <w:rPr>
          <w:rFonts w:ascii="Times New Roman" w:eastAsia="Times New Roman" w:hAnsi="Times New Roman"/>
          <w:iCs/>
          <w:lang w:val="en-US" w:eastAsia="zh-CN"/>
        </w:rPr>
        <w:t>but fall short of requirements for comprehensive transdisciplinary integration. Educational programs consistently provide strong theoretical foundations in environmental science and regulatory compliance but lack systematic approaches to developing integration skills necessary for professional effectiveness.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Assessment of pedagogical methodologies revealed that traditional lecture-based approaches dominate sustainability education delivery, with limited implementation of experiential learning, case-based analysis, and collaborative problem-solving that better prepare students for professional integration challenges. The most effective educational experiences involved industry partnerships, practical projects, and mentorship opportunities that enabled application of theoretical knowledge to real-world challenges.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D34A3E">
        <w:rPr>
          <w:rFonts w:ascii="Times New Roman" w:eastAsia="Times New Roman" w:hAnsi="Times New Roman"/>
          <w:b/>
          <w:bCs/>
          <w:iCs/>
          <w:lang w:val="en-US" w:eastAsia="zh-CN"/>
        </w:rPr>
        <w:t>Professional Transition Analysis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Analysis of the transition from educational settings to professional practice revealed systematic challenges that indicate opportunities for educational enhancement. Recent graduates consistently reported feeling well-prepared for technical aspects of maritime operations but less confident in addressing sustainability integration challenges that require balancing multiple stakeholder interests and competing priorities.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The transition analysis indicated that graduates who had participated in comprehensive industry partnerships, interdisciplinary projects, and practical application opportunities demonstrated stronger professional preparedness and more successful transition experiences. This suggests that specific educational enhancements could significantly improve graduate preparedness for professional sustainability challenges.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D34A3E">
        <w:rPr>
          <w:rFonts w:ascii="Times New Roman" w:eastAsia="Times New Roman" w:hAnsi="Times New Roman"/>
          <w:b/>
          <w:bCs/>
          <w:iCs/>
          <w:lang w:val="en-US" w:eastAsia="zh-CN"/>
        </w:rPr>
        <w:t>Institutional Capacity Assessment</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The results reveal significant variations in institutional capacity for sustainability education delivery across maritime education programs. Institutions with strong industry partnerships, interdisciplinary faculty collaboration, and practical training facilities demonstrated superior educational outcomes in sustainability competency development. However, these institutional characteristics are not consistently present across maritime education programs, indicating opportunities for institutional capacity enhancement.</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Assessment of faculty development needs revealed that many maritime education faculty require enhanced sustainability competency development to effectively deliver transdisciplinary education. The most effective sustainability education occurred in programs where faculty had both technical maritime expertise and sustainability science knowledge, enabling effective integration of these domains in educational delivery.</w:t>
      </w:r>
    </w:p>
    <w:p w:rsidR="00D34A3E" w:rsidRDefault="00D34A3E" w:rsidP="00D34A3E">
      <w:pPr>
        <w:autoSpaceDE w:val="0"/>
        <w:autoSpaceDN w:val="0"/>
        <w:adjustRightInd w:val="0"/>
        <w:spacing w:after="0" w:line="240" w:lineRule="auto"/>
        <w:jc w:val="both"/>
        <w:rPr>
          <w:rFonts w:ascii="Times New Roman" w:eastAsia="Times New Roman" w:hAnsi="Times New Roman"/>
          <w:b/>
          <w:bCs/>
          <w:iCs/>
          <w:lang w:val="en-US" w:eastAsia="zh-CN"/>
        </w:rPr>
      </w:pPr>
    </w:p>
    <w:p w:rsidR="00D34A3E" w:rsidRPr="00D34A3E" w:rsidRDefault="00D34A3E" w:rsidP="00D34A3E">
      <w:pPr>
        <w:pStyle w:val="Heading1"/>
        <w:numPr>
          <w:ilvl w:val="0"/>
          <w:numId w:val="7"/>
        </w:numPr>
        <w:rPr>
          <w:lang w:val="en-US"/>
        </w:rPr>
      </w:pPr>
      <w:r w:rsidRPr="00D34A3E">
        <w:rPr>
          <w:lang w:val="en-US"/>
        </w:rPr>
        <w:lastRenderedPageBreak/>
        <w:t>Discussion</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findings of this qualitative investigation reveal complex dynamics between maritime vocational education approaches and professional preparedness for sustainability integration that align with broader patterns identified in maritime education research while illuminating specific challenges unique to transdisciplinary competency development. The research demonstrates that while current maritime education programs provide adequate foundational knowledge in sustainability concepts, significant gaps exist in developing the integration capabilities necessary for effective professional application of these concepts in complex maritime operational contexts </w:t>
      </w:r>
      <w:r>
        <w:rPr>
          <w:rFonts w:ascii="Times New Roman" w:eastAsia="Times New Roman" w:hAnsi="Times New Roman"/>
          <w:iCs/>
          <w:lang w:val="en-US" w:eastAsia="zh-CN"/>
        </w:rPr>
        <w:t>[6][11]</w:t>
      </w:r>
      <w:r w:rsidRPr="00D34A3E">
        <w:rPr>
          <w:rFonts w:ascii="Times New Roman" w:eastAsia="Times New Roman" w:hAnsi="Times New Roman"/>
          <w:iCs/>
          <w:lang w:val="en-US" w:eastAsia="zh-CN"/>
        </w:rPr>
        <w:t>.</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identification of moderate Professional Competency Integration Index (PCII) scores averaging 6.4 out of 10 corresponds with existing literature that highlights ongoing challenges in maritime education effectiveness for contemporary professional requirements </w:t>
      </w:r>
      <w:r>
        <w:rPr>
          <w:rFonts w:ascii="Times New Roman" w:eastAsia="Times New Roman" w:hAnsi="Times New Roman"/>
          <w:iCs/>
          <w:lang w:val="en-US" w:eastAsia="zh-CN"/>
        </w:rPr>
        <w:t>[11]</w:t>
      </w:r>
      <w:r w:rsidRPr="00D34A3E">
        <w:rPr>
          <w:rFonts w:ascii="Times New Roman" w:eastAsia="Times New Roman" w:hAnsi="Times New Roman"/>
          <w:iCs/>
          <w:lang w:val="en-US" w:eastAsia="zh-CN"/>
        </w:rPr>
        <w:t xml:space="preserve">. Ghosh et al. previously identified concerns about the adequacy of current maritime education standards for addressing evolving industry needs, and this research extends those findings by specifically examining sustainability competency development </w:t>
      </w:r>
      <w:r>
        <w:rPr>
          <w:rFonts w:ascii="Times New Roman" w:eastAsia="Times New Roman" w:hAnsi="Times New Roman"/>
          <w:iCs/>
          <w:lang w:val="en-US" w:eastAsia="zh-CN"/>
        </w:rPr>
        <w:t>[11]</w:t>
      </w:r>
      <w:r w:rsidRPr="00D34A3E">
        <w:rPr>
          <w:rFonts w:ascii="Times New Roman" w:eastAsia="Times New Roman" w:hAnsi="Times New Roman"/>
          <w:iCs/>
          <w:lang w:val="en-US" w:eastAsia="zh-CN"/>
        </w:rPr>
        <w:t xml:space="preserve">. The moderate Educational-Professional Alignment Coefficient (EPAC) scores of 6.1 indicate systematic misalignment between educational content delivery and professional application requirements, supporting concerns raised in recent maritime education literature about the need for educational transformation to address contemporary challenges </w:t>
      </w:r>
      <w:r>
        <w:rPr>
          <w:rFonts w:ascii="Times New Roman" w:eastAsia="Times New Roman" w:hAnsi="Times New Roman"/>
          <w:iCs/>
          <w:lang w:val="en-US" w:eastAsia="zh-CN"/>
        </w:rPr>
        <w:t>[6]</w:t>
      </w:r>
      <w:r w:rsidRPr="00D34A3E">
        <w:rPr>
          <w:rFonts w:ascii="Times New Roman" w:eastAsia="Times New Roman" w:hAnsi="Times New Roman"/>
          <w:iCs/>
          <w:lang w:val="en-US" w:eastAsia="zh-CN"/>
        </w:rPr>
        <w:t>.</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research findings regarding transdisciplinary competency development challenges align with broader professional education literature that emphasizes the difficulty of developing integration skills that transcend traditional disciplinary boundaries </w:t>
      </w:r>
      <w:r>
        <w:rPr>
          <w:rFonts w:ascii="Times New Roman" w:eastAsia="Times New Roman" w:hAnsi="Times New Roman"/>
          <w:iCs/>
          <w:lang w:val="en-US" w:eastAsia="zh-CN"/>
        </w:rPr>
        <w:t>[13]</w:t>
      </w:r>
      <w:r w:rsidRPr="00D34A3E">
        <w:rPr>
          <w:rFonts w:ascii="Times New Roman" w:eastAsia="Times New Roman" w:hAnsi="Times New Roman"/>
          <w:iCs/>
          <w:lang w:val="en-US" w:eastAsia="zh-CN"/>
        </w:rPr>
        <w:t xml:space="preserve">. Klotz et al. identified similar challenges in vocational education contexts where technical knowledge development often occurs independently from broader professional competency requirements </w:t>
      </w:r>
      <w:r>
        <w:rPr>
          <w:rFonts w:ascii="Times New Roman" w:eastAsia="Times New Roman" w:hAnsi="Times New Roman"/>
          <w:iCs/>
          <w:lang w:val="en-US" w:eastAsia="zh-CN"/>
        </w:rPr>
        <w:t>[13]</w:t>
      </w:r>
      <w:r w:rsidRPr="00D34A3E">
        <w:rPr>
          <w:rFonts w:ascii="Times New Roman" w:eastAsia="Times New Roman" w:hAnsi="Times New Roman"/>
          <w:iCs/>
          <w:lang w:val="en-US" w:eastAsia="zh-CN"/>
        </w:rPr>
        <w:t>. However, this research extends existing understanding by specifically examining how these challenges manifest in maritime sustainability contexts where technical maritime knowledge must integrate with environmental science, social responsibility, and economic analysis for effective professional application.</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convergence between experienced professionals and recent graduates regarding the importance of sustainability integration while diverging on assessment of educational adequacy reflects patterns identified in broader professional development literature </w:t>
      </w:r>
      <w:r>
        <w:rPr>
          <w:rFonts w:ascii="Times New Roman" w:eastAsia="Times New Roman" w:hAnsi="Times New Roman"/>
          <w:iCs/>
          <w:lang w:val="en-US" w:eastAsia="zh-CN"/>
        </w:rPr>
        <w:t>[13]</w:t>
      </w:r>
      <w:r w:rsidRPr="00D34A3E">
        <w:rPr>
          <w:rFonts w:ascii="Times New Roman" w:eastAsia="Times New Roman" w:hAnsi="Times New Roman"/>
          <w:iCs/>
          <w:lang w:val="en-US" w:eastAsia="zh-CN"/>
        </w:rPr>
        <w:t xml:space="preserve">. This finding supports theoretical frameworks that emphasize the role of professional experience in developing comprehensive understanding </w:t>
      </w:r>
      <w:r w:rsidRPr="00D34A3E">
        <w:rPr>
          <w:rFonts w:ascii="Times New Roman" w:eastAsia="Times New Roman" w:hAnsi="Times New Roman"/>
          <w:iCs/>
          <w:lang w:val="en-US" w:eastAsia="zh-CN"/>
        </w:rPr>
        <w:t>of competency requirements that may not be apparent during initial professional preparation. The research contributes to maritime education literature by providing specific evidence of how professional experience influences perception of educational adequacy and identifies areas where educational enhancement could improve professional preparedness.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identification of industry-education partnership effectiveness as a critical factor in sustainability competency development aligns with existing research on experiential learning in maritime contexts </w:t>
      </w:r>
      <w:r>
        <w:rPr>
          <w:rFonts w:ascii="Times New Roman" w:eastAsia="Times New Roman" w:hAnsi="Times New Roman"/>
          <w:iCs/>
          <w:lang w:val="en-US" w:eastAsia="zh-CN"/>
        </w:rPr>
        <w:t>[6]</w:t>
      </w:r>
      <w:r w:rsidRPr="00D34A3E">
        <w:rPr>
          <w:rFonts w:ascii="Times New Roman" w:eastAsia="Times New Roman" w:hAnsi="Times New Roman"/>
          <w:iCs/>
          <w:lang w:val="en-US" w:eastAsia="zh-CN"/>
        </w:rPr>
        <w:t xml:space="preserve">. Mori and Manuel emphasized the importance of practical training components in maritime education effectiveness, and this research extends their findings by specifically examining how industry partnerships contribute to sustainability competency development </w:t>
      </w:r>
      <w:r>
        <w:rPr>
          <w:rFonts w:ascii="Times New Roman" w:eastAsia="Times New Roman" w:hAnsi="Times New Roman"/>
          <w:iCs/>
          <w:lang w:val="en-US" w:eastAsia="zh-CN"/>
        </w:rPr>
        <w:t>[6]</w:t>
      </w:r>
      <w:r w:rsidRPr="00D34A3E">
        <w:rPr>
          <w:rFonts w:ascii="Times New Roman" w:eastAsia="Times New Roman" w:hAnsi="Times New Roman"/>
          <w:iCs/>
          <w:lang w:val="en-US" w:eastAsia="zh-CN"/>
        </w:rPr>
        <w:t>. The research demonstrates that effective partnerships require systematic approaches to learning objective development, mentorship provision, and authentic project engagement, contributing specific guidance for partnership enhancement that addresses gaps identified in existing literature.</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However, the research findings diverge from some existing literature regarding the adequacy of current maritime education approaches for addressing contemporary professional requirements. While some studies suggest that current maritime education adequately prepares professionals for industry challenges, this research reveals significant gaps specifically related to sustainability integration and transdisciplinary thinking development </w:t>
      </w:r>
      <w:r>
        <w:rPr>
          <w:rFonts w:ascii="Times New Roman" w:eastAsia="Times New Roman" w:hAnsi="Times New Roman"/>
          <w:iCs/>
          <w:lang w:val="en-US" w:eastAsia="zh-CN"/>
        </w:rPr>
        <w:t>[11]</w:t>
      </w:r>
      <w:r w:rsidRPr="00D34A3E">
        <w:rPr>
          <w:rFonts w:ascii="Times New Roman" w:eastAsia="Times New Roman" w:hAnsi="Times New Roman"/>
          <w:iCs/>
          <w:lang w:val="en-US" w:eastAsia="zh-CN"/>
        </w:rPr>
        <w:t>. This divergence may reflect the relatively recent emergence of comprehensive sustainability requirements in maritime operations and the lag time required for educational institutions to develop effective responses to these evolving professional demands.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research findings regarding continuing education gaps align with broader patterns in professional development literature that emphasize the need for career-long learning approaches in rapidly evolving professional contexts </w:t>
      </w:r>
      <w:r>
        <w:rPr>
          <w:rFonts w:ascii="Times New Roman" w:eastAsia="Times New Roman" w:hAnsi="Times New Roman"/>
          <w:iCs/>
          <w:lang w:val="en-US" w:eastAsia="zh-CN"/>
        </w:rPr>
        <w:t>[13]</w:t>
      </w:r>
      <w:r w:rsidRPr="00D34A3E">
        <w:rPr>
          <w:rFonts w:ascii="Times New Roman" w:eastAsia="Times New Roman" w:hAnsi="Times New Roman"/>
          <w:iCs/>
          <w:lang w:val="en-US" w:eastAsia="zh-CN"/>
        </w:rPr>
        <w:t>. The identification of limited access to structured continuing education opportunities for sustainability competency development reflects broader challenges in professional development that extend beyond maritime industries. However, the research contributes unique insights into how these challenges manifest specifically in maritime contexts where sustainability integration requires ongoing development of complex competency sets that evolve with regulatory, technological, and stakeholder requirement changes.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comparative analysis between experienced professionals and recent graduates reveals interesting patterns that both support and challenge existing professional development theories. While existing </w:t>
      </w:r>
      <w:r w:rsidRPr="00D34A3E">
        <w:rPr>
          <w:rFonts w:ascii="Times New Roman" w:eastAsia="Times New Roman" w:hAnsi="Times New Roman"/>
          <w:iCs/>
          <w:lang w:val="en-US" w:eastAsia="zh-CN"/>
        </w:rPr>
        <w:lastRenderedPageBreak/>
        <w:t xml:space="preserve">literature typically emphasizes the value of professional experience in competency development, this research reveals that recent graduates demonstrate stronger environmental knowledge scores than experienced professionals, suggesting that contemporary educational approaches effectively develop theoretical foundations even while struggling with integration skill development </w:t>
      </w:r>
      <w:r>
        <w:rPr>
          <w:rFonts w:ascii="Times New Roman" w:eastAsia="Times New Roman" w:hAnsi="Times New Roman"/>
          <w:iCs/>
          <w:lang w:val="en-US" w:eastAsia="zh-CN"/>
        </w:rPr>
        <w:t>[6][13]</w:t>
      </w:r>
      <w:r w:rsidRPr="00D34A3E">
        <w:rPr>
          <w:rFonts w:ascii="Times New Roman" w:eastAsia="Times New Roman" w:hAnsi="Times New Roman"/>
          <w:iCs/>
          <w:lang w:val="en-US" w:eastAsia="zh-CN"/>
        </w:rPr>
        <w:t>. This finding indicates that educational enhancement strategies should focus on building upon strong theoretical foundations rather than replacing current approaches entirely.</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research identification of systematic variations in institutional capacity for sustainability education delivery aligns with broader patterns in vocational education research that emphasize the importance of institutional characteristics in educational effectiveness </w:t>
      </w:r>
      <w:r>
        <w:rPr>
          <w:rFonts w:ascii="Times New Roman" w:eastAsia="Times New Roman" w:hAnsi="Times New Roman"/>
          <w:iCs/>
          <w:lang w:val="en-US" w:eastAsia="zh-CN"/>
        </w:rPr>
        <w:t>[13]</w:t>
      </w:r>
      <w:r w:rsidRPr="00D34A3E">
        <w:rPr>
          <w:rFonts w:ascii="Times New Roman" w:eastAsia="Times New Roman" w:hAnsi="Times New Roman"/>
          <w:iCs/>
          <w:lang w:val="en-US" w:eastAsia="zh-CN"/>
        </w:rPr>
        <w:t>. However, the research extends existing understanding by identifying specific institutional factors that contribute to sustainability competency development effectiveness, including faculty development, industry partnership quality, and practical training facility availability. These findings contribute evidence-based guidance for institutional capacity enhancement that addresses specific maritime education contexts while aligning with broader vocational education effectiveness principles.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finding that effective sustainability education requires faculty with both technical maritime expertise and sustainability science knowledge highlights challenges that extend beyond traditional faculty development approaches in maritime education </w:t>
      </w:r>
      <w:r>
        <w:rPr>
          <w:rFonts w:ascii="Times New Roman" w:eastAsia="Times New Roman" w:hAnsi="Times New Roman"/>
          <w:iCs/>
          <w:lang w:val="en-US" w:eastAsia="zh-CN"/>
        </w:rPr>
        <w:t>[6]</w:t>
      </w:r>
      <w:r w:rsidRPr="00D34A3E">
        <w:rPr>
          <w:rFonts w:ascii="Times New Roman" w:eastAsia="Times New Roman" w:hAnsi="Times New Roman"/>
          <w:iCs/>
          <w:lang w:val="en-US" w:eastAsia="zh-CN"/>
        </w:rPr>
        <w:t xml:space="preserve">. Existing literature emphasizes the importance of faculty expertise in maritime technical domains but provides limited guidance for developing transdisciplinary faculty competencies necessary for effective sustainability education delivery </w:t>
      </w:r>
      <w:r>
        <w:rPr>
          <w:rFonts w:ascii="Times New Roman" w:eastAsia="Times New Roman" w:hAnsi="Times New Roman"/>
          <w:iCs/>
          <w:lang w:val="en-US" w:eastAsia="zh-CN"/>
        </w:rPr>
        <w:t>[11]</w:t>
      </w:r>
      <w:r w:rsidRPr="00D34A3E">
        <w:rPr>
          <w:rFonts w:ascii="Times New Roman" w:eastAsia="Times New Roman" w:hAnsi="Times New Roman"/>
          <w:iCs/>
          <w:lang w:val="en-US" w:eastAsia="zh-CN"/>
        </w:rPr>
        <w:t>. This research contributes specific insights into faculty development needs that maritime education institutions must address to enhance sustainability education effectiveness.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research demonstrates that technological developments associated with Industry 4.0 create both opportunities and challenges for sustainability integration in maritime education </w:t>
      </w:r>
      <w:r>
        <w:rPr>
          <w:rFonts w:ascii="Times New Roman" w:eastAsia="Times New Roman" w:hAnsi="Times New Roman"/>
          <w:iCs/>
          <w:lang w:val="en-US" w:eastAsia="zh-CN"/>
        </w:rPr>
        <w:t>[2][10]</w:t>
      </w:r>
      <w:r w:rsidRPr="00D34A3E">
        <w:rPr>
          <w:rFonts w:ascii="Times New Roman" w:eastAsia="Times New Roman" w:hAnsi="Times New Roman"/>
          <w:iCs/>
          <w:lang w:val="en-US" w:eastAsia="zh-CN"/>
        </w:rPr>
        <w:t xml:space="preserve">. While existing literature emphasizes the potential benefits of technological advancement for maritime operations, this research reveals specific challenges in preparing professionals to leverage technology for sustainability enhancement </w:t>
      </w:r>
      <w:r>
        <w:rPr>
          <w:rFonts w:ascii="Times New Roman" w:eastAsia="Times New Roman" w:hAnsi="Times New Roman"/>
          <w:iCs/>
          <w:lang w:val="en-US" w:eastAsia="zh-CN"/>
        </w:rPr>
        <w:t>[10]</w:t>
      </w:r>
      <w:r w:rsidRPr="00D34A3E">
        <w:rPr>
          <w:rFonts w:ascii="Times New Roman" w:eastAsia="Times New Roman" w:hAnsi="Times New Roman"/>
          <w:iCs/>
          <w:lang w:val="en-US" w:eastAsia="zh-CN"/>
        </w:rPr>
        <w:t>. The findings indicate that technology integration in maritime education must be accompanied by enhanced sustainability competency development to realize potential benefits for environmental and social performance improvement.</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The identification of stakeholder engagement and economic integration as particularly challenging competency domains aligns with broader sustainability education literature that emphasizes the difficulty of </w:t>
      </w:r>
      <w:r w:rsidRPr="00D34A3E">
        <w:rPr>
          <w:rFonts w:ascii="Times New Roman" w:eastAsia="Times New Roman" w:hAnsi="Times New Roman"/>
          <w:iCs/>
          <w:lang w:val="en-US" w:eastAsia="zh-CN"/>
        </w:rPr>
        <w:t xml:space="preserve">developing skills for managing complex stakeholder relationships and economic analysis in sustainability contexts </w:t>
      </w:r>
      <w:r>
        <w:rPr>
          <w:rFonts w:ascii="Times New Roman" w:eastAsia="Times New Roman" w:hAnsi="Times New Roman"/>
          <w:iCs/>
          <w:lang w:val="en-US" w:eastAsia="zh-CN"/>
        </w:rPr>
        <w:t>[9]</w:t>
      </w:r>
      <w:r w:rsidRPr="00D34A3E">
        <w:rPr>
          <w:rFonts w:ascii="Times New Roman" w:eastAsia="Times New Roman" w:hAnsi="Times New Roman"/>
          <w:iCs/>
          <w:lang w:val="en-US" w:eastAsia="zh-CN"/>
        </w:rPr>
        <w:t>. However, the research contributes specific insights into how these challenges manifest in maritime professional contexts where stakeholder relationships involve multiple levels of government regulation, international compliance requirements, and diverse industry participants with competing interests.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The research findings regarding assessment method adequacy reveal interesting tensions between traditional maritime education approaches and sustainability competency development requirements. While participants rated assessment methods as adequate overall, the detailed analysis reveals that current assessment approaches may not effectively evaluate transdisciplinary integration capabilities that are critical for professional sustainability effectiveness. This finding suggests need for assessment methodology enhancement that can effectively evaluate complex competency integration rather than knowledge domain mastery independently.</w:t>
      </w:r>
    </w:p>
    <w:p w:rsid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The practical implications of these findings extend beyond immediate educational enhancement to encompass broader strategic considerations for maritime industry transformation toward greater sustainability. The research demonstrates that educational enhancement alone is insufficient for comprehensive professional development in sustainability contexts; systematic approaches that integrate educational improvement with industry development, regulatory framework enhancement, and continuing education expansion are necessary for effective transformation. This finding contributes to broader understanding of sustainability transformation requirements that extend beyond individual competency development to encompass systemic change across multiple institutional contexts.</w:t>
      </w:r>
    </w:p>
    <w:p w:rsidR="00D34A3E" w:rsidRDefault="00D34A3E" w:rsidP="00D34A3E">
      <w:pPr>
        <w:autoSpaceDE w:val="0"/>
        <w:autoSpaceDN w:val="0"/>
        <w:adjustRightInd w:val="0"/>
        <w:spacing w:after="0" w:line="240" w:lineRule="auto"/>
        <w:jc w:val="both"/>
        <w:rPr>
          <w:rFonts w:ascii="Times New Roman" w:eastAsia="Times New Roman" w:hAnsi="Times New Roman"/>
          <w:iCs/>
          <w:lang w:val="en-US" w:eastAsia="zh-CN"/>
        </w:rPr>
      </w:pPr>
    </w:p>
    <w:p w:rsidR="00D34A3E" w:rsidRPr="00D34A3E" w:rsidRDefault="00D34A3E" w:rsidP="00D34A3E">
      <w:pPr>
        <w:pStyle w:val="Heading1"/>
        <w:numPr>
          <w:ilvl w:val="0"/>
          <w:numId w:val="0"/>
        </w:numPr>
        <w:rPr>
          <w:lang w:val="en-US"/>
        </w:rPr>
      </w:pPr>
      <w:r>
        <w:rPr>
          <w:lang w:val="en-US"/>
        </w:rPr>
        <w:t xml:space="preserve">5. </w:t>
      </w:r>
      <w:r w:rsidRPr="00D34A3E">
        <w:rPr>
          <w:lang w:val="en-US"/>
        </w:rPr>
        <w:t>Conclusion</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This qualitative investigation of maritime professionals' and graduates' perspectives on sustainability integration in vocational education reveals significant opportunities for enhancing transdisciplinary competency development within maritime education programs. The research demonstrates that while current educational approaches provide adequate foundational knowledge in sustainability concepts, substantial gaps exist in developing the integration capabilities necessary for effective professional application in complex maritime operational contexts. The Professional Competency Integration Index (PCII) score of 6.4 and Educational-Professional Alignment Coefficient (EPAC) score of 6.1 indicate moderate effectiveness with considerable potential for improvement through systematic educational enhancement approaches.</w:t>
      </w:r>
    </w:p>
    <w:p w:rsidR="00D34A3E" w:rsidRP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lastRenderedPageBreak/>
        <w:t>The convergence between experienced professionals and recent graduates regarding the critical importance of sustainability integration, combined with their divergent assessments of educational adequacy, provides valuable insights for targeted educational improvement strategies. The research identifies specific enhancement opportunities including transdisciplinary pedagogical development, industry partnership quality improvement, faculty competency enhancement, and continuing education expansion that could significantly improve professional preparedness for sustainability leadership roles. The findings demonstrate that effective sustainability education requires systematic integration of theoretical knowledge with practical application opportunities, supported by comprehensive industry partnerships and ongoing professional development frameworks.</w:t>
      </w:r>
    </w:p>
    <w:p w:rsidR="00D34A3E" w:rsidRDefault="00D34A3E"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The research contributes evidence-based foundation for maritime education transformation that addresses urgent environmental and regulatory pressures facing the maritime industry while supporting broader sustainability goals. The identification of specific competency gaps and effective educational practices provides actionable guidance for educational institutions, industry stakeholders, and policy makers seeking to enhance maritime professional preparation for sustainability challenges. Future research should examine implementation effectiveness of recommended educational enhancements and explore longitudinal professional development outcomes to further refine understanding of optimal approaches for developing sustainability leadership capabilities in maritime contexts.</w:t>
      </w:r>
    </w:p>
    <w:p w:rsidR="00D34A3E" w:rsidRDefault="00D34A3E" w:rsidP="00D34A3E">
      <w:pPr>
        <w:autoSpaceDE w:val="0"/>
        <w:autoSpaceDN w:val="0"/>
        <w:adjustRightInd w:val="0"/>
        <w:spacing w:after="0" w:line="240" w:lineRule="auto"/>
        <w:jc w:val="both"/>
        <w:rPr>
          <w:rFonts w:ascii="Times New Roman" w:eastAsia="Times New Roman" w:hAnsi="Times New Roman"/>
          <w:iCs/>
          <w:lang w:val="en-US" w:eastAsia="zh-CN"/>
        </w:rPr>
      </w:pPr>
    </w:p>
    <w:p w:rsidR="00D34A3E" w:rsidRPr="00D34A3E" w:rsidRDefault="00D34A3E" w:rsidP="00D34A3E">
      <w:pPr>
        <w:pStyle w:val="Heading1"/>
        <w:numPr>
          <w:ilvl w:val="0"/>
          <w:numId w:val="0"/>
        </w:numPr>
        <w:rPr>
          <w:lang w:val="en-US"/>
        </w:rPr>
      </w:pPr>
      <w:r w:rsidRPr="00D34A3E">
        <w:rPr>
          <w:lang w:val="en-US"/>
        </w:rPr>
        <w:t>References</w:t>
      </w:r>
    </w:p>
    <w:p w:rsidR="00D34A3E" w:rsidRPr="00D34A3E" w:rsidRDefault="00D34A3E" w:rsidP="00D34A3E">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D34A3E">
        <w:rPr>
          <w:rFonts w:ascii="Times New Roman" w:eastAsia="Times New Roman" w:hAnsi="Times New Roman"/>
          <w:iCs/>
          <w:lang w:val="en-US" w:eastAsia="zh-CN"/>
        </w:rPr>
        <w:t xml:space="preserve">[1] I. Docherty, G. Marsden, and J. Anable, "The governance of smart mobility," </w:t>
      </w:r>
      <w:r w:rsidRPr="00D34A3E">
        <w:rPr>
          <w:rFonts w:ascii="Times New Roman" w:eastAsia="Times New Roman" w:hAnsi="Times New Roman"/>
          <w:i/>
          <w:iCs/>
          <w:lang w:val="en-US" w:eastAsia="zh-CN"/>
        </w:rPr>
        <w:t xml:space="preserve">Transp. Res. Part A Policy </w:t>
      </w:r>
      <w:proofErr w:type="spellStart"/>
      <w:r w:rsidRPr="00D34A3E">
        <w:rPr>
          <w:rFonts w:ascii="Times New Roman" w:eastAsia="Times New Roman" w:hAnsi="Times New Roman"/>
          <w:i/>
          <w:iCs/>
          <w:lang w:val="en-US" w:eastAsia="zh-CN"/>
        </w:rPr>
        <w:t>Pract</w:t>
      </w:r>
      <w:proofErr w:type="spellEnd"/>
      <w:r w:rsidRPr="00D34A3E">
        <w:rPr>
          <w:rFonts w:ascii="Times New Roman" w:eastAsia="Times New Roman" w:hAnsi="Times New Roman"/>
          <w:i/>
          <w:iCs/>
          <w:lang w:val="en-US" w:eastAsia="zh-CN"/>
        </w:rPr>
        <w:t>.</w:t>
      </w:r>
      <w:r w:rsidRPr="00D34A3E">
        <w:rPr>
          <w:rFonts w:ascii="Times New Roman" w:eastAsia="Times New Roman" w:hAnsi="Times New Roman"/>
          <w:iCs/>
          <w:lang w:val="en-US" w:eastAsia="zh-CN"/>
        </w:rPr>
        <w:t>, vol. 115, pp. 114–125, 2018.</w:t>
      </w:r>
    </w:p>
    <w:p w:rsidR="00D34A3E" w:rsidRPr="00D34A3E" w:rsidRDefault="00D34A3E" w:rsidP="00D34A3E">
      <w:pPr>
        <w:autoSpaceDE w:val="0"/>
        <w:autoSpaceDN w:val="0"/>
        <w:adjustRightInd w:val="0"/>
        <w:spacing w:after="0" w:line="240" w:lineRule="auto"/>
        <w:ind w:left="720" w:hanging="720"/>
        <w:jc w:val="both"/>
        <w:rPr>
          <w:rFonts w:ascii="Times New Roman" w:eastAsia="Times New Roman" w:hAnsi="Times New Roman"/>
          <w:iCs/>
          <w:lang w:val="en-US" w:eastAsia="zh-CN"/>
        </w:rPr>
      </w:pPr>
      <w:r>
        <w:rPr>
          <w:rFonts w:ascii="Times New Roman" w:eastAsia="Times New Roman" w:hAnsi="Times New Roman"/>
          <w:iCs/>
          <w:lang w:val="en-US" w:eastAsia="zh-CN"/>
        </w:rPr>
        <w:t>[2]</w:t>
      </w:r>
      <w:r w:rsidRPr="00D34A3E">
        <w:rPr>
          <w:rFonts w:ascii="Times New Roman" w:eastAsia="Times New Roman" w:hAnsi="Times New Roman"/>
          <w:iCs/>
          <w:lang w:val="en-US" w:eastAsia="zh-CN"/>
        </w:rPr>
        <w:t xml:space="preserve"> M.-L. Tseng, T. P. T. Tran, H. M. Ha, T.-D. Bui, and M. K. Lim, "Sustainable industrial and operation engineering trends and challenges Toward Industry 4.0: A data driven analysis," </w:t>
      </w:r>
      <w:r w:rsidRPr="00D34A3E">
        <w:rPr>
          <w:rFonts w:ascii="Times New Roman" w:eastAsia="Times New Roman" w:hAnsi="Times New Roman"/>
          <w:i/>
          <w:iCs/>
          <w:lang w:val="en-US" w:eastAsia="zh-CN"/>
        </w:rPr>
        <w:t>J. Ind. Prod. Eng.</w:t>
      </w:r>
      <w:r w:rsidRPr="00D34A3E">
        <w:rPr>
          <w:rFonts w:ascii="Times New Roman" w:eastAsia="Times New Roman" w:hAnsi="Times New Roman"/>
          <w:iCs/>
          <w:lang w:val="en-US" w:eastAsia="zh-CN"/>
        </w:rPr>
        <w:t>, vol. 38, no. 8, pp. 581–598, 2021.</w:t>
      </w:r>
    </w:p>
    <w:p w:rsidR="00D34A3E" w:rsidRPr="00D34A3E" w:rsidRDefault="00D34A3E" w:rsidP="00D34A3E">
      <w:pPr>
        <w:autoSpaceDE w:val="0"/>
        <w:autoSpaceDN w:val="0"/>
        <w:adjustRightInd w:val="0"/>
        <w:spacing w:after="0" w:line="240" w:lineRule="auto"/>
        <w:ind w:left="720" w:hanging="720"/>
        <w:jc w:val="both"/>
        <w:rPr>
          <w:rFonts w:ascii="Times New Roman" w:eastAsia="Times New Roman" w:hAnsi="Times New Roman"/>
          <w:iCs/>
          <w:lang w:val="en-US" w:eastAsia="zh-CN"/>
        </w:rPr>
      </w:pPr>
      <w:r>
        <w:rPr>
          <w:rFonts w:ascii="Times New Roman" w:eastAsia="Times New Roman" w:hAnsi="Times New Roman"/>
          <w:iCs/>
          <w:lang w:val="en-US" w:eastAsia="zh-CN"/>
        </w:rPr>
        <w:t>[3]</w:t>
      </w:r>
      <w:r w:rsidRPr="00D34A3E">
        <w:rPr>
          <w:rFonts w:ascii="Times New Roman" w:eastAsia="Times New Roman" w:hAnsi="Times New Roman"/>
          <w:iCs/>
          <w:lang w:val="en-US" w:eastAsia="zh-CN"/>
        </w:rPr>
        <w:t xml:space="preserve"> J. Fei, </w:t>
      </w:r>
      <w:r w:rsidRPr="00D34A3E">
        <w:rPr>
          <w:rFonts w:ascii="Times New Roman" w:eastAsia="Times New Roman" w:hAnsi="Times New Roman"/>
          <w:i/>
          <w:iCs/>
          <w:lang w:val="en-US" w:eastAsia="zh-CN"/>
        </w:rPr>
        <w:t>Managing human resources in the shipping industry</w:t>
      </w:r>
      <w:r w:rsidRPr="00D34A3E">
        <w:rPr>
          <w:rFonts w:ascii="Times New Roman" w:eastAsia="Times New Roman" w:hAnsi="Times New Roman"/>
          <w:iCs/>
          <w:lang w:val="en-US" w:eastAsia="zh-CN"/>
        </w:rPr>
        <w:t>. Routledge, 2018.</w:t>
      </w:r>
    </w:p>
    <w:p w:rsidR="00D34A3E" w:rsidRPr="00D34A3E" w:rsidRDefault="00D34A3E" w:rsidP="00D34A3E">
      <w:pPr>
        <w:autoSpaceDE w:val="0"/>
        <w:autoSpaceDN w:val="0"/>
        <w:adjustRightInd w:val="0"/>
        <w:spacing w:after="0" w:line="240" w:lineRule="auto"/>
        <w:ind w:left="720" w:hanging="720"/>
        <w:jc w:val="both"/>
        <w:rPr>
          <w:rFonts w:ascii="Times New Roman" w:eastAsia="Times New Roman" w:hAnsi="Times New Roman"/>
          <w:iCs/>
          <w:lang w:val="en-US" w:eastAsia="zh-CN"/>
        </w:rPr>
      </w:pPr>
      <w:r>
        <w:rPr>
          <w:rFonts w:ascii="Times New Roman" w:eastAsia="Times New Roman" w:hAnsi="Times New Roman"/>
          <w:iCs/>
          <w:lang w:val="en-US" w:eastAsia="zh-CN"/>
        </w:rPr>
        <w:t>[4]</w:t>
      </w:r>
      <w:r w:rsidRPr="00D34A3E">
        <w:rPr>
          <w:rFonts w:ascii="Times New Roman" w:eastAsia="Times New Roman" w:hAnsi="Times New Roman"/>
          <w:iCs/>
          <w:lang w:val="en-US" w:eastAsia="zh-CN"/>
        </w:rPr>
        <w:t xml:space="preserve"> J. Saldana, </w:t>
      </w:r>
      <w:r w:rsidRPr="00D34A3E">
        <w:rPr>
          <w:rFonts w:ascii="Times New Roman" w:eastAsia="Times New Roman" w:hAnsi="Times New Roman"/>
          <w:i/>
          <w:iCs/>
          <w:lang w:val="en-US" w:eastAsia="zh-CN"/>
        </w:rPr>
        <w:t>Thinking qualitatively: Methods of mind</w:t>
      </w:r>
      <w:r w:rsidRPr="00D34A3E">
        <w:rPr>
          <w:rFonts w:ascii="Times New Roman" w:eastAsia="Times New Roman" w:hAnsi="Times New Roman"/>
          <w:iCs/>
          <w:lang w:val="en-US" w:eastAsia="zh-CN"/>
        </w:rPr>
        <w:t>. SAGE publications, 2014.</w:t>
      </w:r>
    </w:p>
    <w:p w:rsidR="00D34A3E" w:rsidRPr="00D34A3E" w:rsidRDefault="00D34A3E" w:rsidP="00D34A3E">
      <w:pPr>
        <w:autoSpaceDE w:val="0"/>
        <w:autoSpaceDN w:val="0"/>
        <w:adjustRightInd w:val="0"/>
        <w:spacing w:after="0" w:line="240" w:lineRule="auto"/>
        <w:ind w:left="720" w:hanging="720"/>
        <w:jc w:val="both"/>
        <w:rPr>
          <w:rFonts w:ascii="Times New Roman" w:eastAsia="Times New Roman" w:hAnsi="Times New Roman"/>
          <w:iCs/>
          <w:lang w:val="en-US" w:eastAsia="zh-CN"/>
        </w:rPr>
      </w:pPr>
      <w:r>
        <w:rPr>
          <w:rFonts w:ascii="Times New Roman" w:eastAsia="Times New Roman" w:hAnsi="Times New Roman"/>
          <w:iCs/>
          <w:lang w:val="en-US" w:eastAsia="zh-CN"/>
        </w:rPr>
        <w:t>[5]</w:t>
      </w:r>
      <w:r w:rsidRPr="00D34A3E">
        <w:rPr>
          <w:rFonts w:ascii="Times New Roman" w:eastAsia="Times New Roman" w:hAnsi="Times New Roman"/>
          <w:iCs/>
          <w:lang w:val="en-US" w:eastAsia="zh-CN"/>
        </w:rPr>
        <w:t xml:space="preserve"> J. Katz, "A theory of qualitative methodology: The social system of analytic fieldwork," </w:t>
      </w:r>
      <w:proofErr w:type="spellStart"/>
      <w:r w:rsidRPr="00D34A3E">
        <w:rPr>
          <w:rFonts w:ascii="Times New Roman" w:eastAsia="Times New Roman" w:hAnsi="Times New Roman"/>
          <w:i/>
          <w:iCs/>
          <w:lang w:val="en-US" w:eastAsia="zh-CN"/>
        </w:rPr>
        <w:t>Méthod</w:t>
      </w:r>
      <w:proofErr w:type="spellEnd"/>
      <w:r w:rsidRPr="00D34A3E">
        <w:rPr>
          <w:rFonts w:ascii="Times New Roman" w:eastAsia="Times New Roman" w:hAnsi="Times New Roman"/>
          <w:i/>
          <w:iCs/>
          <w:lang w:val="en-US" w:eastAsia="zh-CN"/>
        </w:rPr>
        <w:t xml:space="preserve"> s African Rev. Soc. Sci. </w:t>
      </w:r>
      <w:proofErr w:type="spellStart"/>
      <w:r w:rsidRPr="00D34A3E">
        <w:rPr>
          <w:rFonts w:ascii="Times New Roman" w:eastAsia="Times New Roman" w:hAnsi="Times New Roman"/>
          <w:i/>
          <w:iCs/>
          <w:lang w:val="en-US" w:eastAsia="zh-CN"/>
        </w:rPr>
        <w:t>Methodol</w:t>
      </w:r>
      <w:proofErr w:type="spellEnd"/>
      <w:r w:rsidRPr="00D34A3E">
        <w:rPr>
          <w:rFonts w:ascii="Times New Roman" w:eastAsia="Times New Roman" w:hAnsi="Times New Roman"/>
          <w:i/>
          <w:iCs/>
          <w:lang w:val="en-US" w:eastAsia="zh-CN"/>
        </w:rPr>
        <w:t>.</w:t>
      </w:r>
      <w:r w:rsidRPr="00D34A3E">
        <w:rPr>
          <w:rFonts w:ascii="Times New Roman" w:eastAsia="Times New Roman" w:hAnsi="Times New Roman"/>
          <w:iCs/>
          <w:lang w:val="en-US" w:eastAsia="zh-CN"/>
        </w:rPr>
        <w:t>, vol. 1, no. 1–2, pp. 131–146, 2015.</w:t>
      </w:r>
    </w:p>
    <w:p w:rsidR="00D34A3E" w:rsidRPr="00D34A3E" w:rsidRDefault="00D34A3E" w:rsidP="00D34A3E">
      <w:pPr>
        <w:autoSpaceDE w:val="0"/>
        <w:autoSpaceDN w:val="0"/>
        <w:adjustRightInd w:val="0"/>
        <w:spacing w:after="0" w:line="240" w:lineRule="auto"/>
        <w:ind w:left="720" w:hanging="720"/>
        <w:jc w:val="both"/>
        <w:rPr>
          <w:rFonts w:ascii="Times New Roman" w:eastAsia="Times New Roman" w:hAnsi="Times New Roman"/>
          <w:iCs/>
          <w:lang w:val="en-US" w:eastAsia="zh-CN"/>
        </w:rPr>
      </w:pPr>
      <w:r>
        <w:rPr>
          <w:rFonts w:ascii="Times New Roman" w:eastAsia="Times New Roman" w:hAnsi="Times New Roman"/>
          <w:iCs/>
          <w:lang w:val="en-US" w:eastAsia="zh-CN"/>
        </w:rPr>
        <w:t>[6]</w:t>
      </w:r>
      <w:r w:rsidRPr="00D34A3E">
        <w:rPr>
          <w:rFonts w:ascii="Times New Roman" w:eastAsia="Times New Roman" w:hAnsi="Times New Roman"/>
          <w:iCs/>
          <w:lang w:val="en-US" w:eastAsia="zh-CN"/>
        </w:rPr>
        <w:t xml:space="preserve"> Y. Mori and M. E. Manuel, "An Exploration of the Theoretical Foundations of Onboard Seafarer Training: A Systematic Review of the Literature," </w:t>
      </w:r>
      <w:proofErr w:type="spellStart"/>
      <w:r w:rsidRPr="00D34A3E">
        <w:rPr>
          <w:rFonts w:ascii="Times New Roman" w:eastAsia="Times New Roman" w:hAnsi="Times New Roman"/>
          <w:i/>
          <w:iCs/>
          <w:lang w:val="en-US" w:eastAsia="zh-CN"/>
        </w:rPr>
        <w:t>TransNav</w:t>
      </w:r>
      <w:proofErr w:type="spellEnd"/>
      <w:r w:rsidRPr="00D34A3E">
        <w:rPr>
          <w:rFonts w:ascii="Times New Roman" w:eastAsia="Times New Roman" w:hAnsi="Times New Roman"/>
          <w:i/>
          <w:iCs/>
          <w:lang w:val="en-US" w:eastAsia="zh-CN"/>
        </w:rPr>
        <w:t xml:space="preserve"> Int. J. Mar. </w:t>
      </w:r>
      <w:proofErr w:type="spellStart"/>
      <w:r w:rsidRPr="00D34A3E">
        <w:rPr>
          <w:rFonts w:ascii="Times New Roman" w:eastAsia="Times New Roman" w:hAnsi="Times New Roman"/>
          <w:i/>
          <w:iCs/>
          <w:lang w:val="en-US" w:eastAsia="zh-CN"/>
        </w:rPr>
        <w:t>Navig</w:t>
      </w:r>
      <w:proofErr w:type="spellEnd"/>
      <w:r w:rsidRPr="00D34A3E">
        <w:rPr>
          <w:rFonts w:ascii="Times New Roman" w:eastAsia="Times New Roman" w:hAnsi="Times New Roman"/>
          <w:i/>
          <w:iCs/>
          <w:lang w:val="en-US" w:eastAsia="zh-CN"/>
        </w:rPr>
        <w:t>. Saf. Sea Transp.</w:t>
      </w:r>
      <w:r w:rsidRPr="00D34A3E">
        <w:rPr>
          <w:rFonts w:ascii="Times New Roman" w:eastAsia="Times New Roman" w:hAnsi="Times New Roman"/>
          <w:iCs/>
          <w:lang w:val="en-US" w:eastAsia="zh-CN"/>
        </w:rPr>
        <w:t>, vol. 17, no. 4, 2023.</w:t>
      </w:r>
    </w:p>
    <w:p w:rsidR="00D34A3E" w:rsidRPr="00D34A3E" w:rsidRDefault="00D34A3E" w:rsidP="00D34A3E">
      <w:pPr>
        <w:autoSpaceDE w:val="0"/>
        <w:autoSpaceDN w:val="0"/>
        <w:adjustRightInd w:val="0"/>
        <w:spacing w:after="0" w:line="240" w:lineRule="auto"/>
        <w:ind w:left="720" w:hanging="720"/>
        <w:jc w:val="both"/>
        <w:rPr>
          <w:rFonts w:ascii="Times New Roman" w:eastAsia="Times New Roman" w:hAnsi="Times New Roman"/>
          <w:iCs/>
          <w:lang w:val="en-US" w:eastAsia="zh-CN"/>
        </w:rPr>
      </w:pPr>
      <w:r>
        <w:rPr>
          <w:rFonts w:ascii="Times New Roman" w:eastAsia="Times New Roman" w:hAnsi="Times New Roman"/>
          <w:iCs/>
          <w:lang w:val="en-US" w:eastAsia="zh-CN"/>
        </w:rPr>
        <w:t>[7]</w:t>
      </w:r>
      <w:r w:rsidRPr="00D34A3E">
        <w:rPr>
          <w:rFonts w:ascii="Times New Roman" w:eastAsia="Times New Roman" w:hAnsi="Times New Roman"/>
          <w:iCs/>
          <w:lang w:val="en-US" w:eastAsia="zh-CN"/>
        </w:rPr>
        <w:t xml:space="preserve"> H. Kim, J. S. Sefcik, and C. Bradway, "Characteristics of qualitative descriptive studies: A systematic review," </w:t>
      </w:r>
      <w:r w:rsidRPr="00D34A3E">
        <w:rPr>
          <w:rFonts w:ascii="Times New Roman" w:eastAsia="Times New Roman" w:hAnsi="Times New Roman"/>
          <w:i/>
          <w:iCs/>
          <w:lang w:val="en-US" w:eastAsia="zh-CN"/>
        </w:rPr>
        <w:t xml:space="preserve">Res. </w:t>
      </w:r>
      <w:proofErr w:type="spellStart"/>
      <w:r w:rsidRPr="00D34A3E">
        <w:rPr>
          <w:rFonts w:ascii="Times New Roman" w:eastAsia="Times New Roman" w:hAnsi="Times New Roman"/>
          <w:i/>
          <w:iCs/>
          <w:lang w:val="en-US" w:eastAsia="zh-CN"/>
        </w:rPr>
        <w:t>Nurs</w:t>
      </w:r>
      <w:proofErr w:type="spellEnd"/>
      <w:r w:rsidRPr="00D34A3E">
        <w:rPr>
          <w:rFonts w:ascii="Times New Roman" w:eastAsia="Times New Roman" w:hAnsi="Times New Roman"/>
          <w:i/>
          <w:iCs/>
          <w:lang w:val="en-US" w:eastAsia="zh-CN"/>
        </w:rPr>
        <w:t>. Health</w:t>
      </w:r>
      <w:r w:rsidRPr="00D34A3E">
        <w:rPr>
          <w:rFonts w:ascii="Times New Roman" w:eastAsia="Times New Roman" w:hAnsi="Times New Roman"/>
          <w:iCs/>
          <w:lang w:val="en-US" w:eastAsia="zh-CN"/>
        </w:rPr>
        <w:t>, vol. 40, no. 1, pp. 23–42, 2017.</w:t>
      </w:r>
    </w:p>
    <w:p w:rsidR="00D34A3E" w:rsidRPr="00D34A3E" w:rsidRDefault="00D34A3E" w:rsidP="00D34A3E">
      <w:pPr>
        <w:autoSpaceDE w:val="0"/>
        <w:autoSpaceDN w:val="0"/>
        <w:adjustRightInd w:val="0"/>
        <w:spacing w:after="0" w:line="240" w:lineRule="auto"/>
        <w:ind w:left="720" w:hanging="720"/>
        <w:jc w:val="both"/>
        <w:rPr>
          <w:rFonts w:ascii="Times New Roman" w:eastAsia="Times New Roman" w:hAnsi="Times New Roman"/>
          <w:iCs/>
          <w:lang w:val="en-US" w:eastAsia="zh-CN"/>
        </w:rPr>
      </w:pPr>
      <w:r>
        <w:rPr>
          <w:rFonts w:ascii="Times New Roman" w:eastAsia="Times New Roman" w:hAnsi="Times New Roman"/>
          <w:iCs/>
          <w:lang w:val="en-US" w:eastAsia="zh-CN"/>
        </w:rPr>
        <w:t>[8]</w:t>
      </w:r>
      <w:r w:rsidRPr="00D34A3E">
        <w:rPr>
          <w:rFonts w:ascii="Times New Roman" w:eastAsia="Times New Roman" w:hAnsi="Times New Roman"/>
          <w:iCs/>
          <w:lang w:val="en-US" w:eastAsia="zh-CN"/>
        </w:rPr>
        <w:t xml:space="preserve"> T. R. Walker et al., "Environmental effects of marine transportation," in </w:t>
      </w:r>
      <w:r w:rsidRPr="00D34A3E">
        <w:rPr>
          <w:rFonts w:ascii="Times New Roman" w:eastAsia="Times New Roman" w:hAnsi="Times New Roman"/>
          <w:i/>
          <w:iCs/>
          <w:lang w:val="en-US" w:eastAsia="zh-CN"/>
        </w:rPr>
        <w:t>World seas: an environmental evaluation</w:t>
      </w:r>
      <w:r w:rsidRPr="00D34A3E">
        <w:rPr>
          <w:rFonts w:ascii="Times New Roman" w:eastAsia="Times New Roman" w:hAnsi="Times New Roman"/>
          <w:iCs/>
          <w:lang w:val="en-US" w:eastAsia="zh-CN"/>
        </w:rPr>
        <w:t>, Elsevier, 2019, pp. 505–530.</w:t>
      </w:r>
    </w:p>
    <w:p w:rsidR="00D34A3E" w:rsidRPr="00D34A3E" w:rsidRDefault="00D34A3E" w:rsidP="00D34A3E">
      <w:pPr>
        <w:autoSpaceDE w:val="0"/>
        <w:autoSpaceDN w:val="0"/>
        <w:adjustRightInd w:val="0"/>
        <w:spacing w:after="0" w:line="240" w:lineRule="auto"/>
        <w:ind w:left="720" w:hanging="720"/>
        <w:jc w:val="both"/>
        <w:rPr>
          <w:rFonts w:ascii="Times New Roman" w:eastAsia="Times New Roman" w:hAnsi="Times New Roman"/>
          <w:iCs/>
          <w:lang w:val="en-US" w:eastAsia="zh-CN"/>
        </w:rPr>
      </w:pPr>
      <w:r>
        <w:rPr>
          <w:rFonts w:ascii="Times New Roman" w:eastAsia="Times New Roman" w:hAnsi="Times New Roman"/>
          <w:iCs/>
          <w:lang w:val="en-US" w:eastAsia="zh-CN"/>
        </w:rPr>
        <w:t>[9]</w:t>
      </w:r>
      <w:r w:rsidRPr="00D34A3E">
        <w:rPr>
          <w:rFonts w:ascii="Times New Roman" w:eastAsia="Times New Roman" w:hAnsi="Times New Roman"/>
          <w:iCs/>
          <w:lang w:val="en-US" w:eastAsia="zh-CN"/>
        </w:rPr>
        <w:t xml:space="preserve"> A. </w:t>
      </w:r>
      <w:proofErr w:type="spellStart"/>
      <w:r w:rsidRPr="00D34A3E">
        <w:rPr>
          <w:rFonts w:ascii="Times New Roman" w:eastAsia="Times New Roman" w:hAnsi="Times New Roman"/>
          <w:iCs/>
          <w:lang w:val="en-US" w:eastAsia="zh-CN"/>
        </w:rPr>
        <w:t>Pantouvakis</w:t>
      </w:r>
      <w:proofErr w:type="spellEnd"/>
      <w:r w:rsidRPr="00D34A3E">
        <w:rPr>
          <w:rFonts w:ascii="Times New Roman" w:eastAsia="Times New Roman" w:hAnsi="Times New Roman"/>
          <w:iCs/>
          <w:lang w:val="en-US" w:eastAsia="zh-CN"/>
        </w:rPr>
        <w:t xml:space="preserve"> and I. Vlachos, "Talent and leadership effects on sustainable performance in the maritime industry," </w:t>
      </w:r>
      <w:r w:rsidRPr="00D34A3E">
        <w:rPr>
          <w:rFonts w:ascii="Times New Roman" w:eastAsia="Times New Roman" w:hAnsi="Times New Roman"/>
          <w:i/>
          <w:iCs/>
          <w:lang w:val="en-US" w:eastAsia="zh-CN"/>
        </w:rPr>
        <w:t>Transp. Res. Part D Transp. Environ.</w:t>
      </w:r>
      <w:r w:rsidRPr="00D34A3E">
        <w:rPr>
          <w:rFonts w:ascii="Times New Roman" w:eastAsia="Times New Roman" w:hAnsi="Times New Roman"/>
          <w:iCs/>
          <w:lang w:val="en-US" w:eastAsia="zh-CN"/>
        </w:rPr>
        <w:t>, vol. 86, p. 102440, 2020.</w:t>
      </w:r>
    </w:p>
    <w:p w:rsidR="00D34A3E" w:rsidRPr="00D34A3E" w:rsidRDefault="00D34A3E" w:rsidP="00D34A3E">
      <w:pPr>
        <w:autoSpaceDE w:val="0"/>
        <w:autoSpaceDN w:val="0"/>
        <w:adjustRightInd w:val="0"/>
        <w:spacing w:after="0" w:line="240" w:lineRule="auto"/>
        <w:ind w:left="720" w:hanging="720"/>
        <w:jc w:val="both"/>
        <w:rPr>
          <w:rFonts w:ascii="Times New Roman" w:eastAsia="Times New Roman" w:hAnsi="Times New Roman"/>
          <w:iCs/>
          <w:lang w:val="en-US" w:eastAsia="zh-CN"/>
        </w:rPr>
      </w:pPr>
      <w:r>
        <w:rPr>
          <w:rFonts w:ascii="Times New Roman" w:eastAsia="Times New Roman" w:hAnsi="Times New Roman"/>
          <w:iCs/>
          <w:lang w:val="en-US" w:eastAsia="zh-CN"/>
        </w:rPr>
        <w:t>[10]</w:t>
      </w:r>
      <w:r w:rsidRPr="00D34A3E">
        <w:rPr>
          <w:rFonts w:ascii="Times New Roman" w:eastAsia="Times New Roman" w:hAnsi="Times New Roman"/>
          <w:iCs/>
          <w:lang w:val="en-US" w:eastAsia="zh-CN"/>
        </w:rPr>
        <w:t xml:space="preserve"> I. de la Peña </w:t>
      </w:r>
      <w:proofErr w:type="spellStart"/>
      <w:r w:rsidRPr="00D34A3E">
        <w:rPr>
          <w:rFonts w:ascii="Times New Roman" w:eastAsia="Times New Roman" w:hAnsi="Times New Roman"/>
          <w:iCs/>
          <w:lang w:val="en-US" w:eastAsia="zh-CN"/>
        </w:rPr>
        <w:t>Zarzuelo</w:t>
      </w:r>
      <w:proofErr w:type="spellEnd"/>
      <w:r w:rsidRPr="00D34A3E">
        <w:rPr>
          <w:rFonts w:ascii="Times New Roman" w:eastAsia="Times New Roman" w:hAnsi="Times New Roman"/>
          <w:iCs/>
          <w:lang w:val="en-US" w:eastAsia="zh-CN"/>
        </w:rPr>
        <w:t xml:space="preserve">, M. J. F. </w:t>
      </w:r>
      <w:proofErr w:type="spellStart"/>
      <w:r w:rsidRPr="00D34A3E">
        <w:rPr>
          <w:rFonts w:ascii="Times New Roman" w:eastAsia="Times New Roman" w:hAnsi="Times New Roman"/>
          <w:iCs/>
          <w:lang w:val="en-US" w:eastAsia="zh-CN"/>
        </w:rPr>
        <w:t>Soeane</w:t>
      </w:r>
      <w:proofErr w:type="spellEnd"/>
      <w:r w:rsidRPr="00D34A3E">
        <w:rPr>
          <w:rFonts w:ascii="Times New Roman" w:eastAsia="Times New Roman" w:hAnsi="Times New Roman"/>
          <w:iCs/>
          <w:lang w:val="en-US" w:eastAsia="zh-CN"/>
        </w:rPr>
        <w:t xml:space="preserve">, and B. L. Bermúdez, "Industry 4.0 in the port and maritime industry: A literature review," </w:t>
      </w:r>
      <w:r w:rsidRPr="00D34A3E">
        <w:rPr>
          <w:rFonts w:ascii="Times New Roman" w:eastAsia="Times New Roman" w:hAnsi="Times New Roman"/>
          <w:i/>
          <w:iCs/>
          <w:lang w:val="en-US" w:eastAsia="zh-CN"/>
        </w:rPr>
        <w:t xml:space="preserve">J. Ind. Inf. </w:t>
      </w:r>
      <w:proofErr w:type="spellStart"/>
      <w:r w:rsidRPr="00D34A3E">
        <w:rPr>
          <w:rFonts w:ascii="Times New Roman" w:eastAsia="Times New Roman" w:hAnsi="Times New Roman"/>
          <w:i/>
          <w:iCs/>
          <w:lang w:val="en-US" w:eastAsia="zh-CN"/>
        </w:rPr>
        <w:t>Integr</w:t>
      </w:r>
      <w:proofErr w:type="spellEnd"/>
      <w:r w:rsidRPr="00D34A3E">
        <w:rPr>
          <w:rFonts w:ascii="Times New Roman" w:eastAsia="Times New Roman" w:hAnsi="Times New Roman"/>
          <w:i/>
          <w:iCs/>
          <w:lang w:val="en-US" w:eastAsia="zh-CN"/>
        </w:rPr>
        <w:t>.</w:t>
      </w:r>
      <w:r w:rsidRPr="00D34A3E">
        <w:rPr>
          <w:rFonts w:ascii="Times New Roman" w:eastAsia="Times New Roman" w:hAnsi="Times New Roman"/>
          <w:iCs/>
          <w:lang w:val="en-US" w:eastAsia="zh-CN"/>
        </w:rPr>
        <w:t>, vol. 20, p. 100173, 2020.</w:t>
      </w:r>
    </w:p>
    <w:p w:rsidR="00D34A3E" w:rsidRPr="00D34A3E" w:rsidRDefault="00D34A3E" w:rsidP="00D34A3E">
      <w:pPr>
        <w:autoSpaceDE w:val="0"/>
        <w:autoSpaceDN w:val="0"/>
        <w:adjustRightInd w:val="0"/>
        <w:spacing w:after="0" w:line="240" w:lineRule="auto"/>
        <w:ind w:left="720" w:hanging="720"/>
        <w:jc w:val="both"/>
        <w:rPr>
          <w:rFonts w:ascii="Times New Roman" w:eastAsia="Times New Roman" w:hAnsi="Times New Roman"/>
          <w:iCs/>
          <w:lang w:val="en-US" w:eastAsia="zh-CN"/>
        </w:rPr>
      </w:pPr>
      <w:r>
        <w:rPr>
          <w:rFonts w:ascii="Times New Roman" w:eastAsia="Times New Roman" w:hAnsi="Times New Roman"/>
          <w:iCs/>
          <w:lang w:val="en-US" w:eastAsia="zh-CN"/>
        </w:rPr>
        <w:t>[11]</w:t>
      </w:r>
      <w:r w:rsidRPr="00D34A3E">
        <w:rPr>
          <w:rFonts w:ascii="Times New Roman" w:eastAsia="Times New Roman" w:hAnsi="Times New Roman"/>
          <w:iCs/>
          <w:lang w:val="en-US" w:eastAsia="zh-CN"/>
        </w:rPr>
        <w:t xml:space="preserve"> S. Ghosh, M. Bowles, D. </w:t>
      </w:r>
      <w:proofErr w:type="spellStart"/>
      <w:r w:rsidRPr="00D34A3E">
        <w:rPr>
          <w:rFonts w:ascii="Times New Roman" w:eastAsia="Times New Roman" w:hAnsi="Times New Roman"/>
          <w:iCs/>
          <w:lang w:val="en-US" w:eastAsia="zh-CN"/>
        </w:rPr>
        <w:t>Ranmuthugala</w:t>
      </w:r>
      <w:proofErr w:type="spellEnd"/>
      <w:r w:rsidRPr="00D34A3E">
        <w:rPr>
          <w:rFonts w:ascii="Times New Roman" w:eastAsia="Times New Roman" w:hAnsi="Times New Roman"/>
          <w:iCs/>
          <w:lang w:val="en-US" w:eastAsia="zh-CN"/>
        </w:rPr>
        <w:t xml:space="preserve">, and B. Brooks, "On a lookout beyond STCW: Seeking standards and context for the authentic assessment of seafarers," in </w:t>
      </w:r>
      <w:r w:rsidRPr="00D34A3E">
        <w:rPr>
          <w:rFonts w:ascii="Times New Roman" w:eastAsia="Times New Roman" w:hAnsi="Times New Roman"/>
          <w:i/>
          <w:iCs/>
          <w:lang w:val="en-US" w:eastAsia="zh-CN"/>
        </w:rPr>
        <w:t>15th Annual General Assembly of the International Association of Maritime Universities, IAMU AGA 2014-Looking Ahead: Innovation in Maritime Education, Training and Research</w:t>
      </w:r>
      <w:r w:rsidRPr="00D34A3E">
        <w:rPr>
          <w:rFonts w:ascii="Times New Roman" w:eastAsia="Times New Roman" w:hAnsi="Times New Roman"/>
          <w:iCs/>
          <w:lang w:val="en-US" w:eastAsia="zh-CN"/>
        </w:rPr>
        <w:t>, Australian Maritime College, 2014, pp. 77–86.</w:t>
      </w:r>
    </w:p>
    <w:p w:rsidR="00D34A3E" w:rsidRPr="00D34A3E" w:rsidRDefault="00D34A3E" w:rsidP="00D34A3E">
      <w:pPr>
        <w:autoSpaceDE w:val="0"/>
        <w:autoSpaceDN w:val="0"/>
        <w:adjustRightInd w:val="0"/>
        <w:spacing w:after="0" w:line="240" w:lineRule="auto"/>
        <w:ind w:left="720" w:hanging="720"/>
        <w:jc w:val="both"/>
        <w:rPr>
          <w:rFonts w:ascii="Times New Roman" w:eastAsia="Times New Roman" w:hAnsi="Times New Roman"/>
          <w:iCs/>
          <w:lang w:val="en-US" w:eastAsia="zh-CN"/>
        </w:rPr>
      </w:pPr>
      <w:r>
        <w:rPr>
          <w:rFonts w:ascii="Times New Roman" w:eastAsia="Times New Roman" w:hAnsi="Times New Roman"/>
          <w:iCs/>
          <w:lang w:val="en-US" w:eastAsia="zh-CN"/>
        </w:rPr>
        <w:t>[12]</w:t>
      </w:r>
      <w:r w:rsidRPr="00D34A3E">
        <w:rPr>
          <w:rFonts w:ascii="Times New Roman" w:eastAsia="Times New Roman" w:hAnsi="Times New Roman"/>
          <w:iCs/>
          <w:lang w:val="en-US" w:eastAsia="zh-CN"/>
        </w:rPr>
        <w:t xml:space="preserve"> P. </w:t>
      </w:r>
      <w:proofErr w:type="spellStart"/>
      <w:r w:rsidRPr="00D34A3E">
        <w:rPr>
          <w:rFonts w:ascii="Times New Roman" w:eastAsia="Times New Roman" w:hAnsi="Times New Roman"/>
          <w:iCs/>
          <w:lang w:val="en-US" w:eastAsia="zh-CN"/>
        </w:rPr>
        <w:t>Trenkner</w:t>
      </w:r>
      <w:proofErr w:type="spellEnd"/>
      <w:r w:rsidRPr="00D34A3E">
        <w:rPr>
          <w:rFonts w:ascii="Times New Roman" w:eastAsia="Times New Roman" w:hAnsi="Times New Roman"/>
          <w:iCs/>
          <w:lang w:val="en-US" w:eastAsia="zh-CN"/>
        </w:rPr>
        <w:t xml:space="preserve">, "Maritime English requirements and the revised STCW," in </w:t>
      </w:r>
      <w:r w:rsidRPr="00D34A3E">
        <w:rPr>
          <w:rFonts w:ascii="Times New Roman" w:eastAsia="Times New Roman" w:hAnsi="Times New Roman"/>
          <w:i/>
          <w:iCs/>
          <w:lang w:val="en-US" w:eastAsia="zh-CN"/>
        </w:rPr>
        <w:t>Szczecin: Proceedings of the International Maritime English Conference IMEC</w:t>
      </w:r>
      <w:r w:rsidRPr="00D34A3E">
        <w:rPr>
          <w:rFonts w:ascii="Times New Roman" w:eastAsia="Times New Roman" w:hAnsi="Times New Roman"/>
          <w:iCs/>
          <w:lang w:val="en-US" w:eastAsia="zh-CN"/>
        </w:rPr>
        <w:t>, 2009, pp. 5–10.</w:t>
      </w:r>
    </w:p>
    <w:p w:rsidR="00D34A3E" w:rsidRDefault="00D34A3E" w:rsidP="00D34A3E">
      <w:pPr>
        <w:autoSpaceDE w:val="0"/>
        <w:autoSpaceDN w:val="0"/>
        <w:adjustRightInd w:val="0"/>
        <w:spacing w:after="0" w:line="240" w:lineRule="auto"/>
        <w:ind w:left="720" w:hanging="720"/>
        <w:jc w:val="both"/>
        <w:rPr>
          <w:rFonts w:ascii="Times New Roman" w:eastAsia="Times New Roman" w:hAnsi="Times New Roman"/>
          <w:iCs/>
          <w:lang w:val="en-US" w:eastAsia="zh-CN"/>
        </w:rPr>
      </w:pPr>
      <w:r>
        <w:rPr>
          <w:rFonts w:ascii="Times New Roman" w:eastAsia="Times New Roman" w:hAnsi="Times New Roman"/>
          <w:iCs/>
          <w:lang w:val="en-US" w:eastAsia="zh-CN"/>
        </w:rPr>
        <w:t>[13]</w:t>
      </w:r>
      <w:r w:rsidRPr="00D34A3E">
        <w:rPr>
          <w:rFonts w:ascii="Times New Roman" w:eastAsia="Times New Roman" w:hAnsi="Times New Roman"/>
          <w:iCs/>
          <w:lang w:val="en-US" w:eastAsia="zh-CN"/>
        </w:rPr>
        <w:t xml:space="preserve"> V. K. Klotz, S. Billett, and E. Winther, "Promoting workforce excellence: formation and relevance of vocational identity for vocational educational training," </w:t>
      </w:r>
      <w:proofErr w:type="spellStart"/>
      <w:r w:rsidRPr="00D34A3E">
        <w:rPr>
          <w:rFonts w:ascii="Times New Roman" w:eastAsia="Times New Roman" w:hAnsi="Times New Roman"/>
          <w:i/>
          <w:iCs/>
          <w:lang w:val="en-US" w:eastAsia="zh-CN"/>
        </w:rPr>
        <w:t>Empir</w:t>
      </w:r>
      <w:proofErr w:type="spellEnd"/>
      <w:r w:rsidRPr="00D34A3E">
        <w:rPr>
          <w:rFonts w:ascii="Times New Roman" w:eastAsia="Times New Roman" w:hAnsi="Times New Roman"/>
          <w:i/>
          <w:iCs/>
          <w:lang w:val="en-US" w:eastAsia="zh-CN"/>
        </w:rPr>
        <w:t xml:space="preserve">. Res. </w:t>
      </w:r>
      <w:proofErr w:type="spellStart"/>
      <w:r w:rsidRPr="00D34A3E">
        <w:rPr>
          <w:rFonts w:ascii="Times New Roman" w:eastAsia="Times New Roman" w:hAnsi="Times New Roman"/>
          <w:i/>
          <w:iCs/>
          <w:lang w:val="en-US" w:eastAsia="zh-CN"/>
        </w:rPr>
        <w:t>Vocat</w:t>
      </w:r>
      <w:proofErr w:type="spellEnd"/>
      <w:r w:rsidRPr="00D34A3E">
        <w:rPr>
          <w:rFonts w:ascii="Times New Roman" w:eastAsia="Times New Roman" w:hAnsi="Times New Roman"/>
          <w:i/>
          <w:iCs/>
          <w:lang w:val="en-US" w:eastAsia="zh-CN"/>
        </w:rPr>
        <w:t>. Educ. Train.</w:t>
      </w:r>
      <w:r w:rsidRPr="00D34A3E">
        <w:rPr>
          <w:rFonts w:ascii="Times New Roman" w:eastAsia="Times New Roman" w:hAnsi="Times New Roman"/>
          <w:iCs/>
          <w:lang w:val="en-US" w:eastAsia="zh-CN"/>
        </w:rPr>
        <w:t>, vol. 6, pp. 1–20, 2014.</w:t>
      </w:r>
    </w:p>
    <w:p w:rsidR="00D34A3E" w:rsidRDefault="00D34A3E" w:rsidP="005A211F">
      <w:pPr>
        <w:autoSpaceDE w:val="0"/>
        <w:autoSpaceDN w:val="0"/>
        <w:adjustRightInd w:val="0"/>
        <w:spacing w:after="0" w:line="240" w:lineRule="auto"/>
        <w:ind w:firstLine="426"/>
        <w:jc w:val="both"/>
        <w:rPr>
          <w:rFonts w:ascii="Times New Roman" w:eastAsia="Times New Roman" w:hAnsi="Times New Roman"/>
          <w:iCs/>
          <w:lang w:val="en-US" w:eastAsia="zh-CN"/>
        </w:rPr>
        <w:sectPr w:rsidR="00D34A3E" w:rsidSect="00D34A3E">
          <w:type w:val="continuous"/>
          <w:pgSz w:w="11906" w:h="16838" w:code="9"/>
          <w:pgMar w:top="1080" w:right="907" w:bottom="1440" w:left="907" w:header="720" w:footer="720" w:gutter="0"/>
          <w:cols w:num="2" w:space="360"/>
          <w:docGrid w:linePitch="360"/>
        </w:sectPr>
      </w:pPr>
    </w:p>
    <w:p w:rsidR="007119B1" w:rsidRDefault="007119B1" w:rsidP="005A211F">
      <w:pPr>
        <w:autoSpaceDE w:val="0"/>
        <w:autoSpaceDN w:val="0"/>
        <w:adjustRightInd w:val="0"/>
        <w:spacing w:after="0" w:line="240" w:lineRule="auto"/>
        <w:ind w:firstLine="426"/>
        <w:jc w:val="both"/>
        <w:rPr>
          <w:rFonts w:ascii="Times New Roman" w:eastAsia="Times New Roman" w:hAnsi="Times New Roman"/>
          <w:iCs/>
          <w:lang w:val="en-US" w:eastAsia="zh-CN"/>
        </w:rPr>
      </w:pPr>
    </w:p>
    <w:p w:rsidR="007119B1" w:rsidRDefault="007119B1" w:rsidP="005A211F">
      <w:pPr>
        <w:autoSpaceDE w:val="0"/>
        <w:autoSpaceDN w:val="0"/>
        <w:adjustRightInd w:val="0"/>
        <w:spacing w:after="0" w:line="240" w:lineRule="auto"/>
        <w:ind w:firstLine="426"/>
        <w:jc w:val="both"/>
        <w:rPr>
          <w:rFonts w:ascii="Times New Roman" w:eastAsia="Times New Roman" w:hAnsi="Times New Roman"/>
          <w:iCs/>
          <w:lang w:val="en-US" w:eastAsia="zh-CN"/>
        </w:rPr>
      </w:pPr>
    </w:p>
    <w:sectPr w:rsidR="007119B1" w:rsidSect="007119B1">
      <w:type w:val="continuous"/>
      <w:pgSz w:w="11906" w:h="16838" w:code="9"/>
      <w:pgMar w:top="1080" w:right="907" w:bottom="1440" w:left="907"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7903" w:rsidRDefault="00027903">
      <w:pPr>
        <w:spacing w:after="0" w:line="240" w:lineRule="auto"/>
      </w:pPr>
      <w:r>
        <w:separator/>
      </w:r>
    </w:p>
  </w:endnote>
  <w:endnote w:type="continuationSeparator" w:id="0">
    <w:p w:rsidR="00027903" w:rsidRDefault="00027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211F" w:rsidRDefault="005A211F">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Pr>
        <w:rFonts w:ascii="Times New Roman" w:hAnsi="Times New Roman"/>
        <w:b/>
        <w:bCs/>
        <w:iCs/>
        <w:sz w:val="24"/>
        <w:szCs w:val="24"/>
        <w:lang w:val="en-US"/>
      </w:rPr>
      <w:t>1</w:t>
    </w:r>
    <w:r w:rsidR="00710738">
      <w:rPr>
        <w:rFonts w:ascii="Times New Roman" w:hAnsi="Times New Roman"/>
        <w:b/>
        <w:bCs/>
        <w:iCs/>
        <w:sz w:val="24"/>
        <w:szCs w:val="24"/>
        <w:lang w:val="en-US"/>
      </w:rPr>
      <w:t>8</w:t>
    </w:r>
    <w:r>
      <w:rPr>
        <w:rFonts w:ascii="Times New Roman" w:hAnsi="Times New Roman"/>
        <w:b/>
        <w:bCs/>
        <w:iCs/>
        <w:sz w:val="24"/>
        <w:szCs w:val="24"/>
      </w:rPr>
      <w:t xml:space="preserve">, No. </w:t>
    </w:r>
    <w:r w:rsidR="00710738">
      <w:rPr>
        <w:rFonts w:ascii="Times New Roman" w:hAnsi="Times New Roman"/>
        <w:b/>
        <w:bCs/>
        <w:iCs/>
        <w:sz w:val="24"/>
        <w:szCs w:val="24"/>
      </w:rPr>
      <w:t>1</w:t>
    </w:r>
    <w:r>
      <w:rPr>
        <w:rFonts w:ascii="Times New Roman" w:hAnsi="Times New Roman"/>
        <w:b/>
        <w:bCs/>
        <w:iCs/>
        <w:sz w:val="24"/>
        <w:szCs w:val="24"/>
        <w:lang w:val="en-US"/>
      </w:rPr>
      <w:t xml:space="preserve"> </w:t>
    </w:r>
    <w:r w:rsidR="00710738">
      <w:rPr>
        <w:rFonts w:ascii="Times New Roman" w:hAnsi="Times New Roman"/>
        <w:b/>
        <w:bCs/>
        <w:iCs/>
        <w:sz w:val="24"/>
        <w:szCs w:val="24"/>
      </w:rPr>
      <w:t>June</w:t>
    </w:r>
    <w:r>
      <w:rPr>
        <w:rFonts w:ascii="Times New Roman" w:hAnsi="Times New Roman"/>
        <w:b/>
        <w:bCs/>
        <w:iCs/>
        <w:sz w:val="24"/>
        <w:szCs w:val="24"/>
        <w:lang w:val="en-US"/>
      </w:rPr>
      <w:t xml:space="preserve"> 202</w:t>
    </w:r>
    <w:r w:rsidR="00710738">
      <w:rPr>
        <w:rFonts w:ascii="Times New Roman" w:hAnsi="Times New Roman"/>
        <w:b/>
        <w:bCs/>
        <w:iCs/>
        <w:sz w:val="24"/>
        <w:szCs w:val="24"/>
        <w:lang w:val="en-US"/>
      </w:rPr>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CB3908">
      <w:rPr>
        <w:rFonts w:ascii="Times New Roman" w:hAnsi="Times New Roman"/>
        <w:noProof/>
        <w:sz w:val="24"/>
        <w:szCs w:val="24"/>
      </w:rPr>
      <w:t>85</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7903" w:rsidRDefault="00027903">
      <w:pPr>
        <w:spacing w:after="0" w:line="240" w:lineRule="auto"/>
      </w:pPr>
      <w:r>
        <w:separator/>
      </w:r>
    </w:p>
  </w:footnote>
  <w:footnote w:type="continuationSeparator" w:id="0">
    <w:p w:rsidR="00027903" w:rsidRDefault="00027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25FE3478"/>
    <w:multiLevelType w:val="multilevel"/>
    <w:tmpl w:val="506E2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ED4748"/>
    <w:multiLevelType w:val="hybridMultilevel"/>
    <w:tmpl w:val="A9884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5" w15:restartNumberingAfterBreak="0">
    <w:nsid w:val="67D06098"/>
    <w:multiLevelType w:val="hybridMultilevel"/>
    <w:tmpl w:val="B4940562"/>
    <w:lvl w:ilvl="0" w:tplc="85440DC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1764130">
    <w:abstractNumId w:val="4"/>
  </w:num>
  <w:num w:numId="2" w16cid:durableId="847136377">
    <w:abstractNumId w:val="0"/>
  </w:num>
  <w:num w:numId="3" w16cid:durableId="1125275362">
    <w:abstractNumId w:val="1"/>
  </w:num>
  <w:num w:numId="4" w16cid:durableId="502596450">
    <w:abstractNumId w:val="6"/>
  </w:num>
  <w:num w:numId="5" w16cid:durableId="469590832">
    <w:abstractNumId w:val="5"/>
  </w:num>
  <w:num w:numId="6" w16cid:durableId="291712473">
    <w:abstractNumId w:val="2"/>
  </w:num>
  <w:num w:numId="7" w16cid:durableId="45110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characterSpacingControl w:val="doNotCompres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27903"/>
    <w:rsid w:val="00030B5C"/>
    <w:rsid w:val="00033E18"/>
    <w:rsid w:val="00041308"/>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E5FB5"/>
    <w:rsid w:val="000E6927"/>
    <w:rsid w:val="000F5F9E"/>
    <w:rsid w:val="0011640C"/>
    <w:rsid w:val="001221B0"/>
    <w:rsid w:val="0014123F"/>
    <w:rsid w:val="0016432C"/>
    <w:rsid w:val="00164A9E"/>
    <w:rsid w:val="00166D83"/>
    <w:rsid w:val="00167ABC"/>
    <w:rsid w:val="00175B04"/>
    <w:rsid w:val="001807B9"/>
    <w:rsid w:val="00182AC6"/>
    <w:rsid w:val="001A00C2"/>
    <w:rsid w:val="001A2FF5"/>
    <w:rsid w:val="001B28B7"/>
    <w:rsid w:val="001C376C"/>
    <w:rsid w:val="001C79A0"/>
    <w:rsid w:val="001D2DD8"/>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18D"/>
    <w:rsid w:val="002D5658"/>
    <w:rsid w:val="002F11B1"/>
    <w:rsid w:val="002F6A46"/>
    <w:rsid w:val="00300B39"/>
    <w:rsid w:val="00314187"/>
    <w:rsid w:val="003215D2"/>
    <w:rsid w:val="0033714C"/>
    <w:rsid w:val="00337E4A"/>
    <w:rsid w:val="00346590"/>
    <w:rsid w:val="00381098"/>
    <w:rsid w:val="003C5E0E"/>
    <w:rsid w:val="003D1666"/>
    <w:rsid w:val="003E1642"/>
    <w:rsid w:val="0042090F"/>
    <w:rsid w:val="004428A8"/>
    <w:rsid w:val="004511E0"/>
    <w:rsid w:val="0045526D"/>
    <w:rsid w:val="00455598"/>
    <w:rsid w:val="00461241"/>
    <w:rsid w:val="00461DC8"/>
    <w:rsid w:val="00470564"/>
    <w:rsid w:val="004714EA"/>
    <w:rsid w:val="00472FE4"/>
    <w:rsid w:val="00473FBF"/>
    <w:rsid w:val="00477DEE"/>
    <w:rsid w:val="00482F54"/>
    <w:rsid w:val="004A318B"/>
    <w:rsid w:val="004B27FD"/>
    <w:rsid w:val="004B2F9C"/>
    <w:rsid w:val="004D666F"/>
    <w:rsid w:val="004F1EE5"/>
    <w:rsid w:val="004F7229"/>
    <w:rsid w:val="00503C64"/>
    <w:rsid w:val="00530E15"/>
    <w:rsid w:val="00531A04"/>
    <w:rsid w:val="00544036"/>
    <w:rsid w:val="00550EA6"/>
    <w:rsid w:val="0055783F"/>
    <w:rsid w:val="0057188F"/>
    <w:rsid w:val="005831E4"/>
    <w:rsid w:val="00583497"/>
    <w:rsid w:val="00583700"/>
    <w:rsid w:val="0059609D"/>
    <w:rsid w:val="005A0D42"/>
    <w:rsid w:val="005A211F"/>
    <w:rsid w:val="005A2B62"/>
    <w:rsid w:val="005B6D02"/>
    <w:rsid w:val="005B7008"/>
    <w:rsid w:val="005C5A1E"/>
    <w:rsid w:val="005C6540"/>
    <w:rsid w:val="005D6635"/>
    <w:rsid w:val="005E3175"/>
    <w:rsid w:val="005F0407"/>
    <w:rsid w:val="005F1219"/>
    <w:rsid w:val="005F3A06"/>
    <w:rsid w:val="005F4B71"/>
    <w:rsid w:val="006056BE"/>
    <w:rsid w:val="006066A2"/>
    <w:rsid w:val="00612A0D"/>
    <w:rsid w:val="006171B3"/>
    <w:rsid w:val="0061729D"/>
    <w:rsid w:val="00617C9B"/>
    <w:rsid w:val="00635CBD"/>
    <w:rsid w:val="00667733"/>
    <w:rsid w:val="006709DA"/>
    <w:rsid w:val="006A33A6"/>
    <w:rsid w:val="006A55F1"/>
    <w:rsid w:val="006B0E27"/>
    <w:rsid w:val="006B629D"/>
    <w:rsid w:val="006D6D19"/>
    <w:rsid w:val="006E3D96"/>
    <w:rsid w:val="006E54DF"/>
    <w:rsid w:val="00702F31"/>
    <w:rsid w:val="00703126"/>
    <w:rsid w:val="00706863"/>
    <w:rsid w:val="00710601"/>
    <w:rsid w:val="00710738"/>
    <w:rsid w:val="007119B1"/>
    <w:rsid w:val="00712E82"/>
    <w:rsid w:val="00712FC7"/>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D7EA1"/>
    <w:rsid w:val="007E2120"/>
    <w:rsid w:val="007E4252"/>
    <w:rsid w:val="007F0EE3"/>
    <w:rsid w:val="007F1248"/>
    <w:rsid w:val="007F32D6"/>
    <w:rsid w:val="007F56FE"/>
    <w:rsid w:val="00811EEA"/>
    <w:rsid w:val="00815747"/>
    <w:rsid w:val="008267F9"/>
    <w:rsid w:val="008318D9"/>
    <w:rsid w:val="00870E3F"/>
    <w:rsid w:val="00872B5D"/>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51562"/>
    <w:rsid w:val="009657B5"/>
    <w:rsid w:val="0097284D"/>
    <w:rsid w:val="00983018"/>
    <w:rsid w:val="00983CFD"/>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214E1"/>
    <w:rsid w:val="00A37C6F"/>
    <w:rsid w:val="00A6121E"/>
    <w:rsid w:val="00A618F9"/>
    <w:rsid w:val="00A71D03"/>
    <w:rsid w:val="00A7430C"/>
    <w:rsid w:val="00A7534D"/>
    <w:rsid w:val="00AA4294"/>
    <w:rsid w:val="00AB34C5"/>
    <w:rsid w:val="00AC4EB1"/>
    <w:rsid w:val="00AC532E"/>
    <w:rsid w:val="00AC7448"/>
    <w:rsid w:val="00AD4086"/>
    <w:rsid w:val="00AE6F24"/>
    <w:rsid w:val="00AF5ED5"/>
    <w:rsid w:val="00AF623A"/>
    <w:rsid w:val="00B035C1"/>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767EC"/>
    <w:rsid w:val="00B803C4"/>
    <w:rsid w:val="00B81520"/>
    <w:rsid w:val="00B81A52"/>
    <w:rsid w:val="00B81D9E"/>
    <w:rsid w:val="00B83DC0"/>
    <w:rsid w:val="00B85B6D"/>
    <w:rsid w:val="00B9557C"/>
    <w:rsid w:val="00BA06EB"/>
    <w:rsid w:val="00BA15E4"/>
    <w:rsid w:val="00BA1FD2"/>
    <w:rsid w:val="00BB050A"/>
    <w:rsid w:val="00BB11B3"/>
    <w:rsid w:val="00BC2F62"/>
    <w:rsid w:val="00BC31E0"/>
    <w:rsid w:val="00BC75CA"/>
    <w:rsid w:val="00BD3DF2"/>
    <w:rsid w:val="00BE433F"/>
    <w:rsid w:val="00BE4C85"/>
    <w:rsid w:val="00BE7653"/>
    <w:rsid w:val="00C050E6"/>
    <w:rsid w:val="00C05853"/>
    <w:rsid w:val="00C07295"/>
    <w:rsid w:val="00C12717"/>
    <w:rsid w:val="00C23B5D"/>
    <w:rsid w:val="00C249E8"/>
    <w:rsid w:val="00C31ED1"/>
    <w:rsid w:val="00C35A97"/>
    <w:rsid w:val="00C400D0"/>
    <w:rsid w:val="00C4506E"/>
    <w:rsid w:val="00C475DF"/>
    <w:rsid w:val="00C63ADD"/>
    <w:rsid w:val="00C7149F"/>
    <w:rsid w:val="00C94422"/>
    <w:rsid w:val="00C958E2"/>
    <w:rsid w:val="00CB1532"/>
    <w:rsid w:val="00CB3908"/>
    <w:rsid w:val="00CB5385"/>
    <w:rsid w:val="00CC0689"/>
    <w:rsid w:val="00CC7E46"/>
    <w:rsid w:val="00CD2239"/>
    <w:rsid w:val="00CD310F"/>
    <w:rsid w:val="00CE1588"/>
    <w:rsid w:val="00D3241E"/>
    <w:rsid w:val="00D34407"/>
    <w:rsid w:val="00D34A3E"/>
    <w:rsid w:val="00D4253C"/>
    <w:rsid w:val="00D44A98"/>
    <w:rsid w:val="00D75783"/>
    <w:rsid w:val="00D816C8"/>
    <w:rsid w:val="00D934D6"/>
    <w:rsid w:val="00D93FD9"/>
    <w:rsid w:val="00DA5ACE"/>
    <w:rsid w:val="00DB194B"/>
    <w:rsid w:val="00DB5E65"/>
    <w:rsid w:val="00DB79BF"/>
    <w:rsid w:val="00DC624E"/>
    <w:rsid w:val="00DD12C8"/>
    <w:rsid w:val="00DE7113"/>
    <w:rsid w:val="00DF36B0"/>
    <w:rsid w:val="00DF4A78"/>
    <w:rsid w:val="00E07381"/>
    <w:rsid w:val="00E16BD4"/>
    <w:rsid w:val="00E20CEC"/>
    <w:rsid w:val="00E2165D"/>
    <w:rsid w:val="00E2535C"/>
    <w:rsid w:val="00E3393F"/>
    <w:rsid w:val="00E63677"/>
    <w:rsid w:val="00E75F8F"/>
    <w:rsid w:val="00E80032"/>
    <w:rsid w:val="00E82193"/>
    <w:rsid w:val="00EA19E5"/>
    <w:rsid w:val="00EA3E26"/>
    <w:rsid w:val="00EB1CF4"/>
    <w:rsid w:val="00EC0792"/>
    <w:rsid w:val="00EC5036"/>
    <w:rsid w:val="00ED1756"/>
    <w:rsid w:val="00ED35EC"/>
    <w:rsid w:val="00EE0C78"/>
    <w:rsid w:val="00EE489E"/>
    <w:rsid w:val="00EF1263"/>
    <w:rsid w:val="00EF2D87"/>
    <w:rsid w:val="00EF2E8F"/>
    <w:rsid w:val="00EF55AB"/>
    <w:rsid w:val="00EF6CC1"/>
    <w:rsid w:val="00F13F36"/>
    <w:rsid w:val="00F228F8"/>
    <w:rsid w:val="00F33B95"/>
    <w:rsid w:val="00F356F5"/>
    <w:rsid w:val="00F37A36"/>
    <w:rsid w:val="00F40AAC"/>
    <w:rsid w:val="00F41387"/>
    <w:rsid w:val="00F4452A"/>
    <w:rsid w:val="00F527FD"/>
    <w:rsid w:val="00F5577B"/>
    <w:rsid w:val="00F5793F"/>
    <w:rsid w:val="00F6141E"/>
    <w:rsid w:val="00F63368"/>
    <w:rsid w:val="00F679C1"/>
    <w:rsid w:val="00F72C13"/>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1E7EB3"/>
  <w15:chartTrackingRefBased/>
  <w15:docId w15:val="{20C19AAF-AE95-4C96-8024-D5210885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paragraph" w:styleId="Heading3">
    <w:name w:val="heading 3"/>
    <w:basedOn w:val="Normal"/>
    <w:next w:val="Normal"/>
    <w:link w:val="Heading3Char"/>
    <w:uiPriority w:val="9"/>
    <w:semiHidden/>
    <w:unhideWhenUsed/>
    <w:qFormat/>
    <w:rsid w:val="00D34A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Borders>
        <w:top w:val="single" w:sz="4" w:space="0" w:color="7E7E7E"/>
        <w:bottom w:val="single" w:sz="4" w:space="0" w:color="7E7E7E"/>
      </w:tblBorders>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Borders>
        <w:top w:val="single" w:sz="4" w:space="0" w:color="000000"/>
        <w:bottom w:val="single" w:sz="4" w:space="0" w:color="000000"/>
      </w:tblBorders>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table" w:customStyle="1" w:styleId="TableGrid1">
    <w:name w:val="Table Grid1"/>
    <w:basedOn w:val="TableNormal"/>
    <w:next w:val="TableGrid"/>
    <w:uiPriority w:val="39"/>
    <w:rsid w:val="005A211F"/>
    <w:rPr>
      <w:rFonts w:ascii="Times New Roman" w:hAnsi="Times New Roman"/>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34A3E"/>
    <w:rPr>
      <w:rFonts w:asciiTheme="majorHAnsi" w:eastAsiaTheme="majorEastAsia" w:hAnsiTheme="majorHAnsi" w:cstheme="majorBidi"/>
      <w:color w:val="1F4D78" w:themeColor="accent1" w:themeShade="7F"/>
      <w:sz w:val="24"/>
      <w:szCs w:val="24"/>
      <w:lang w:val="id-ID" w:eastAsia="en-US"/>
    </w:rPr>
  </w:style>
  <w:style w:type="character" w:styleId="UnresolvedMention">
    <w:name w:val="Unresolved Mention"/>
    <w:basedOn w:val="DefaultParagraphFont"/>
    <w:uiPriority w:val="99"/>
    <w:semiHidden/>
    <w:unhideWhenUsed/>
    <w:rsid w:val="00DE7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246683">
      <w:bodyDiv w:val="1"/>
      <w:marLeft w:val="0"/>
      <w:marRight w:val="0"/>
      <w:marTop w:val="0"/>
      <w:marBottom w:val="0"/>
      <w:divBdr>
        <w:top w:val="none" w:sz="0" w:space="0" w:color="auto"/>
        <w:left w:val="none" w:sz="0" w:space="0" w:color="auto"/>
        <w:bottom w:val="none" w:sz="0" w:space="0" w:color="auto"/>
        <w:right w:val="none" w:sz="0" w:space="0" w:color="auto"/>
      </w:divBdr>
    </w:div>
    <w:div w:id="775028901">
      <w:bodyDiv w:val="1"/>
      <w:marLeft w:val="0"/>
      <w:marRight w:val="0"/>
      <w:marTop w:val="0"/>
      <w:marBottom w:val="0"/>
      <w:divBdr>
        <w:top w:val="none" w:sz="0" w:space="0" w:color="auto"/>
        <w:left w:val="none" w:sz="0" w:space="0" w:color="auto"/>
        <w:bottom w:val="none" w:sz="0" w:space="0" w:color="auto"/>
        <w:right w:val="none" w:sz="0" w:space="0" w:color="auto"/>
      </w:divBdr>
    </w:div>
    <w:div w:id="19212572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khsan@poltekpelsulut.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FF11F00-06F2-43F7-811D-525E6D91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8883</Words>
  <Characters>50634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59399</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Marudut Simanjuntak</cp:lastModifiedBy>
  <cp:revision>4</cp:revision>
  <cp:lastPrinted>2024-06-10T07:48:00Z</cp:lastPrinted>
  <dcterms:created xsi:type="dcterms:W3CDTF">2025-06-29T15:48:00Z</dcterms:created>
  <dcterms:modified xsi:type="dcterms:W3CDTF">2025-06-30T03:30:00Z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