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47C" w:rsidRDefault="0075247C">
      <w:pPr>
        <w:spacing w:after="0" w:line="240" w:lineRule="auto"/>
        <w:jc w:val="center"/>
        <w:rPr>
          <w:rFonts w:ascii="Times New Roman" w:hAnsi="Times New Roman"/>
          <w:color w:val="FF0000"/>
          <w:lang w:val="en-US"/>
        </w:rPr>
      </w:pPr>
      <w:r>
        <w:rPr>
          <w:rFonts w:ascii="Times New Roman" w:hAnsi="Times New Roman"/>
          <w:color w:val="FF0000"/>
          <w:lang w:val="en-US"/>
        </w:rPr>
        <w:t>http://ejournal.stipjakarta.ac.id</w:t>
      </w:r>
    </w:p>
    <w:tbl>
      <w:tblPr>
        <w:tblW w:w="9639" w:type="dxa"/>
        <w:jc w:val="center"/>
        <w:tblLook w:val="0000" w:firstRow="0" w:lastRow="0" w:firstColumn="0" w:lastColumn="0" w:noHBand="0" w:noVBand="0"/>
      </w:tblPr>
      <w:tblGrid>
        <w:gridCol w:w="1969"/>
        <w:gridCol w:w="7670"/>
      </w:tblGrid>
      <w:tr w:rsidR="0075247C" w:rsidRPr="00B621A6" w:rsidTr="00B621A6">
        <w:trPr>
          <w:trHeight w:val="1321"/>
          <w:jc w:val="center"/>
        </w:trPr>
        <w:tc>
          <w:tcPr>
            <w:tcW w:w="1560" w:type="dxa"/>
            <w:tcBorders>
              <w:bottom w:val="single" w:sz="4" w:space="0" w:color="7E7E7E"/>
            </w:tcBorders>
            <w:shd w:val="clear" w:color="auto" w:fill="D8D8D8"/>
            <w:vAlign w:val="center"/>
          </w:tcPr>
          <w:p w:rsidR="0075247C" w:rsidRPr="00B621A6" w:rsidRDefault="0056231A" w:rsidP="00B621A6">
            <w:pPr>
              <w:autoSpaceDE w:val="0"/>
              <w:autoSpaceDN w:val="0"/>
              <w:adjustRightInd w:val="0"/>
              <w:spacing w:after="0" w:line="240" w:lineRule="auto"/>
              <w:jc w:val="center"/>
              <w:rPr>
                <w:rFonts w:ascii="Times New Roman" w:hAnsi="Times New Roman"/>
                <w:b/>
                <w:bCs/>
                <w:lang w:eastAsia="id-ID"/>
              </w:rPr>
            </w:pPr>
            <w:bookmarkStart w:id="0" w:name="_Hlk480318415"/>
            <w:r w:rsidRPr="00B621A6">
              <w:rPr>
                <w:rFonts w:ascii="Times New Roman" w:hAnsi="Times New Roman"/>
                <w:b/>
                <w:bCs/>
                <w:noProof/>
                <w:lang w:val="en-ID" w:eastAsia="en-ID"/>
              </w:rPr>
              <w:drawing>
                <wp:inline distT="0" distB="0" distL="0" distR="0">
                  <wp:extent cx="1113155" cy="8826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3155" cy="882650"/>
                          </a:xfrm>
                          <a:prstGeom prst="rect">
                            <a:avLst/>
                          </a:prstGeom>
                          <a:noFill/>
                          <a:ln>
                            <a:noFill/>
                          </a:ln>
                        </pic:spPr>
                      </pic:pic>
                    </a:graphicData>
                  </a:graphic>
                </wp:inline>
              </w:drawing>
            </w:r>
          </w:p>
        </w:tc>
        <w:tc>
          <w:tcPr>
            <w:tcW w:w="8079" w:type="dxa"/>
            <w:tcBorders>
              <w:bottom w:val="single" w:sz="4" w:space="0" w:color="7E7E7E"/>
            </w:tcBorders>
            <w:shd w:val="clear" w:color="auto" w:fill="D8D8D8"/>
            <w:vAlign w:val="center"/>
          </w:tcPr>
          <w:p w:rsidR="0075247C" w:rsidRPr="00B621A6" w:rsidRDefault="0075247C" w:rsidP="00B621A6">
            <w:pPr>
              <w:autoSpaceDE w:val="0"/>
              <w:autoSpaceDN w:val="0"/>
              <w:adjustRightInd w:val="0"/>
              <w:spacing w:after="0" w:line="240" w:lineRule="auto"/>
              <w:ind w:left="-90"/>
              <w:jc w:val="center"/>
              <w:rPr>
                <w:rFonts w:ascii="Times New Roman" w:eastAsia="Calibri" w:hAnsi="Times New Roman"/>
                <w:bCs/>
                <w:i/>
                <w:color w:val="1F497D"/>
                <w:sz w:val="66"/>
                <w:szCs w:val="66"/>
                <w:lang w:val="en-US"/>
              </w:rPr>
            </w:pPr>
            <w:r w:rsidRPr="00B621A6">
              <w:rPr>
                <w:rFonts w:ascii="Times New Roman" w:eastAsia="Calibri" w:hAnsi="Times New Roman"/>
                <w:bCs/>
                <w:i/>
                <w:color w:val="1F497D"/>
                <w:sz w:val="66"/>
                <w:szCs w:val="66"/>
                <w:lang w:val="en-US"/>
              </w:rPr>
              <w:t>METEOR STIP MARUNDA</w:t>
            </w:r>
          </w:p>
        </w:tc>
      </w:tr>
      <w:tr w:rsidR="0075247C" w:rsidRPr="00B621A6" w:rsidTr="00B621A6">
        <w:trPr>
          <w:trHeight w:val="273"/>
          <w:jc w:val="center"/>
        </w:trPr>
        <w:tc>
          <w:tcPr>
            <w:tcW w:w="1560" w:type="dxa"/>
            <w:tcBorders>
              <w:top w:val="single" w:sz="4" w:space="0" w:color="7E7E7E"/>
              <w:bottom w:val="single" w:sz="4" w:space="0" w:color="7E7E7E"/>
            </w:tcBorders>
            <w:shd w:val="clear" w:color="auto" w:fill="D8D8D8"/>
          </w:tcPr>
          <w:p w:rsidR="0075247C" w:rsidRPr="00B621A6" w:rsidRDefault="0075247C" w:rsidP="00B621A6">
            <w:pPr>
              <w:autoSpaceDE w:val="0"/>
              <w:autoSpaceDN w:val="0"/>
              <w:adjustRightInd w:val="0"/>
              <w:spacing w:after="0" w:line="240" w:lineRule="auto"/>
              <w:ind w:left="-90"/>
              <w:rPr>
                <w:rFonts w:ascii="Times New Roman" w:hAnsi="Times New Roman"/>
                <w:bCs/>
                <w:sz w:val="16"/>
                <w:szCs w:val="16"/>
                <w:lang w:val="en-US" w:eastAsia="id-ID"/>
              </w:rPr>
            </w:pPr>
            <w:r w:rsidRPr="00B621A6">
              <w:rPr>
                <w:rFonts w:ascii="Times New Roman" w:hAnsi="Times New Roman"/>
                <w:bCs/>
                <w:sz w:val="16"/>
                <w:szCs w:val="16"/>
                <w:lang w:val="en-US" w:eastAsia="id-ID"/>
              </w:rPr>
              <w:t>p</w:t>
            </w:r>
            <w:r w:rsidRPr="00B621A6">
              <w:rPr>
                <w:rFonts w:ascii="Times New Roman" w:hAnsi="Times New Roman"/>
                <w:bCs/>
                <w:sz w:val="16"/>
                <w:szCs w:val="16"/>
                <w:lang w:eastAsia="id-ID"/>
              </w:rPr>
              <w:t>ISSN</w:t>
            </w:r>
            <w:r w:rsidRPr="00B621A6">
              <w:rPr>
                <w:rFonts w:ascii="Times New Roman" w:hAnsi="Times New Roman"/>
                <w:bCs/>
                <w:sz w:val="16"/>
                <w:szCs w:val="16"/>
                <w:lang w:val="en-US" w:eastAsia="id-ID"/>
              </w:rPr>
              <w:t xml:space="preserve">  </w:t>
            </w:r>
            <w:r w:rsidRPr="00B621A6">
              <w:rPr>
                <w:rFonts w:ascii="Times New Roman" w:hAnsi="Times New Roman"/>
                <w:bCs/>
                <w:sz w:val="16"/>
                <w:szCs w:val="16"/>
                <w:lang w:eastAsia="id-ID"/>
              </w:rPr>
              <w:t xml:space="preserve"> </w:t>
            </w:r>
            <w:r w:rsidRPr="00B621A6">
              <w:rPr>
                <w:rFonts w:ascii="Times New Roman" w:hAnsi="Times New Roman"/>
                <w:bCs/>
                <w:sz w:val="16"/>
                <w:szCs w:val="16"/>
                <w:lang w:val="en-US" w:eastAsia="id-ID"/>
              </w:rPr>
              <w:t xml:space="preserve"> </w:t>
            </w:r>
            <w:r w:rsidRPr="00B621A6">
              <w:rPr>
                <w:rFonts w:ascii="Times New Roman" w:hAnsi="Times New Roman"/>
                <w:bCs/>
                <w:sz w:val="16"/>
                <w:szCs w:val="16"/>
                <w:lang w:eastAsia="id-ID"/>
              </w:rPr>
              <w:t>: 1</w:t>
            </w:r>
            <w:r w:rsidRPr="00B621A6">
              <w:rPr>
                <w:rFonts w:ascii="Times New Roman" w:hAnsi="Times New Roman"/>
                <w:bCs/>
                <w:sz w:val="16"/>
                <w:szCs w:val="16"/>
                <w:lang w:val="en-US" w:eastAsia="id-ID"/>
              </w:rPr>
              <w:t>979 – 4746</w:t>
            </w:r>
          </w:p>
          <w:p w:rsidR="0075247C" w:rsidRPr="00B621A6" w:rsidRDefault="0075247C" w:rsidP="00B621A6">
            <w:pPr>
              <w:autoSpaceDE w:val="0"/>
              <w:autoSpaceDN w:val="0"/>
              <w:adjustRightInd w:val="0"/>
              <w:spacing w:after="0" w:line="240" w:lineRule="auto"/>
              <w:ind w:left="-90"/>
              <w:rPr>
                <w:rFonts w:ascii="Times New Roman" w:hAnsi="Times New Roman"/>
                <w:bCs/>
                <w:sz w:val="16"/>
                <w:szCs w:val="16"/>
                <w:lang w:val="en-US" w:eastAsia="id-ID"/>
              </w:rPr>
            </w:pPr>
            <w:proofErr w:type="spellStart"/>
            <w:r w:rsidRPr="00B621A6">
              <w:rPr>
                <w:rFonts w:ascii="Times New Roman" w:hAnsi="Times New Roman"/>
                <w:bCs/>
                <w:sz w:val="16"/>
                <w:szCs w:val="16"/>
                <w:lang w:val="en-US" w:eastAsia="id-ID"/>
              </w:rPr>
              <w:t>eISSN</w:t>
            </w:r>
            <w:proofErr w:type="spellEnd"/>
            <w:r w:rsidRPr="00B621A6">
              <w:rPr>
                <w:rFonts w:ascii="Times New Roman" w:hAnsi="Times New Roman"/>
                <w:bCs/>
                <w:sz w:val="16"/>
                <w:szCs w:val="16"/>
                <w:lang w:val="en-US" w:eastAsia="id-ID"/>
              </w:rPr>
              <w:t xml:space="preserve">    :  2685 - 4775</w:t>
            </w:r>
          </w:p>
        </w:tc>
        <w:tc>
          <w:tcPr>
            <w:tcW w:w="8079" w:type="dxa"/>
            <w:tcBorders>
              <w:top w:val="single" w:sz="4" w:space="0" w:color="7E7E7E"/>
              <w:bottom w:val="single" w:sz="4" w:space="0" w:color="7E7E7E"/>
            </w:tcBorders>
            <w:shd w:val="clear" w:color="auto" w:fill="D8D8D8"/>
            <w:vAlign w:val="center"/>
          </w:tcPr>
          <w:p w:rsidR="0075247C" w:rsidRPr="00B621A6" w:rsidRDefault="0075247C" w:rsidP="00B621A6">
            <w:pPr>
              <w:autoSpaceDE w:val="0"/>
              <w:autoSpaceDN w:val="0"/>
              <w:adjustRightInd w:val="0"/>
              <w:spacing w:after="0" w:line="240" w:lineRule="auto"/>
              <w:jc w:val="center"/>
              <w:rPr>
                <w:rFonts w:ascii="Times New Roman" w:hAnsi="Times New Roman"/>
                <w:i/>
                <w:color w:val="000080"/>
                <w:sz w:val="160"/>
                <w:szCs w:val="160"/>
                <w:lang w:val="sv-SE"/>
              </w:rPr>
            </w:pPr>
            <w:r w:rsidRPr="00B621A6">
              <w:rPr>
                <w:rFonts w:ascii="Times New Roman" w:eastAsia="Calibri" w:hAnsi="Times New Roman"/>
                <w:b/>
                <w:i/>
                <w:color w:val="1F497D"/>
                <w:sz w:val="24"/>
                <w:szCs w:val="24"/>
                <w:lang w:val="en-US"/>
              </w:rPr>
              <w:t>Maritime Institute of Jakarta</w:t>
            </w:r>
          </w:p>
        </w:tc>
      </w:tr>
      <w:bookmarkEnd w:id="0"/>
    </w:tbl>
    <w:p w:rsidR="0075247C" w:rsidRDefault="0075247C">
      <w:pPr>
        <w:autoSpaceDE w:val="0"/>
        <w:autoSpaceDN w:val="0"/>
        <w:adjustRightInd w:val="0"/>
        <w:spacing w:after="0" w:line="240" w:lineRule="auto"/>
        <w:rPr>
          <w:rFonts w:ascii="Times New Roman" w:hAnsi="Times New Roman"/>
          <w:b/>
          <w:color w:val="000000"/>
        </w:rPr>
      </w:pPr>
    </w:p>
    <w:tbl>
      <w:tblPr>
        <w:tblW w:w="9390" w:type="dxa"/>
        <w:tblInd w:w="108" w:type="dxa"/>
        <w:tblBorders>
          <w:top w:val="single" w:sz="4" w:space="0" w:color="auto"/>
          <w:bottom w:val="single" w:sz="4" w:space="0" w:color="7E7E7E"/>
          <w:insideH w:val="single" w:sz="4" w:space="0" w:color="7E7E7E"/>
          <w:insideV w:val="single" w:sz="4" w:space="0" w:color="7E7E7E"/>
        </w:tblBorders>
        <w:tblLook w:val="0000" w:firstRow="0" w:lastRow="0" w:firstColumn="0" w:lastColumn="0" w:noHBand="0" w:noVBand="0"/>
      </w:tblPr>
      <w:tblGrid>
        <w:gridCol w:w="9390"/>
      </w:tblGrid>
      <w:tr w:rsidR="0075247C" w:rsidRPr="00B621A6" w:rsidTr="00590773">
        <w:tc>
          <w:tcPr>
            <w:tcW w:w="9390" w:type="dxa"/>
            <w:tcBorders>
              <w:top w:val="single" w:sz="24" w:space="0" w:color="auto"/>
              <w:bottom w:val="single" w:sz="8" w:space="0" w:color="auto"/>
            </w:tcBorders>
            <w:shd w:val="clear" w:color="auto" w:fill="auto"/>
          </w:tcPr>
          <w:p w:rsidR="0075247C" w:rsidRPr="00B621A6" w:rsidRDefault="0075247C" w:rsidP="00B621A6">
            <w:pPr>
              <w:autoSpaceDE w:val="0"/>
              <w:autoSpaceDN w:val="0"/>
              <w:adjustRightInd w:val="0"/>
              <w:spacing w:after="0" w:line="240" w:lineRule="auto"/>
              <w:jc w:val="center"/>
              <w:rPr>
                <w:rFonts w:ascii="Times New Roman" w:eastAsia="Calibri" w:hAnsi="Times New Roman"/>
                <w:bCs/>
              </w:rPr>
            </w:pPr>
          </w:p>
          <w:p w:rsidR="0075247C" w:rsidRDefault="0056231A" w:rsidP="0056231A">
            <w:pPr>
              <w:spacing w:after="0" w:line="240" w:lineRule="auto"/>
              <w:jc w:val="center"/>
              <w:rPr>
                <w:rFonts w:ascii="Times New Roman" w:eastAsia="Calibri" w:hAnsi="Times New Roman"/>
                <w:b/>
                <w:bCs/>
                <w:sz w:val="28"/>
                <w:szCs w:val="28"/>
              </w:rPr>
            </w:pPr>
            <w:r w:rsidRPr="0056231A">
              <w:rPr>
                <w:rFonts w:ascii="Times New Roman" w:eastAsia="Calibri" w:hAnsi="Times New Roman"/>
                <w:b/>
                <w:bCs/>
                <w:sz w:val="28"/>
                <w:szCs w:val="28"/>
              </w:rPr>
              <w:t>Building a Sustainable Maritime Finance Ecosystem: Enhancing Shipping Management and Education</w:t>
            </w:r>
          </w:p>
          <w:p w:rsidR="0056231A" w:rsidRPr="00B621A6" w:rsidRDefault="0056231A" w:rsidP="0056231A">
            <w:pPr>
              <w:spacing w:after="0" w:line="240" w:lineRule="auto"/>
              <w:jc w:val="center"/>
              <w:rPr>
                <w:rFonts w:ascii="Times New Roman" w:eastAsia="Calibri" w:hAnsi="Times New Roman"/>
                <w:b/>
                <w:i/>
                <w:iCs/>
              </w:rPr>
            </w:pPr>
          </w:p>
          <w:p w:rsidR="0075247C" w:rsidRDefault="0075247C" w:rsidP="00B621A6">
            <w:pPr>
              <w:autoSpaceDE w:val="0"/>
              <w:autoSpaceDN w:val="0"/>
              <w:adjustRightInd w:val="0"/>
              <w:spacing w:after="0" w:line="240" w:lineRule="auto"/>
              <w:jc w:val="center"/>
              <w:rPr>
                <w:rFonts w:ascii="Times New Roman" w:eastAsia="Calibri" w:hAnsi="Times New Roman"/>
                <w:i/>
                <w:lang w:val="en-US"/>
              </w:rPr>
            </w:pPr>
            <w:r w:rsidRPr="00875B1E">
              <w:rPr>
                <w:rFonts w:ascii="Times New Roman" w:eastAsia="Calibri" w:hAnsi="Times New Roman"/>
                <w:i/>
                <w:vertAlign w:val="superscript"/>
                <w:lang w:val="en-US"/>
              </w:rPr>
              <w:t>1</w:t>
            </w:r>
            <w:r w:rsidR="00875B1E" w:rsidRPr="00875B1E">
              <w:rPr>
                <w:rFonts w:ascii="Times New Roman" w:eastAsia="Calibri" w:hAnsi="Times New Roman"/>
                <w:i/>
                <w:vertAlign w:val="superscript"/>
              </w:rPr>
              <w:t>,2</w:t>
            </w:r>
            <w:r w:rsidRPr="00875B1E">
              <w:rPr>
                <w:rFonts w:ascii="Times New Roman" w:eastAsia="Calibri" w:hAnsi="Times New Roman"/>
                <w:i/>
                <w:vertAlign w:val="superscript"/>
                <w:lang w:val="en-US"/>
              </w:rPr>
              <w:t xml:space="preserve"> </w:t>
            </w:r>
            <w:r w:rsidR="00875B1E" w:rsidRPr="00875B1E">
              <w:rPr>
                <w:rFonts w:ascii="Times New Roman" w:eastAsia="Calibri" w:hAnsi="Times New Roman"/>
                <w:i/>
              </w:rPr>
              <w:t>Titis Ari Wibowo</w:t>
            </w:r>
            <w:r w:rsidRPr="00875B1E">
              <w:rPr>
                <w:rFonts w:ascii="Times New Roman" w:eastAsia="Calibri" w:hAnsi="Times New Roman"/>
                <w:i/>
                <w:lang w:val="en-US"/>
              </w:rPr>
              <w:t>,</w:t>
            </w:r>
            <w:r w:rsidR="00875B1E" w:rsidRPr="00875B1E">
              <w:rPr>
                <w:rFonts w:ascii="Times New Roman" w:eastAsia="Calibri" w:hAnsi="Times New Roman"/>
                <w:i/>
                <w:vertAlign w:val="superscript"/>
              </w:rPr>
              <w:t>1,2</w:t>
            </w:r>
            <w:r w:rsidRPr="00875B1E">
              <w:rPr>
                <w:rFonts w:ascii="Times New Roman" w:eastAsia="Calibri" w:hAnsi="Times New Roman"/>
                <w:i/>
                <w:lang w:val="en-US"/>
              </w:rPr>
              <w:t xml:space="preserve"> </w:t>
            </w:r>
            <w:r w:rsidR="00875B1E" w:rsidRPr="00875B1E">
              <w:rPr>
                <w:rFonts w:ascii="Times New Roman" w:eastAsia="Calibri" w:hAnsi="Times New Roman"/>
                <w:i/>
              </w:rPr>
              <w:t>Mudakir</w:t>
            </w:r>
            <w:r w:rsidRPr="00875B1E">
              <w:rPr>
                <w:rFonts w:ascii="Times New Roman" w:eastAsia="Calibri" w:hAnsi="Times New Roman"/>
                <w:i/>
                <w:lang w:val="en-US"/>
              </w:rPr>
              <w:t>,</w:t>
            </w:r>
            <w:r w:rsidR="00875B1E" w:rsidRPr="00875B1E">
              <w:rPr>
                <w:rFonts w:ascii="Times New Roman" w:eastAsia="Calibri" w:hAnsi="Times New Roman"/>
                <w:i/>
                <w:vertAlign w:val="superscript"/>
              </w:rPr>
              <w:t>2</w:t>
            </w:r>
            <w:r w:rsidRPr="00875B1E">
              <w:rPr>
                <w:rFonts w:ascii="Times New Roman" w:eastAsia="Calibri" w:hAnsi="Times New Roman"/>
                <w:i/>
                <w:vertAlign w:val="superscript"/>
                <w:lang w:val="en-US"/>
              </w:rPr>
              <w:t xml:space="preserve"> </w:t>
            </w:r>
            <w:r w:rsidR="00875B1E" w:rsidRPr="00875B1E">
              <w:rPr>
                <w:rFonts w:ascii="Times New Roman" w:eastAsia="Calibri" w:hAnsi="Times New Roman"/>
                <w:i/>
              </w:rPr>
              <w:t>Muhammad Zilal Hamzah,</w:t>
            </w:r>
            <w:r w:rsidR="00875B1E" w:rsidRPr="00875B1E">
              <w:rPr>
                <w:rFonts w:ascii="Times New Roman" w:eastAsia="Calibri" w:hAnsi="Times New Roman"/>
                <w:i/>
                <w:vertAlign w:val="superscript"/>
              </w:rPr>
              <w:t>2</w:t>
            </w:r>
            <w:proofErr w:type="spellStart"/>
            <w:r w:rsidR="00875B1E" w:rsidRPr="00875B1E">
              <w:rPr>
                <w:rFonts w:ascii="Times New Roman" w:eastAsia="Calibri" w:hAnsi="Times New Roman"/>
                <w:i/>
                <w:lang w:val="en-US"/>
              </w:rPr>
              <w:t>Eleonora</w:t>
            </w:r>
            <w:proofErr w:type="spellEnd"/>
            <w:r w:rsidR="00875B1E" w:rsidRPr="00875B1E">
              <w:rPr>
                <w:rFonts w:ascii="Times New Roman" w:eastAsia="Calibri" w:hAnsi="Times New Roman"/>
                <w:i/>
                <w:lang w:val="en-US"/>
              </w:rPr>
              <w:t xml:space="preserve"> </w:t>
            </w:r>
            <w:proofErr w:type="spellStart"/>
            <w:r w:rsidR="00875B1E" w:rsidRPr="00875B1E">
              <w:rPr>
                <w:rFonts w:ascii="Times New Roman" w:eastAsia="Calibri" w:hAnsi="Times New Roman"/>
                <w:i/>
                <w:lang w:val="en-US"/>
              </w:rPr>
              <w:t>Sofilda</w:t>
            </w:r>
            <w:proofErr w:type="spellEnd"/>
          </w:p>
          <w:p w:rsidR="00875B1E" w:rsidRPr="00875B1E" w:rsidRDefault="00875B1E" w:rsidP="00B621A6">
            <w:pPr>
              <w:autoSpaceDE w:val="0"/>
              <w:autoSpaceDN w:val="0"/>
              <w:adjustRightInd w:val="0"/>
              <w:spacing w:after="0" w:line="240" w:lineRule="auto"/>
              <w:jc w:val="center"/>
              <w:rPr>
                <w:rFonts w:ascii="Times New Roman" w:eastAsia="Calibri" w:hAnsi="Times New Roman"/>
                <w:i/>
                <w:lang w:val="en-US"/>
              </w:rPr>
            </w:pPr>
          </w:p>
          <w:p w:rsidR="000C4333" w:rsidRPr="00875B1E" w:rsidRDefault="0075247C" w:rsidP="00B621A6">
            <w:pPr>
              <w:autoSpaceDE w:val="0"/>
              <w:autoSpaceDN w:val="0"/>
              <w:adjustRightInd w:val="0"/>
              <w:spacing w:after="0" w:line="240" w:lineRule="auto"/>
              <w:jc w:val="center"/>
              <w:rPr>
                <w:rFonts w:ascii="Times New Roman" w:eastAsia="Calibri" w:hAnsi="Times New Roman"/>
                <w:i/>
              </w:rPr>
            </w:pPr>
            <w:r w:rsidRPr="00B621A6">
              <w:rPr>
                <w:rFonts w:ascii="Times New Roman" w:eastAsia="Calibri" w:hAnsi="Times New Roman"/>
                <w:i/>
                <w:vertAlign w:val="superscript"/>
                <w:lang w:val="en-US"/>
              </w:rPr>
              <w:t>1</w:t>
            </w:r>
            <w:r w:rsidR="00875B1E">
              <w:rPr>
                <w:rFonts w:ascii="Times New Roman" w:eastAsia="Calibri" w:hAnsi="Times New Roman"/>
                <w:i/>
              </w:rPr>
              <w:t>Sekolah Tinggi Ilmu Pelayaran Jakarta, North Jakarta, Indonesia</w:t>
            </w:r>
          </w:p>
          <w:p w:rsidR="000C4333" w:rsidRDefault="0075247C" w:rsidP="00B621A6">
            <w:pPr>
              <w:autoSpaceDE w:val="0"/>
              <w:autoSpaceDN w:val="0"/>
              <w:adjustRightInd w:val="0"/>
              <w:spacing w:after="0" w:line="240" w:lineRule="auto"/>
              <w:jc w:val="center"/>
              <w:rPr>
                <w:rFonts w:ascii="Times New Roman" w:eastAsia="Calibri" w:hAnsi="Times New Roman"/>
                <w:i/>
                <w:lang w:val="en-US"/>
              </w:rPr>
            </w:pPr>
            <w:r w:rsidRPr="00B621A6">
              <w:rPr>
                <w:rFonts w:ascii="Times New Roman" w:eastAsia="Calibri" w:hAnsi="Times New Roman"/>
                <w:i/>
                <w:vertAlign w:val="superscript"/>
                <w:lang w:val="en-US"/>
              </w:rPr>
              <w:t>2</w:t>
            </w:r>
            <w:r w:rsidR="000C4333">
              <w:t xml:space="preserve"> </w:t>
            </w:r>
            <w:r w:rsidR="00875B1E" w:rsidRPr="00875B1E">
              <w:rPr>
                <w:rFonts w:ascii="Times New Roman" w:eastAsia="Calibri" w:hAnsi="Times New Roman"/>
                <w:i/>
                <w:lang w:val="en-US"/>
              </w:rPr>
              <w:t xml:space="preserve">Faculty </w:t>
            </w:r>
            <w:r w:rsidR="00D54487">
              <w:rPr>
                <w:rFonts w:ascii="Times New Roman" w:eastAsia="Calibri" w:hAnsi="Times New Roman"/>
                <w:i/>
              </w:rPr>
              <w:t>o</w:t>
            </w:r>
            <w:r w:rsidR="00875B1E" w:rsidRPr="00875B1E">
              <w:rPr>
                <w:rFonts w:ascii="Times New Roman" w:eastAsia="Calibri" w:hAnsi="Times New Roman"/>
                <w:i/>
                <w:lang w:val="en-US"/>
              </w:rPr>
              <w:t xml:space="preserve">f Business And Economics, </w:t>
            </w:r>
            <w:proofErr w:type="spellStart"/>
            <w:r w:rsidR="00875B1E" w:rsidRPr="00875B1E">
              <w:rPr>
                <w:rFonts w:ascii="Times New Roman" w:eastAsia="Calibri" w:hAnsi="Times New Roman"/>
                <w:i/>
                <w:lang w:val="en-US"/>
              </w:rPr>
              <w:t>Trisakti</w:t>
            </w:r>
            <w:proofErr w:type="spellEnd"/>
            <w:r w:rsidR="00875B1E" w:rsidRPr="00875B1E">
              <w:rPr>
                <w:rFonts w:ascii="Times New Roman" w:eastAsia="Calibri" w:hAnsi="Times New Roman"/>
                <w:i/>
                <w:lang w:val="en-US"/>
              </w:rPr>
              <w:t xml:space="preserve"> University,</w:t>
            </w:r>
            <w:r w:rsidR="00D54487">
              <w:rPr>
                <w:rFonts w:ascii="Times New Roman" w:eastAsia="Calibri" w:hAnsi="Times New Roman"/>
                <w:i/>
              </w:rPr>
              <w:t xml:space="preserve"> </w:t>
            </w:r>
            <w:r w:rsidR="00875B1E" w:rsidRPr="00875B1E">
              <w:rPr>
                <w:rFonts w:ascii="Times New Roman" w:eastAsia="Calibri" w:hAnsi="Times New Roman"/>
                <w:i/>
                <w:lang w:val="en-US"/>
              </w:rPr>
              <w:t>Indonesia</w:t>
            </w:r>
          </w:p>
          <w:p w:rsidR="0075247C" w:rsidRPr="00B621A6" w:rsidRDefault="0075247C" w:rsidP="00B621A6">
            <w:pPr>
              <w:autoSpaceDE w:val="0"/>
              <w:autoSpaceDN w:val="0"/>
              <w:adjustRightInd w:val="0"/>
              <w:spacing w:after="0" w:line="240" w:lineRule="auto"/>
              <w:jc w:val="center"/>
              <w:rPr>
                <w:rFonts w:ascii="TimesNewRomanPS-ItalicMT" w:hAnsi="TimesNewRomanPS-ItalicMT" w:cs="TimesNewRomanPS-ItalicMT"/>
                <w:i/>
                <w:iCs/>
                <w:lang w:val="en-US"/>
              </w:rPr>
            </w:pPr>
          </w:p>
          <w:p w:rsidR="0075247C" w:rsidRPr="00B621A6" w:rsidRDefault="0075247C" w:rsidP="00B621A6">
            <w:pPr>
              <w:autoSpaceDE w:val="0"/>
              <w:autoSpaceDN w:val="0"/>
              <w:adjustRightInd w:val="0"/>
              <w:spacing w:after="0" w:line="240" w:lineRule="auto"/>
              <w:jc w:val="center"/>
              <w:rPr>
                <w:rFonts w:ascii="Times New Roman" w:eastAsia="Calibri" w:hAnsi="Times New Roman"/>
                <w:i/>
                <w:iCs/>
              </w:rPr>
            </w:pPr>
            <w:r w:rsidRPr="00B621A6">
              <w:rPr>
                <w:rFonts w:ascii="TimesNewRomanPS-ItalicMT" w:hAnsi="TimesNewRomanPS-ItalicMT" w:cs="TimesNewRomanPS-ItalicMT"/>
                <w:bCs/>
                <w:i/>
                <w:iCs/>
                <w:lang w:val="en-US"/>
              </w:rPr>
              <w:t xml:space="preserve">email: </w:t>
            </w:r>
            <w:hyperlink r:id="rId9" w:history="1">
              <w:r w:rsidR="00875B1E" w:rsidRPr="006D411A">
                <w:rPr>
                  <w:rStyle w:val="Hyperlink"/>
                  <w:rFonts w:ascii="Times New Roman" w:eastAsia="Calibri" w:hAnsi="Times New Roman"/>
                  <w:i/>
                  <w:iCs/>
                </w:rPr>
                <w:t>titisariwibowo37@gmail.com</w:t>
              </w:r>
            </w:hyperlink>
            <w:r w:rsidR="00875B1E">
              <w:rPr>
                <w:rFonts w:ascii="Times New Roman" w:eastAsia="Calibri" w:hAnsi="Times New Roman"/>
                <w:i/>
                <w:iCs/>
              </w:rPr>
              <w:t xml:space="preserve"> </w:t>
            </w:r>
          </w:p>
          <w:p w:rsidR="0075247C" w:rsidRPr="00B621A6" w:rsidRDefault="0075247C" w:rsidP="00B621A6">
            <w:pPr>
              <w:autoSpaceDE w:val="0"/>
              <w:autoSpaceDN w:val="0"/>
              <w:adjustRightInd w:val="0"/>
              <w:spacing w:after="0" w:line="240" w:lineRule="auto"/>
              <w:jc w:val="center"/>
              <w:rPr>
                <w:rFonts w:ascii="Times New Roman" w:hAnsi="Times New Roman"/>
                <w:bCs/>
                <w:i/>
                <w:iCs/>
                <w:color w:val="000000"/>
              </w:rPr>
            </w:pPr>
          </w:p>
        </w:tc>
      </w:tr>
      <w:tr w:rsidR="0075247C" w:rsidRPr="00B621A6" w:rsidTr="00590773">
        <w:tc>
          <w:tcPr>
            <w:tcW w:w="9390" w:type="dxa"/>
            <w:tcBorders>
              <w:top w:val="single" w:sz="8" w:space="0" w:color="auto"/>
              <w:bottom w:val="single" w:sz="8" w:space="0" w:color="auto"/>
            </w:tcBorders>
            <w:shd w:val="clear" w:color="auto" w:fill="auto"/>
          </w:tcPr>
          <w:p w:rsidR="0075247C" w:rsidRPr="00B621A6" w:rsidRDefault="0075247C" w:rsidP="00B621A6">
            <w:pPr>
              <w:autoSpaceDE w:val="0"/>
              <w:autoSpaceDN w:val="0"/>
              <w:adjustRightInd w:val="0"/>
              <w:spacing w:after="0" w:line="240" w:lineRule="auto"/>
              <w:jc w:val="center"/>
              <w:rPr>
                <w:rFonts w:ascii="Times New Roman" w:eastAsia="Calibri" w:hAnsi="Times New Roman"/>
                <w:bCs/>
              </w:rPr>
            </w:pPr>
          </w:p>
          <w:p w:rsidR="0075247C" w:rsidRPr="00B621A6" w:rsidRDefault="0075247C" w:rsidP="000C4333">
            <w:pPr>
              <w:jc w:val="center"/>
              <w:rPr>
                <w:rFonts w:ascii="Times New Roman" w:hAnsi="Times New Roman"/>
                <w:bCs/>
                <w:color w:val="000000"/>
                <w:sz w:val="20"/>
                <w:szCs w:val="20"/>
              </w:rPr>
            </w:pPr>
            <w:r w:rsidRPr="00B621A6">
              <w:rPr>
                <w:rFonts w:ascii="Times New Roman" w:hAnsi="Times New Roman"/>
                <w:bCs/>
                <w:color w:val="000000"/>
                <w:lang w:val="en-US"/>
              </w:rPr>
              <w:t xml:space="preserve">Submitted on : </w:t>
            </w:r>
            <w:r w:rsidR="000C4333">
              <w:rPr>
                <w:rFonts w:ascii="Times New Roman" w:hAnsi="Times New Roman"/>
                <w:bCs/>
                <w:color w:val="000000"/>
              </w:rPr>
              <w:t>xx</w:t>
            </w:r>
            <w:r w:rsidR="00B621A6" w:rsidRPr="00B621A6">
              <w:rPr>
                <w:rFonts w:ascii="Times New Roman" w:hAnsi="Times New Roman"/>
                <w:bCs/>
                <w:color w:val="000000"/>
                <w:lang w:val="en-US"/>
              </w:rPr>
              <w:t>/</w:t>
            </w:r>
            <w:r w:rsidR="000C4333">
              <w:rPr>
                <w:rFonts w:ascii="Times New Roman" w:hAnsi="Times New Roman"/>
                <w:bCs/>
                <w:color w:val="000000"/>
              </w:rPr>
              <w:t>xx</w:t>
            </w:r>
            <w:r w:rsidR="00B621A6" w:rsidRPr="00B621A6">
              <w:rPr>
                <w:rFonts w:ascii="Times New Roman" w:hAnsi="Times New Roman"/>
                <w:bCs/>
                <w:color w:val="000000"/>
                <w:lang w:val="en-US"/>
              </w:rPr>
              <w:t>/2024</w:t>
            </w:r>
            <w:r w:rsidRPr="00B621A6">
              <w:rPr>
                <w:rFonts w:ascii="Times New Roman" w:hAnsi="Times New Roman"/>
                <w:bCs/>
                <w:color w:val="000000"/>
                <w:lang w:val="en-US"/>
              </w:rPr>
              <w:t xml:space="preserve">    </w:t>
            </w:r>
            <w:r w:rsidR="00B621A6" w:rsidRPr="00B621A6">
              <w:rPr>
                <w:rFonts w:ascii="Times New Roman" w:hAnsi="Times New Roman"/>
                <w:bCs/>
                <w:color w:val="000000"/>
                <w:lang w:val="en-US"/>
              </w:rPr>
              <w:t>R</w:t>
            </w:r>
            <w:r w:rsidRPr="00B621A6">
              <w:rPr>
                <w:rFonts w:ascii="Times New Roman" w:hAnsi="Times New Roman"/>
                <w:bCs/>
                <w:color w:val="000000"/>
                <w:lang w:val="en-US"/>
              </w:rPr>
              <w:t>evised :</w:t>
            </w:r>
            <w:r w:rsidR="00B621A6" w:rsidRPr="00B621A6">
              <w:rPr>
                <w:rFonts w:ascii="Times New Roman" w:hAnsi="Times New Roman"/>
                <w:bCs/>
                <w:color w:val="000000"/>
                <w:lang w:val="en-US"/>
              </w:rPr>
              <w:t xml:space="preserve"> </w:t>
            </w:r>
            <w:r w:rsidR="000C4333">
              <w:rPr>
                <w:rFonts w:ascii="Times New Roman" w:hAnsi="Times New Roman"/>
                <w:bCs/>
                <w:color w:val="000000"/>
              </w:rPr>
              <w:t>xx</w:t>
            </w:r>
            <w:r w:rsidR="00B621A6" w:rsidRPr="00B621A6">
              <w:rPr>
                <w:rFonts w:ascii="Times New Roman" w:hAnsi="Times New Roman"/>
                <w:bCs/>
                <w:color w:val="000000"/>
                <w:lang w:val="en-US"/>
              </w:rPr>
              <w:t>/</w:t>
            </w:r>
            <w:r w:rsidR="000C4333">
              <w:rPr>
                <w:rFonts w:ascii="Times New Roman" w:hAnsi="Times New Roman"/>
                <w:bCs/>
                <w:color w:val="000000"/>
              </w:rPr>
              <w:t>xx</w:t>
            </w:r>
            <w:r w:rsidR="00B621A6" w:rsidRPr="00B621A6">
              <w:rPr>
                <w:rFonts w:ascii="Times New Roman" w:hAnsi="Times New Roman"/>
                <w:bCs/>
                <w:color w:val="000000"/>
                <w:lang w:val="en-US"/>
              </w:rPr>
              <w:t>/2024</w:t>
            </w:r>
            <w:r w:rsidRPr="00B621A6">
              <w:rPr>
                <w:rFonts w:ascii="Times New Roman" w:hAnsi="Times New Roman"/>
                <w:bCs/>
                <w:color w:val="000000"/>
                <w:lang w:val="en-US"/>
              </w:rPr>
              <w:t xml:space="preserve">    Accepted</w:t>
            </w:r>
            <w:r w:rsidR="00B621A6" w:rsidRPr="00B621A6">
              <w:rPr>
                <w:rFonts w:ascii="Times New Roman" w:hAnsi="Times New Roman"/>
                <w:bCs/>
                <w:color w:val="000000"/>
                <w:lang w:val="en-US"/>
              </w:rPr>
              <w:t xml:space="preserve"> </w:t>
            </w:r>
            <w:r w:rsidRPr="00B621A6">
              <w:rPr>
                <w:rFonts w:ascii="Times New Roman" w:hAnsi="Times New Roman"/>
                <w:bCs/>
                <w:color w:val="000000"/>
                <w:lang w:val="en-US"/>
              </w:rPr>
              <w:t xml:space="preserve">: </w:t>
            </w:r>
            <w:r w:rsidR="000C4333">
              <w:rPr>
                <w:rFonts w:ascii="Times New Roman" w:hAnsi="Times New Roman"/>
                <w:bCs/>
                <w:color w:val="000000"/>
              </w:rPr>
              <w:t>20</w:t>
            </w:r>
            <w:r w:rsidR="00B621A6" w:rsidRPr="00B621A6">
              <w:rPr>
                <w:rFonts w:ascii="Times New Roman" w:hAnsi="Times New Roman"/>
                <w:bCs/>
                <w:color w:val="000000"/>
                <w:lang w:val="en-US"/>
              </w:rPr>
              <w:t>/</w:t>
            </w:r>
            <w:r w:rsidR="000C4333">
              <w:rPr>
                <w:rFonts w:ascii="Times New Roman" w:hAnsi="Times New Roman"/>
                <w:bCs/>
                <w:color w:val="000000"/>
              </w:rPr>
              <w:t>12</w:t>
            </w:r>
            <w:r w:rsidR="00B621A6" w:rsidRPr="00B621A6">
              <w:rPr>
                <w:rFonts w:ascii="Times New Roman" w:hAnsi="Times New Roman"/>
                <w:bCs/>
                <w:color w:val="000000"/>
                <w:lang w:val="en-US"/>
              </w:rPr>
              <w:t>/2024</w:t>
            </w:r>
          </w:p>
        </w:tc>
      </w:tr>
    </w:tbl>
    <w:p w:rsidR="0075247C" w:rsidRDefault="0075247C">
      <w:pPr>
        <w:autoSpaceDE w:val="0"/>
        <w:autoSpaceDN w:val="0"/>
        <w:adjustRightInd w:val="0"/>
        <w:spacing w:after="0" w:line="240" w:lineRule="auto"/>
        <w:jc w:val="center"/>
        <w:rPr>
          <w:rFonts w:ascii="Times New Roman" w:hAnsi="Times New Roman"/>
          <w:color w:val="000000"/>
        </w:rPr>
      </w:pPr>
    </w:p>
    <w:p w:rsidR="0075247C" w:rsidRPr="000C4333" w:rsidRDefault="0075247C" w:rsidP="000C4333">
      <w:pPr>
        <w:pStyle w:val="Heading1"/>
        <w:numPr>
          <w:ilvl w:val="0"/>
          <w:numId w:val="0"/>
        </w:numPr>
        <w:jc w:val="center"/>
        <w:rPr>
          <w:i/>
          <w:lang w:val="en-US"/>
        </w:rPr>
      </w:pPr>
      <w:r w:rsidRPr="000C4333">
        <w:rPr>
          <w:i/>
        </w:rPr>
        <w:t>Abstra</w:t>
      </w:r>
      <w:proofErr w:type="spellStart"/>
      <w:r w:rsidRPr="000C4333">
        <w:rPr>
          <w:i/>
          <w:lang w:val="en-US"/>
        </w:rPr>
        <w:t>ct</w:t>
      </w:r>
      <w:proofErr w:type="spellEnd"/>
    </w:p>
    <w:p w:rsidR="0075247C" w:rsidRDefault="0056231A">
      <w:pPr>
        <w:jc w:val="both"/>
        <w:rPr>
          <w:rFonts w:ascii="Times New Roman" w:eastAsia="Times New Roman" w:hAnsi="Times New Roman"/>
          <w:i/>
          <w:iCs/>
          <w:lang w:val="zh-CN" w:eastAsia="zh-CN"/>
        </w:rPr>
      </w:pPr>
      <w:r w:rsidRPr="0056231A">
        <w:rPr>
          <w:rFonts w:ascii="Times New Roman" w:eastAsia="Times New Roman" w:hAnsi="Times New Roman"/>
          <w:i/>
          <w:iCs/>
          <w:lang w:eastAsia="zh-CN"/>
        </w:rPr>
        <w:t>This research explores the intersection of maritime finance, sustainability, and education, aiming to develop a sustainable maritime finance ecosystem. Focusing on port and shipping management, the study examines the perspectives of three key stakeholder groups: maritime industry experts, educators, and graduates. Through qualitative research and descriptive analysis, the study identifies key challenges and opportunities in aligning financial practices with sustainability goals. Findings show that while industry professionals and educators recognize the importance of green finance and sustainable business practices, gaps remain in education, particularly in integrating up-to-date sustainability principles into curricula. Furthermore, the research emphasizes the need for continued collaboration between industry, education, and policy to ensure that future maritime professionals are equipped with the skills necessary to navigate evolving financial and environmental challenges. The results provide actionable insights for enhancing vocational training and curriculum development to support the maritime sector’s transition to more sustainable and financially viable practices. Overall, this research highlights the crucial role of education in fostering a sustainable maritime future and provides recommendations for improving maritime finance and sustainability frameworks.</w:t>
      </w:r>
    </w:p>
    <w:tbl>
      <w:tblPr>
        <w:tblW w:w="9639" w:type="dxa"/>
        <w:tblInd w:w="108" w:type="dxa"/>
        <w:tblBorders>
          <w:bottom w:val="single" w:sz="8" w:space="0" w:color="auto"/>
          <w:insideH w:val="single" w:sz="8" w:space="0" w:color="auto"/>
          <w:insideV w:val="single" w:sz="8" w:space="0" w:color="auto"/>
        </w:tblBorders>
        <w:tblLook w:val="0000" w:firstRow="0" w:lastRow="0" w:firstColumn="0" w:lastColumn="0" w:noHBand="0" w:noVBand="0"/>
      </w:tblPr>
      <w:tblGrid>
        <w:gridCol w:w="9639"/>
      </w:tblGrid>
      <w:tr w:rsidR="0075247C">
        <w:tc>
          <w:tcPr>
            <w:tcW w:w="9639" w:type="dxa"/>
            <w:tcBorders>
              <w:bottom w:val="nil"/>
            </w:tcBorders>
          </w:tcPr>
          <w:p w:rsidR="0075247C" w:rsidRDefault="0075247C">
            <w:pPr>
              <w:autoSpaceDE w:val="0"/>
              <w:autoSpaceDN w:val="0"/>
              <w:adjustRightInd w:val="0"/>
              <w:jc w:val="center"/>
              <w:rPr>
                <w:rFonts w:ascii="Times New Roman" w:eastAsia="Calibri" w:hAnsi="Times New Roman"/>
                <w:i/>
                <w:iCs/>
              </w:rPr>
            </w:pPr>
            <w:r>
              <w:rPr>
                <w:rFonts w:ascii="Times New Roman" w:eastAsia="Calibri" w:hAnsi="Times New Roman"/>
                <w:i/>
                <w:lang w:val="en-US"/>
              </w:rPr>
              <w:t xml:space="preserve">Copyright </w:t>
            </w:r>
            <w:r>
              <w:rPr>
                <w:rFonts w:ascii="Times New Roman" w:eastAsia="Calibri" w:hAnsi="Times New Roman"/>
                <w:i/>
              </w:rPr>
              <w:t>©202</w:t>
            </w:r>
            <w:r>
              <w:rPr>
                <w:rFonts w:ascii="Times New Roman" w:eastAsia="Calibri" w:hAnsi="Times New Roman"/>
                <w:i/>
                <w:lang w:val="en-US"/>
              </w:rPr>
              <w:t xml:space="preserve">4, </w:t>
            </w:r>
            <w:r>
              <w:rPr>
                <w:rFonts w:ascii="Times New Roman" w:eastAsia="Calibri" w:hAnsi="Times New Roman"/>
                <w:b/>
                <w:bCs/>
                <w:i/>
                <w:lang w:val="en-US"/>
              </w:rPr>
              <w:t>METEOR STIP MARUNDA</w:t>
            </w:r>
            <w:r>
              <w:rPr>
                <w:rFonts w:ascii="Times New Roman" w:eastAsia="Calibri" w:hAnsi="Times New Roman"/>
                <w:lang w:val="en-US"/>
              </w:rPr>
              <w:t xml:space="preserve">, </w:t>
            </w:r>
            <w:proofErr w:type="spellStart"/>
            <w:r>
              <w:rPr>
                <w:rFonts w:ascii="Times New Roman" w:eastAsia="Calibri" w:hAnsi="Times New Roman"/>
                <w:i/>
                <w:iCs/>
                <w:lang w:val="en-US"/>
              </w:rPr>
              <w:t>pISSN</w:t>
            </w:r>
            <w:proofErr w:type="spellEnd"/>
            <w:r>
              <w:rPr>
                <w:rFonts w:ascii="Times New Roman" w:eastAsia="Calibri" w:hAnsi="Times New Roman"/>
                <w:i/>
                <w:iCs/>
                <w:lang w:val="en-US"/>
              </w:rPr>
              <w:t>: 1979-4746</w:t>
            </w:r>
            <w:r>
              <w:rPr>
                <w:rFonts w:ascii="Times New Roman" w:eastAsia="Calibri" w:hAnsi="Times New Roman"/>
                <w:i/>
                <w:iCs/>
              </w:rPr>
              <w:t>, eISSN: 2685-4775</w:t>
            </w:r>
          </w:p>
        </w:tc>
      </w:tr>
      <w:tr w:rsidR="0075247C">
        <w:tc>
          <w:tcPr>
            <w:tcW w:w="9639" w:type="dxa"/>
            <w:tcBorders>
              <w:top w:val="nil"/>
              <w:bottom w:val="nil"/>
            </w:tcBorders>
          </w:tcPr>
          <w:p w:rsidR="0075247C" w:rsidRDefault="0075247C" w:rsidP="00B621A6">
            <w:pPr>
              <w:pBdr>
                <w:top w:val="single" w:sz="4" w:space="1" w:color="auto"/>
                <w:bottom w:val="single" w:sz="4" w:space="1" w:color="auto"/>
              </w:pBdr>
              <w:autoSpaceDE w:val="0"/>
              <w:autoSpaceDN w:val="0"/>
              <w:adjustRightInd w:val="0"/>
              <w:spacing w:after="0" w:line="240" w:lineRule="auto"/>
              <w:ind w:left="-108"/>
              <w:jc w:val="center"/>
              <w:rPr>
                <w:rFonts w:ascii="Times New Roman" w:eastAsia="Calibri" w:hAnsi="Times New Roman"/>
                <w:bCs/>
                <w:i/>
              </w:rPr>
            </w:pPr>
            <w:r>
              <w:rPr>
                <w:rFonts w:ascii="Times New Roman" w:eastAsia="Calibri" w:hAnsi="Times New Roman"/>
                <w:b/>
                <w:i/>
              </w:rPr>
              <w:t xml:space="preserve">Keywords: </w:t>
            </w:r>
            <w:r w:rsidR="0056231A" w:rsidRPr="0056231A">
              <w:rPr>
                <w:rFonts w:ascii="Times New Roman" w:eastAsia="Calibri" w:hAnsi="Times New Roman"/>
                <w:bCs/>
                <w:i/>
              </w:rPr>
              <w:t>maritime finance, sustainability, port management, shipping business, maritime education</w:t>
            </w:r>
          </w:p>
          <w:p w:rsidR="0075247C" w:rsidRDefault="0075247C">
            <w:pPr>
              <w:autoSpaceDE w:val="0"/>
              <w:autoSpaceDN w:val="0"/>
              <w:adjustRightInd w:val="0"/>
              <w:spacing w:after="0" w:line="240" w:lineRule="auto"/>
              <w:ind w:left="-108"/>
              <w:jc w:val="center"/>
              <w:rPr>
                <w:rFonts w:ascii="Times New Roman" w:eastAsia="Calibri" w:hAnsi="Times New Roman"/>
                <w:bCs/>
                <w:i/>
                <w:lang w:val="en-US"/>
              </w:rPr>
            </w:pPr>
          </w:p>
        </w:tc>
      </w:tr>
    </w:tbl>
    <w:p w:rsidR="0075247C" w:rsidRDefault="0075247C">
      <w:pPr>
        <w:autoSpaceDE w:val="0"/>
        <w:autoSpaceDN w:val="0"/>
        <w:adjustRightInd w:val="0"/>
        <w:spacing w:after="0" w:line="240" w:lineRule="auto"/>
        <w:jc w:val="center"/>
        <w:rPr>
          <w:rFonts w:ascii="Times New Roman" w:hAnsi="Times New Roman"/>
          <w:color w:val="000000"/>
          <w:sz w:val="20"/>
          <w:szCs w:val="20"/>
        </w:rPr>
      </w:pPr>
      <w:r>
        <w:rPr>
          <w:rFonts w:ascii="Times New Roman" w:eastAsia="Calibri" w:hAnsi="Times New Roman"/>
          <w:i/>
          <w:sz w:val="20"/>
          <w:szCs w:val="20"/>
          <w:lang w:val="en-US"/>
        </w:rPr>
        <w:t xml:space="preserve">           </w:t>
      </w:r>
      <w:r>
        <w:rPr>
          <w:rFonts w:ascii="Times New Roman" w:eastAsia="Calibri" w:hAnsi="Times New Roman"/>
          <w:i/>
          <w:sz w:val="20"/>
          <w:szCs w:val="20"/>
          <w:lang w:val="en-US"/>
        </w:rPr>
        <w:tab/>
      </w:r>
      <w:r>
        <w:rPr>
          <w:rFonts w:ascii="Times New Roman" w:eastAsia="Calibri" w:hAnsi="Times New Roman"/>
          <w:i/>
          <w:sz w:val="20"/>
          <w:szCs w:val="20"/>
          <w:lang w:val="en-US"/>
        </w:rPr>
        <w:tab/>
      </w:r>
    </w:p>
    <w:p w:rsidR="0075247C" w:rsidRDefault="0075247C">
      <w:pPr>
        <w:autoSpaceDE w:val="0"/>
        <w:autoSpaceDN w:val="0"/>
        <w:adjustRightInd w:val="0"/>
        <w:spacing w:after="0" w:line="240" w:lineRule="auto"/>
        <w:rPr>
          <w:rFonts w:ascii="Times New Roman" w:eastAsia="Calibri" w:hAnsi="Times New Roman"/>
          <w:bCs/>
          <w:sz w:val="20"/>
          <w:szCs w:val="20"/>
        </w:rPr>
        <w:sectPr w:rsidR="0075247C" w:rsidSect="00F66ECB">
          <w:footerReference w:type="default" r:id="rId10"/>
          <w:type w:val="continuous"/>
          <w:pgSz w:w="11906" w:h="16838"/>
          <w:pgMar w:top="1134" w:right="1134" w:bottom="1134" w:left="1134" w:header="709" w:footer="709" w:gutter="0"/>
          <w:pgNumType w:start="1"/>
          <w:cols w:space="720"/>
          <w:docGrid w:linePitch="360"/>
        </w:sectPr>
      </w:pPr>
    </w:p>
    <w:p w:rsidR="0075247C" w:rsidRDefault="0075247C" w:rsidP="000C4333">
      <w:pPr>
        <w:pStyle w:val="Heading1"/>
        <w:numPr>
          <w:ilvl w:val="0"/>
          <w:numId w:val="0"/>
        </w:numPr>
        <w:ind w:left="426"/>
        <w:rPr>
          <w:rFonts w:eastAsia="Calibri"/>
          <w:lang w:val="en-US"/>
        </w:rPr>
      </w:pPr>
      <w:r>
        <w:rPr>
          <w:rFonts w:eastAsia="Calibri"/>
          <w:lang w:val="en-US"/>
        </w:rPr>
        <w:lastRenderedPageBreak/>
        <w:t>INTRODUCTION</w:t>
      </w:r>
    </w:p>
    <w:p w:rsidR="0056231A" w:rsidRPr="0056231A" w:rsidRDefault="0056231A" w:rsidP="0056231A">
      <w:pPr>
        <w:autoSpaceDE w:val="0"/>
        <w:autoSpaceDN w:val="0"/>
        <w:adjustRightInd w:val="0"/>
        <w:spacing w:after="0" w:line="240" w:lineRule="auto"/>
        <w:ind w:firstLine="426"/>
        <w:jc w:val="both"/>
        <w:rPr>
          <w:rFonts w:ascii="Times New Roman" w:eastAsia="Times New Roman" w:hAnsi="Times New Roman"/>
          <w:iCs/>
          <w:lang w:val="en-ID" w:eastAsia="zh-CN"/>
        </w:rPr>
      </w:pPr>
      <w:r w:rsidRPr="0056231A">
        <w:rPr>
          <w:rFonts w:ascii="Times New Roman" w:eastAsia="Times New Roman" w:hAnsi="Times New Roman"/>
          <w:iCs/>
          <w:lang w:val="en-ID" w:eastAsia="zh-CN"/>
        </w:rPr>
        <w:t>The maritime industry stands as a cornerstone of global trade, facilitating the transportation of goods and commodities across vast oceanic routes. Within this dynamic sector, the financial and operational sustainability of ports and shipping businesses has emerged as a pressing concern, particularly in the face of evolving global challenges. The interplay of economic pressur</w:t>
      </w:r>
      <w:bookmarkStart w:id="1" w:name="_GoBack"/>
      <w:bookmarkEnd w:id="1"/>
      <w:r w:rsidRPr="0056231A">
        <w:rPr>
          <w:rFonts w:ascii="Times New Roman" w:eastAsia="Times New Roman" w:hAnsi="Times New Roman"/>
          <w:iCs/>
          <w:lang w:val="en-ID" w:eastAsia="zh-CN"/>
        </w:rPr>
        <w:t xml:space="preserve">es, </w:t>
      </w:r>
      <w:r w:rsidRPr="0056231A">
        <w:rPr>
          <w:rFonts w:ascii="Times New Roman" w:eastAsia="Times New Roman" w:hAnsi="Times New Roman"/>
          <w:iCs/>
          <w:lang w:val="en-ID" w:eastAsia="zh-CN"/>
        </w:rPr>
        <w:lastRenderedPageBreak/>
        <w:t xml:space="preserve">environmental imperatives, and technological advancements necessitates a comprehensive </w:t>
      </w:r>
      <w:proofErr w:type="spellStart"/>
      <w:r w:rsidRPr="0056231A">
        <w:rPr>
          <w:rFonts w:ascii="Times New Roman" w:eastAsia="Times New Roman" w:hAnsi="Times New Roman"/>
          <w:iCs/>
          <w:lang w:val="en-ID" w:eastAsia="zh-CN"/>
        </w:rPr>
        <w:t>reevaluation</w:t>
      </w:r>
      <w:proofErr w:type="spellEnd"/>
      <w:r w:rsidRPr="0056231A">
        <w:rPr>
          <w:rFonts w:ascii="Times New Roman" w:eastAsia="Times New Roman" w:hAnsi="Times New Roman"/>
          <w:iCs/>
          <w:lang w:val="en-ID" w:eastAsia="zh-CN"/>
        </w:rPr>
        <w:t xml:space="preserve"> of how maritime enterprises are managed, financed, and sustained over time. Against this backdrop, this research seeks to explore the critical intersection of maritime finance, sustainability, and education, emphasizing the roles of stakeholders in building a sustainable maritime finance ecosystem.</w:t>
      </w:r>
    </w:p>
    <w:p w:rsidR="0056231A" w:rsidRPr="0056231A" w:rsidRDefault="0056231A" w:rsidP="0056231A">
      <w:pPr>
        <w:autoSpaceDE w:val="0"/>
        <w:autoSpaceDN w:val="0"/>
        <w:adjustRightInd w:val="0"/>
        <w:spacing w:after="0" w:line="240" w:lineRule="auto"/>
        <w:ind w:firstLine="426"/>
        <w:jc w:val="both"/>
        <w:rPr>
          <w:rFonts w:ascii="Times New Roman" w:eastAsia="Times New Roman" w:hAnsi="Times New Roman"/>
          <w:iCs/>
          <w:lang w:val="en-ID" w:eastAsia="zh-CN"/>
        </w:rPr>
      </w:pPr>
      <w:r w:rsidRPr="0056231A">
        <w:rPr>
          <w:rFonts w:ascii="Times New Roman" w:eastAsia="Times New Roman" w:hAnsi="Times New Roman"/>
          <w:iCs/>
          <w:lang w:val="en-ID" w:eastAsia="zh-CN"/>
        </w:rPr>
        <w:lastRenderedPageBreak/>
        <w:t>Maritime finance forms the backbone of the shipping industry, encompassing diverse aspects such as capital allocation, risk management, investment in infrastructure, and compliance with environmental regulations</w:t>
      </w:r>
      <w:r w:rsidR="00D07C29">
        <w:rPr>
          <w:rFonts w:ascii="Times New Roman" w:eastAsia="Times New Roman" w:hAnsi="Times New Roman"/>
          <w:iCs/>
          <w:lang w:eastAsia="zh-CN"/>
        </w:rPr>
        <w:t xml:space="preserve"> </w:t>
      </w:r>
      <w:r w:rsidR="00D07C29">
        <w:rPr>
          <w:rFonts w:ascii="Times New Roman" w:eastAsia="Times New Roman" w:hAnsi="Times New Roman"/>
          <w:iCs/>
          <w:lang w:eastAsia="zh-CN"/>
        </w:rPr>
        <w:fldChar w:fldCharType="begin" w:fldLock="1"/>
      </w:r>
      <w:r w:rsidR="00D07C29">
        <w:rPr>
          <w:rFonts w:ascii="Times New Roman" w:eastAsia="Times New Roman" w:hAnsi="Times New Roman"/>
          <w:iCs/>
          <w:lang w:eastAsia="zh-CN"/>
        </w:rPr>
        <w:instrText>ADDIN CSL_CITATION {"citationItems":[{"id":"ITEM-1","itemData":{"ISSN":"0378-4266","author":[{"dropping-particle":"","family":"Hsiao","given":"Yu-Jen","non-dropping-particle":"","parse-names":false,"suffix":""},{"dropping-particle":"","family":"Tsai","given":"Wei-Che","non-dropping-particle":"","parse-names":false,"suffix":""}],"container-title":"Journal of Banking &amp; finance","id":"ITEM-1","issued":{"date-parts":[["2018"]]},"page":"15-29","publisher":"Elsevier","title":"Financial literacy and participation in the derivatives markets","type":"article-journal","volume":"88"},"uris":["http://www.mendeley.com/documents/?uuid=615c3242-830c-422e-b5a2-0782c5db3e66"]}],"mendeley":{"formattedCitation":"[1]","plainTextFormattedCitation":"[1]","previouslyFormattedCitation":"[1]"},"properties":{"noteIndex":0},"schema":"https://github.com/citation-style-language/schema/raw/master/csl-citation.json"}</w:instrText>
      </w:r>
      <w:r w:rsidR="00D07C29">
        <w:rPr>
          <w:rFonts w:ascii="Times New Roman" w:eastAsia="Times New Roman" w:hAnsi="Times New Roman"/>
          <w:iCs/>
          <w:lang w:eastAsia="zh-CN"/>
        </w:rPr>
        <w:fldChar w:fldCharType="separate"/>
      </w:r>
      <w:r w:rsidR="00D07C29" w:rsidRPr="00D07C29">
        <w:rPr>
          <w:rFonts w:ascii="Times New Roman" w:eastAsia="Times New Roman" w:hAnsi="Times New Roman"/>
          <w:iCs/>
          <w:noProof/>
          <w:lang w:eastAsia="zh-CN"/>
        </w:rPr>
        <w:t>[1]</w:t>
      </w:r>
      <w:r w:rsidR="00D07C29">
        <w:rPr>
          <w:rFonts w:ascii="Times New Roman" w:eastAsia="Times New Roman" w:hAnsi="Times New Roman"/>
          <w:iCs/>
          <w:lang w:eastAsia="zh-CN"/>
        </w:rPr>
        <w:fldChar w:fldCharType="end"/>
      </w:r>
      <w:r w:rsidRPr="0056231A">
        <w:rPr>
          <w:rFonts w:ascii="Times New Roman" w:eastAsia="Times New Roman" w:hAnsi="Times New Roman"/>
          <w:iCs/>
          <w:lang w:val="en-ID" w:eastAsia="zh-CN"/>
        </w:rPr>
        <w:t>. In recent years, the drive toward sustainability has gained significant momentum, compelling maritime stakeholders to align their financial practices with green and sustainable objectives. This alignment is particularly crucial in port and shipping management, where decisions directly impact not only economic viability but also environmental health and social equity. However, fostering this alignment is far from straightforward; it requires a concerted effort among professionals, educators, and graduates who possess the expertise and vision to navigate these challenges.</w:t>
      </w:r>
    </w:p>
    <w:p w:rsidR="0056231A" w:rsidRPr="0056231A" w:rsidRDefault="0056231A" w:rsidP="0056231A">
      <w:pPr>
        <w:autoSpaceDE w:val="0"/>
        <w:autoSpaceDN w:val="0"/>
        <w:adjustRightInd w:val="0"/>
        <w:spacing w:after="0" w:line="240" w:lineRule="auto"/>
        <w:ind w:firstLine="426"/>
        <w:jc w:val="both"/>
        <w:rPr>
          <w:rFonts w:ascii="Times New Roman" w:eastAsia="Times New Roman" w:hAnsi="Times New Roman"/>
          <w:iCs/>
          <w:lang w:val="en-ID" w:eastAsia="zh-CN"/>
        </w:rPr>
      </w:pPr>
      <w:r w:rsidRPr="0056231A">
        <w:rPr>
          <w:rFonts w:ascii="Times New Roman" w:eastAsia="Times New Roman" w:hAnsi="Times New Roman"/>
          <w:iCs/>
          <w:lang w:val="en-ID" w:eastAsia="zh-CN"/>
        </w:rPr>
        <w:t>Education in maritime studies plays an instrumental role in equipping future professionals with the knowledge and skills necessary to thrive in this complex ecosystem. Vocational schools and maritime institutes serve as breeding grounds for talent, fostering competencies in shipping management, maritime business, and financial literacy. These educational programs are uniquely positioned to address the sector’s emerging challenges, particularly by integrating sustainability principles and financial acumen into their curricula. However, a critical question remains: to what extent do these programs prepare graduates to contribute meaningfully to the advancement of sustainable maritime finance practices?</w:t>
      </w:r>
    </w:p>
    <w:p w:rsidR="0056231A" w:rsidRPr="0056231A" w:rsidRDefault="0056231A" w:rsidP="0056231A">
      <w:pPr>
        <w:autoSpaceDE w:val="0"/>
        <w:autoSpaceDN w:val="0"/>
        <w:adjustRightInd w:val="0"/>
        <w:spacing w:after="0" w:line="240" w:lineRule="auto"/>
        <w:ind w:firstLine="426"/>
        <w:jc w:val="both"/>
        <w:rPr>
          <w:rFonts w:ascii="Times New Roman" w:eastAsia="Times New Roman" w:hAnsi="Times New Roman"/>
          <w:iCs/>
          <w:lang w:val="en-ID" w:eastAsia="zh-CN"/>
        </w:rPr>
      </w:pPr>
      <w:r w:rsidRPr="0056231A">
        <w:rPr>
          <w:rFonts w:ascii="Times New Roman" w:eastAsia="Times New Roman" w:hAnsi="Times New Roman"/>
          <w:iCs/>
          <w:lang w:val="en-ID" w:eastAsia="zh-CN"/>
        </w:rPr>
        <w:t>This research adopts a qualitative approach to delve into the experiences and perspectives of three distinct stakeholder groups: industry experts, educators, and recent graduates. These groups represent the triadic pillars of the maritime ecosystem, each contributing unique insights into the challenges and opportunities of building a sustainable financial framework for maritime industries</w:t>
      </w:r>
      <w:r w:rsidR="00D07C29">
        <w:rPr>
          <w:rFonts w:ascii="Times New Roman" w:eastAsia="Times New Roman" w:hAnsi="Times New Roman"/>
          <w:iCs/>
          <w:lang w:eastAsia="zh-CN"/>
        </w:rPr>
        <w:t xml:space="preserve"> </w:t>
      </w:r>
      <w:r w:rsidR="00D07C29">
        <w:rPr>
          <w:rFonts w:ascii="Times New Roman" w:eastAsia="Times New Roman" w:hAnsi="Times New Roman"/>
          <w:iCs/>
          <w:lang w:eastAsia="zh-CN"/>
        </w:rPr>
        <w:fldChar w:fldCharType="begin" w:fldLock="1"/>
      </w:r>
      <w:r w:rsidR="00D07C29">
        <w:rPr>
          <w:rFonts w:ascii="Times New Roman" w:eastAsia="Times New Roman" w:hAnsi="Times New Roman"/>
          <w:iCs/>
          <w:lang w:eastAsia="zh-CN"/>
        </w:rPr>
        <w:instrText>ADDIN CSL_CITATION {"citationItems":[{"id":"ITEM-1","itemData":{"ISBN":"3030538281","author":[{"dropping-particle":"","family":"Plaza-Hernández","given":"Marta","non-dropping-particle":"","parse-names":false,"suffix":""},{"dropping-particle":"","family":"Gil-González","given":"Ana Belén","non-dropping-particle":"","parse-names":false,"suffix":""},{"dropping-particle":"","family":"Rodríguez-González","given":"Sara","non-dropping-particle":"","parse-names":false,"suffix":""},{"dropping-particle":"","family":"Prieto-Tejedor","given":"Javier","non-dropping-particle":"","parse-names":false,"suffix":""},{"dropping-particle":"","family":"Corchado-Rodríguez","given":"Juan Manuel","non-dropping-particle":"","parse-names":false,"suffix":""}],"container-title":"Distributed Computing and Artificial Intelligence, Special Sessions, 17th International Conference","id":"ITEM-1","issued":{"date-parts":[["2021"]]},"page":"107-115","publisher":"Springer","title":"Integration of IoT technologies in the maritime industry","type":"paper-conference"},"uris":["http://www.mendeley.com/documents/?uuid=d9db06d6-f094-44a3-9b38-0b2cfd91e9e3"]},{"id":"ITEM-2","itemData":{"author":[{"dropping-particle":"","family":"Nalupa","given":"Herbert De Vera","non-dropping-particle":"","parse-names":false,"suffix":""}],"id":"ITEM-2","issued":{"date-parts":[["2022"]]},"title":"Challenges and opportunities for maritime education and training in the 4th industrial revolution","type":"article-journal"},"uris":["http://www.mendeley.com/documents/?uuid=7d973aad-6360-4973-9607-4747ba2ea68c"]},{"id":"ITEM-3","itemData":{"ISSN":"0953-7287","author":[{"dropping-particle":"","family":"Agrifoglio","given":"Rocco","non-dropping-particle":"","parse-names":false,"suffix":""},{"dropping-particle":"","family":"Cannavale","given":"Chiara","non-dropping-particle":"","parse-names":false,"suffix":""},{"dropping-particle":"","family":"Laurenza","given":"Elena","non-dropping-particle":"","parse-names":false,"suffix":""},{"dropping-particle":"","family":"Metallo","given":"Concetta","non-dropping-particle":"","parse-names":false,"suffix":""}],"container-title":"Production Planning &amp; Control","id":"ITEM-3","issue":"16","issued":{"date-parts":[["2017"]]},"page":"1298-1306","publisher":"Taylor &amp; Francis","title":"How emerging digital technologies affect operations management through co-creation. Empirical evidence from the maritime industry","type":"article-journal","volume":"28"},"uris":["http://www.mendeley.com/documents/?uuid=d7242d6a-7457-4727-a569-1e2a7c418628"]}],"mendeley":{"formattedCitation":"[2]–[4]","plainTextFormattedCitation":"[2]–[4]","previouslyFormattedCitation":"[2]–[4]"},"properties":{"noteIndex":0},"schema":"https://github.com/citation-style-language/schema/raw/master/csl-citation.json"}</w:instrText>
      </w:r>
      <w:r w:rsidR="00D07C29">
        <w:rPr>
          <w:rFonts w:ascii="Times New Roman" w:eastAsia="Times New Roman" w:hAnsi="Times New Roman"/>
          <w:iCs/>
          <w:lang w:eastAsia="zh-CN"/>
        </w:rPr>
        <w:fldChar w:fldCharType="separate"/>
      </w:r>
      <w:r w:rsidR="00D07C29" w:rsidRPr="00D07C29">
        <w:rPr>
          <w:rFonts w:ascii="Times New Roman" w:eastAsia="Times New Roman" w:hAnsi="Times New Roman"/>
          <w:iCs/>
          <w:noProof/>
          <w:lang w:eastAsia="zh-CN"/>
        </w:rPr>
        <w:t>[2]–[4]</w:t>
      </w:r>
      <w:r w:rsidR="00D07C29">
        <w:rPr>
          <w:rFonts w:ascii="Times New Roman" w:eastAsia="Times New Roman" w:hAnsi="Times New Roman"/>
          <w:iCs/>
          <w:lang w:eastAsia="zh-CN"/>
        </w:rPr>
        <w:fldChar w:fldCharType="end"/>
      </w:r>
      <w:r w:rsidRPr="0056231A">
        <w:rPr>
          <w:rFonts w:ascii="Times New Roman" w:eastAsia="Times New Roman" w:hAnsi="Times New Roman"/>
          <w:iCs/>
          <w:lang w:val="en-ID" w:eastAsia="zh-CN"/>
        </w:rPr>
        <w:t>. The industry experts, comprising entrepreneurs, officers, and managers, provide practical insights into the financial intricacies and operational realities of the sector. Educators, on the other hand, offer a pedagogical perspective, shedding light on the strengths and gaps within maritime education programs. Graduates, as the newest entrants into the industry, bring fresh perspectives and highlight the efficacy of vocational training in preparing them for real-world challenges.</w:t>
      </w:r>
    </w:p>
    <w:p w:rsidR="0056231A" w:rsidRPr="0056231A" w:rsidRDefault="0056231A" w:rsidP="0056231A">
      <w:pPr>
        <w:autoSpaceDE w:val="0"/>
        <w:autoSpaceDN w:val="0"/>
        <w:adjustRightInd w:val="0"/>
        <w:spacing w:after="0" w:line="240" w:lineRule="auto"/>
        <w:ind w:firstLine="426"/>
        <w:jc w:val="both"/>
        <w:rPr>
          <w:rFonts w:ascii="Times New Roman" w:eastAsia="Times New Roman" w:hAnsi="Times New Roman"/>
          <w:iCs/>
          <w:lang w:val="en-ID" w:eastAsia="zh-CN"/>
        </w:rPr>
      </w:pPr>
      <w:r w:rsidRPr="0056231A">
        <w:rPr>
          <w:rFonts w:ascii="Times New Roman" w:eastAsia="Times New Roman" w:hAnsi="Times New Roman"/>
          <w:iCs/>
          <w:lang w:val="en-ID" w:eastAsia="zh-CN"/>
        </w:rPr>
        <w:t xml:space="preserve">The maritime industry’s reliance on traditional financial models has often been criticized for its limited adaptability to sustainability goals. For instance, the capital-intensive nature of port infrastructure and vessel </w:t>
      </w:r>
      <w:r w:rsidRPr="0056231A">
        <w:rPr>
          <w:rFonts w:ascii="Times New Roman" w:eastAsia="Times New Roman" w:hAnsi="Times New Roman"/>
          <w:iCs/>
          <w:lang w:val="en-ID" w:eastAsia="zh-CN"/>
        </w:rPr>
        <w:lastRenderedPageBreak/>
        <w:t>operations demands innovative financing mechanisms that not only ensure profitability but also comply with stringent environmental standards</w:t>
      </w:r>
      <w:r w:rsidR="00D07C29">
        <w:rPr>
          <w:rFonts w:ascii="Times New Roman" w:eastAsia="Times New Roman" w:hAnsi="Times New Roman"/>
          <w:iCs/>
          <w:lang w:eastAsia="zh-CN"/>
        </w:rPr>
        <w:t xml:space="preserve"> </w:t>
      </w:r>
      <w:r w:rsidR="00D07C29">
        <w:rPr>
          <w:rFonts w:ascii="Times New Roman" w:eastAsia="Times New Roman" w:hAnsi="Times New Roman"/>
          <w:iCs/>
          <w:lang w:eastAsia="zh-CN"/>
        </w:rPr>
        <w:fldChar w:fldCharType="begin" w:fldLock="1"/>
      </w:r>
      <w:r w:rsidR="00D07C29">
        <w:rPr>
          <w:rFonts w:ascii="Times New Roman" w:eastAsia="Times New Roman" w:hAnsi="Times New Roman"/>
          <w:iCs/>
          <w:lang w:eastAsia="zh-CN"/>
        </w:rPr>
        <w:instrText>ADDIN CSL_CITATION {"citationItems":[{"id":"ITEM-1","itemData":{"ISSN":"0925-7535","author":[{"dropping-particle":"","family":"Bergheim","given":"Kjersti","non-dropping-particle":"","parse-names":false,"suffix":""},{"dropping-particle":"","family":"Nielsen","given":"Morten Birkeland","non-dropping-particle":"","parse-names":false,"suffix":""},{"dropping-particle":"","family":"Mearns","given":"Kathryn","non-dropping-particle":"","parse-names":false,"suffix":""},{"dropping-particle":"","family":"Eid","given":"Jarle","non-dropping-particle":"","parse-names":false,"suffix":""}],"container-title":"Safety science","id":"ITEM-1","issued":{"date-parts":[["2015"]]},"page":"27-36","publisher":"Elsevier","title":"The relationship between psychological capital, job satisfaction, and safety perceptions in the maritime industry","type":"article-journal","volume":"74"},"uris":["http://www.mendeley.com/documents/?uuid=93e947dc-2915-41d6-83ec-4f7a8679d97e"]}],"mendeley":{"formattedCitation":"[5]","plainTextFormattedCitation":"[5]","previouslyFormattedCitation":"[5]"},"properties":{"noteIndex":0},"schema":"https://github.com/citation-style-language/schema/raw/master/csl-citation.json"}</w:instrText>
      </w:r>
      <w:r w:rsidR="00D07C29">
        <w:rPr>
          <w:rFonts w:ascii="Times New Roman" w:eastAsia="Times New Roman" w:hAnsi="Times New Roman"/>
          <w:iCs/>
          <w:lang w:eastAsia="zh-CN"/>
        </w:rPr>
        <w:fldChar w:fldCharType="separate"/>
      </w:r>
      <w:r w:rsidR="00D07C29" w:rsidRPr="00D07C29">
        <w:rPr>
          <w:rFonts w:ascii="Times New Roman" w:eastAsia="Times New Roman" w:hAnsi="Times New Roman"/>
          <w:iCs/>
          <w:noProof/>
          <w:lang w:eastAsia="zh-CN"/>
        </w:rPr>
        <w:t>[5]</w:t>
      </w:r>
      <w:r w:rsidR="00D07C29">
        <w:rPr>
          <w:rFonts w:ascii="Times New Roman" w:eastAsia="Times New Roman" w:hAnsi="Times New Roman"/>
          <w:iCs/>
          <w:lang w:eastAsia="zh-CN"/>
        </w:rPr>
        <w:fldChar w:fldCharType="end"/>
      </w:r>
      <w:r w:rsidRPr="0056231A">
        <w:rPr>
          <w:rFonts w:ascii="Times New Roman" w:eastAsia="Times New Roman" w:hAnsi="Times New Roman"/>
          <w:iCs/>
          <w:lang w:val="en-ID" w:eastAsia="zh-CN"/>
        </w:rPr>
        <w:t>. The introduction of green financing and sustainability-linked loans offers promising pathways; however, their adoption remains fragmented and inconsistent across regions. This disparity underscores the need for a holistic framework that aligns financial practices with sustainability imperatives. The contributions of industry professionals, who navigate these complexities daily, are invaluable in identifying practical solutions and best practices.</w:t>
      </w:r>
    </w:p>
    <w:p w:rsidR="0056231A" w:rsidRPr="0056231A" w:rsidRDefault="0056231A" w:rsidP="0056231A">
      <w:pPr>
        <w:autoSpaceDE w:val="0"/>
        <w:autoSpaceDN w:val="0"/>
        <w:adjustRightInd w:val="0"/>
        <w:spacing w:after="0" w:line="240" w:lineRule="auto"/>
        <w:ind w:firstLine="426"/>
        <w:jc w:val="both"/>
        <w:rPr>
          <w:rFonts w:ascii="Times New Roman" w:eastAsia="Times New Roman" w:hAnsi="Times New Roman"/>
          <w:iCs/>
          <w:lang w:val="en-ID" w:eastAsia="zh-CN"/>
        </w:rPr>
      </w:pPr>
      <w:r w:rsidRPr="0056231A">
        <w:rPr>
          <w:rFonts w:ascii="Times New Roman" w:eastAsia="Times New Roman" w:hAnsi="Times New Roman"/>
          <w:iCs/>
          <w:lang w:val="en-ID" w:eastAsia="zh-CN"/>
        </w:rPr>
        <w:t>Educators in maritime studies play a pivotal role in bridging the gap between theoretical knowledge and practical application. By embedding sustainability and financial literacy into their teaching methodologies, they have the potential to shape a new generation of maritime professionals who are not only adept at navigating financial challenges but also committed to advancing sustainability objectives. However, this transformative potential can only be realized if maritime education institutions embrace a forward-thinking approach, continuously updating their curricula to reflect the industry’s evolving needs</w:t>
      </w:r>
      <w:r w:rsidR="00D07C29">
        <w:rPr>
          <w:rFonts w:ascii="Times New Roman" w:eastAsia="Times New Roman" w:hAnsi="Times New Roman"/>
          <w:iCs/>
          <w:lang w:eastAsia="zh-CN"/>
        </w:rPr>
        <w:t xml:space="preserve"> </w:t>
      </w:r>
      <w:r w:rsidR="00D07C29">
        <w:rPr>
          <w:rFonts w:ascii="Times New Roman" w:eastAsia="Times New Roman" w:hAnsi="Times New Roman"/>
          <w:iCs/>
          <w:lang w:eastAsia="zh-CN"/>
        </w:rPr>
        <w:fldChar w:fldCharType="begin" w:fldLock="1"/>
      </w:r>
      <w:r w:rsidR="00D07C29">
        <w:rPr>
          <w:rFonts w:ascii="Times New Roman" w:eastAsia="Times New Roman" w:hAnsi="Times New Roman"/>
          <w:iCs/>
          <w:lang w:eastAsia="zh-CN"/>
        </w:rPr>
        <w:instrText>ADDIN CSL_CITATION {"citationItems":[{"id":"ITEM-1","itemData":{"author":[{"dropping-particle":"","family":"Ghosh","given":"Samrat","non-dropping-particle":"","parse-names":false,"suffix":""},{"dropping-particle":"","family":"Bowles","given":"Marcus","non-dropping-particle":"","parse-names":false,"suffix":""},{"dropping-particle":"","family":"Ranmuthugala","given":"Dev","non-dropping-particle":"","parse-names":false,"suffix":""},{"dropping-particle":"","family":"Brooks","given":"Ben","non-dropping-particle":"","parse-names":false,"suffix":""}],"container-title":"15th Annual General Assembly of the International Association of Maritime Universities, IAMU AGA 2014-Looking Ahead: Innovation in Maritime Education, Training and Research","id":"ITEM-1","issued":{"date-parts":[["2014"]]},"page":"77-86","publisher":"Australian Maritime College","title":"On a lookout beyond STCW: Seeking standards and context for the authentic assessment of seafarers","type":"paper-conference"},"uris":["http://www.mendeley.com/documents/?uuid=2f84309f-4e05-4536-aaed-698bd69507f9"]},{"id":"ITEM-2","itemData":{"author":[{"dropping-particle":"","family":"Baylon","given":"Angelica M","non-dropping-particle":"","parse-names":false,"suffix":""},{"dropping-particle":"","family":"Santos","given":"VEMR","non-dropping-particle":"","parse-names":false,"suffix":""}],"container-title":"International Journal of Innovative Interdisciplinary Research","id":"ITEM-2","issue":"1","issued":{"date-parts":[["2011"]]},"page":"34-43","title":"The challenges in Philippine maritime education and training","type":"article-journal","volume":"1"},"uris":["http://www.mendeley.com/documents/?uuid=f6562bc0-e63c-4ac7-95b5-6e735a16be81"]},{"id":"ITEM-3","itemData":{"author":[{"dropping-particle":"","family":"Albayrak","given":"Taner","non-dropping-particle":"","parse-names":false,"suffix":""},{"dropping-particle":"","family":"Ziarati","given":"Reza","non-dropping-particle":"","parse-names":false,"suffix":""}],"container-title":"Journal of Maritime transport and engineering","id":"ITEM-3","issue":"1","issued":{"date-parts":[["2012"]]},"page":"4-9","title":"Encouraging research in maritime education &amp; training","type":"article-journal","volume":"1"},"uris":["http://www.mendeley.com/documents/?uuid=84e09da8-22b4-45ce-9a5d-557b9b7f9ade"]}],"mendeley":{"formattedCitation":"[6]–[8]","plainTextFormattedCitation":"[6]–[8]","previouslyFormattedCitation":"[6]–[8]"},"properties":{"noteIndex":0},"schema":"https://github.com/citation-style-language/schema/raw/master/csl-citation.json"}</w:instrText>
      </w:r>
      <w:r w:rsidR="00D07C29">
        <w:rPr>
          <w:rFonts w:ascii="Times New Roman" w:eastAsia="Times New Roman" w:hAnsi="Times New Roman"/>
          <w:iCs/>
          <w:lang w:eastAsia="zh-CN"/>
        </w:rPr>
        <w:fldChar w:fldCharType="separate"/>
      </w:r>
      <w:r w:rsidR="00D07C29" w:rsidRPr="00D07C29">
        <w:rPr>
          <w:rFonts w:ascii="Times New Roman" w:eastAsia="Times New Roman" w:hAnsi="Times New Roman"/>
          <w:iCs/>
          <w:noProof/>
          <w:lang w:eastAsia="zh-CN"/>
        </w:rPr>
        <w:t>[6]–[8]</w:t>
      </w:r>
      <w:r w:rsidR="00D07C29">
        <w:rPr>
          <w:rFonts w:ascii="Times New Roman" w:eastAsia="Times New Roman" w:hAnsi="Times New Roman"/>
          <w:iCs/>
          <w:lang w:eastAsia="zh-CN"/>
        </w:rPr>
        <w:fldChar w:fldCharType="end"/>
      </w:r>
      <w:r w:rsidRPr="0056231A">
        <w:rPr>
          <w:rFonts w:ascii="Times New Roman" w:eastAsia="Times New Roman" w:hAnsi="Times New Roman"/>
          <w:iCs/>
          <w:lang w:val="en-ID" w:eastAsia="zh-CN"/>
        </w:rPr>
        <w:t>. The perspectives of lecturers, trainers, and tutors in this research highlight both the achievements and shortcomings of current educational frameworks, offering valuable insights for future improvement.</w:t>
      </w:r>
    </w:p>
    <w:p w:rsidR="0056231A" w:rsidRPr="0056231A" w:rsidRDefault="0056231A" w:rsidP="0056231A">
      <w:pPr>
        <w:autoSpaceDE w:val="0"/>
        <w:autoSpaceDN w:val="0"/>
        <w:adjustRightInd w:val="0"/>
        <w:spacing w:after="0" w:line="240" w:lineRule="auto"/>
        <w:ind w:firstLine="426"/>
        <w:jc w:val="both"/>
        <w:rPr>
          <w:rFonts w:ascii="Times New Roman" w:eastAsia="Times New Roman" w:hAnsi="Times New Roman"/>
          <w:iCs/>
          <w:lang w:val="en-ID" w:eastAsia="zh-CN"/>
        </w:rPr>
      </w:pPr>
      <w:r w:rsidRPr="0056231A">
        <w:rPr>
          <w:rFonts w:ascii="Times New Roman" w:eastAsia="Times New Roman" w:hAnsi="Times New Roman"/>
          <w:iCs/>
          <w:lang w:val="en-ID" w:eastAsia="zh-CN"/>
        </w:rPr>
        <w:t>Graduates of maritime programs represent the future of the industry, yet their readiness to address contemporary challenges remains a critical area of inquiry. The transition from academic learning to professional practice often exposes gaps in competencies, particularly in areas such as sustainability and financial management. By examining the experiences of recent graduates, this research aims to identify the strengths and weaknesses of maritime education, providing actionable recommendations to enhance its relevance and effectiveness. Furthermore, graduates’ reflections on their early career experiences offer a unique lens through which to evaluate the practical applicability of theoretical knowledge acquired during their studies.</w:t>
      </w:r>
    </w:p>
    <w:p w:rsidR="0056231A" w:rsidRPr="0056231A" w:rsidRDefault="0056231A" w:rsidP="0056231A">
      <w:pPr>
        <w:autoSpaceDE w:val="0"/>
        <w:autoSpaceDN w:val="0"/>
        <w:adjustRightInd w:val="0"/>
        <w:spacing w:after="0" w:line="240" w:lineRule="auto"/>
        <w:ind w:firstLine="426"/>
        <w:jc w:val="both"/>
        <w:rPr>
          <w:rFonts w:ascii="Times New Roman" w:eastAsia="Times New Roman" w:hAnsi="Times New Roman"/>
          <w:iCs/>
          <w:lang w:val="en-ID" w:eastAsia="zh-CN"/>
        </w:rPr>
      </w:pPr>
      <w:r w:rsidRPr="0056231A">
        <w:rPr>
          <w:rFonts w:ascii="Times New Roman" w:eastAsia="Times New Roman" w:hAnsi="Times New Roman"/>
          <w:iCs/>
          <w:lang w:val="en-ID" w:eastAsia="zh-CN"/>
        </w:rPr>
        <w:t>The urgency of this research is underscored by the maritime industry’s pivotal role in global economic development and environmental stewardship. As one of the largest contributors to greenhouse gas emissions, the shipping sector faces mounting pressure to adopt sustainable practices that mitigate its environmental impact</w:t>
      </w:r>
      <w:r w:rsidR="00D07C29">
        <w:rPr>
          <w:rFonts w:ascii="Times New Roman" w:eastAsia="Times New Roman" w:hAnsi="Times New Roman"/>
          <w:iCs/>
          <w:lang w:eastAsia="zh-CN"/>
        </w:rPr>
        <w:t xml:space="preserve"> </w:t>
      </w:r>
      <w:r w:rsidR="00D07C29">
        <w:rPr>
          <w:rFonts w:ascii="Times New Roman" w:eastAsia="Times New Roman" w:hAnsi="Times New Roman"/>
          <w:iCs/>
          <w:lang w:eastAsia="zh-CN"/>
        </w:rPr>
        <w:fldChar w:fldCharType="begin" w:fldLock="1"/>
      </w:r>
      <w:r w:rsidR="00D07C29">
        <w:rPr>
          <w:rFonts w:ascii="Times New Roman" w:eastAsia="Times New Roman" w:hAnsi="Times New Roman"/>
          <w:iCs/>
          <w:lang w:eastAsia="zh-CN"/>
        </w:rPr>
        <w:instrText>ADDIN CSL_CITATION {"citationItems":[{"id":"ITEM-1","itemData":{"ISSN":"0959-6526","author":[{"dropping-particle":"","family":"Zaid","given":"Ahmed A","non-dropping-particle":"","parse-names":false,"suffix":""},{"dropping-particle":"","family":"Jaaron","given":"Ayham A M","non-dropping-particle":"","parse-names":false,"suffix":""},{"dropping-particle":"","family":"Bon","given":"Abdul Talib","non-dropping-particle":"","parse-names":false,"suffix":""}],"container-title":"Journal of cleaner production","id":"ITEM-1","issued":{"date-parts":[["2018"]]},"page":"965-979","publisher":"Elsevier","title":"The impact of green human resource management and green supply chain management practices on sustainable performance: An empirical study","type":"article-journal","volume":"204"},"uris":["http://www.mendeley.com/documents/?uuid=44bd7108-4545-44ff-9cd4-69a2407d5170"]}],"mendeley":{"formattedCitation":"[9]","plainTextFormattedCitation":"[9]","previouslyFormattedCitation":"[9]"},"properties":{"noteIndex":0},"schema":"https://github.com/citation-style-language/schema/raw/master/csl-citation.json"}</w:instrText>
      </w:r>
      <w:r w:rsidR="00D07C29">
        <w:rPr>
          <w:rFonts w:ascii="Times New Roman" w:eastAsia="Times New Roman" w:hAnsi="Times New Roman"/>
          <w:iCs/>
          <w:lang w:eastAsia="zh-CN"/>
        </w:rPr>
        <w:fldChar w:fldCharType="separate"/>
      </w:r>
      <w:r w:rsidR="00D07C29" w:rsidRPr="00D07C29">
        <w:rPr>
          <w:rFonts w:ascii="Times New Roman" w:eastAsia="Times New Roman" w:hAnsi="Times New Roman"/>
          <w:iCs/>
          <w:noProof/>
          <w:lang w:eastAsia="zh-CN"/>
        </w:rPr>
        <w:t>[9]</w:t>
      </w:r>
      <w:r w:rsidR="00D07C29">
        <w:rPr>
          <w:rFonts w:ascii="Times New Roman" w:eastAsia="Times New Roman" w:hAnsi="Times New Roman"/>
          <w:iCs/>
          <w:lang w:eastAsia="zh-CN"/>
        </w:rPr>
        <w:fldChar w:fldCharType="end"/>
      </w:r>
      <w:r w:rsidRPr="0056231A">
        <w:rPr>
          <w:rFonts w:ascii="Times New Roman" w:eastAsia="Times New Roman" w:hAnsi="Times New Roman"/>
          <w:iCs/>
          <w:lang w:val="en-ID" w:eastAsia="zh-CN"/>
        </w:rPr>
        <w:t xml:space="preserve">. Concurrently, the financial sustainability of maritime enterprises is under threat from fluctuating market conditions, regulatory changes, </w:t>
      </w:r>
      <w:r w:rsidRPr="0056231A">
        <w:rPr>
          <w:rFonts w:ascii="Times New Roman" w:eastAsia="Times New Roman" w:hAnsi="Times New Roman"/>
          <w:iCs/>
          <w:lang w:val="en-ID" w:eastAsia="zh-CN"/>
        </w:rPr>
        <w:lastRenderedPageBreak/>
        <w:t>and technological disruptions. These challenges demand a multifaceted approach that integrates financial innovation, educational reform, and stakeholder collaboration.</w:t>
      </w:r>
    </w:p>
    <w:p w:rsidR="0056231A" w:rsidRPr="0056231A" w:rsidRDefault="0056231A" w:rsidP="0056231A">
      <w:pPr>
        <w:autoSpaceDE w:val="0"/>
        <w:autoSpaceDN w:val="0"/>
        <w:adjustRightInd w:val="0"/>
        <w:spacing w:after="0" w:line="240" w:lineRule="auto"/>
        <w:ind w:firstLine="426"/>
        <w:jc w:val="both"/>
        <w:rPr>
          <w:rFonts w:ascii="Times New Roman" w:eastAsia="Times New Roman" w:hAnsi="Times New Roman"/>
          <w:iCs/>
          <w:lang w:val="en-ID" w:eastAsia="zh-CN"/>
        </w:rPr>
      </w:pPr>
      <w:r w:rsidRPr="0056231A">
        <w:rPr>
          <w:rFonts w:ascii="Times New Roman" w:eastAsia="Times New Roman" w:hAnsi="Times New Roman"/>
          <w:iCs/>
          <w:lang w:val="en-ID" w:eastAsia="zh-CN"/>
        </w:rPr>
        <w:t>The novelty of this research lies in its multi-stakeholder perspective, which bridges the gap between academia, industry, and recent graduates. By synthesizing insights from these diverse groups, the study offers a holistic understanding of the factors that influence the development of a sustainable maritime finance ecosystem. This approach not only enriches the academic discourse but also provides practical guidance for policymakers, educators, and industry leaders seeking to drive meaningful change.</w:t>
      </w:r>
    </w:p>
    <w:p w:rsidR="0056231A" w:rsidRPr="0056231A" w:rsidRDefault="0056231A" w:rsidP="0056231A">
      <w:pPr>
        <w:autoSpaceDE w:val="0"/>
        <w:autoSpaceDN w:val="0"/>
        <w:adjustRightInd w:val="0"/>
        <w:spacing w:after="0" w:line="240" w:lineRule="auto"/>
        <w:ind w:firstLine="426"/>
        <w:jc w:val="both"/>
        <w:rPr>
          <w:rFonts w:ascii="Times New Roman" w:eastAsia="Times New Roman" w:hAnsi="Times New Roman"/>
          <w:iCs/>
          <w:lang w:val="en-ID" w:eastAsia="zh-CN"/>
        </w:rPr>
      </w:pPr>
      <w:r w:rsidRPr="0056231A">
        <w:rPr>
          <w:rFonts w:ascii="Times New Roman" w:eastAsia="Times New Roman" w:hAnsi="Times New Roman"/>
          <w:iCs/>
          <w:lang w:val="en-ID" w:eastAsia="zh-CN"/>
        </w:rPr>
        <w:t xml:space="preserve">Moreover, this research emphasizes the critical role of education as a catalyst for change in the maritime industry. By highlighting the interconnectedness of financial literacy, sustainability principles, and vocational training, the study advocates for a comprehensive reform of maritime education programs. Such reforms are essential for equipping future professionals with the tools and </w:t>
      </w:r>
      <w:proofErr w:type="spellStart"/>
      <w:r w:rsidRPr="0056231A">
        <w:rPr>
          <w:rFonts w:ascii="Times New Roman" w:eastAsia="Times New Roman" w:hAnsi="Times New Roman"/>
          <w:iCs/>
          <w:lang w:val="en-ID" w:eastAsia="zh-CN"/>
        </w:rPr>
        <w:t>mindset</w:t>
      </w:r>
      <w:proofErr w:type="spellEnd"/>
      <w:r w:rsidRPr="0056231A">
        <w:rPr>
          <w:rFonts w:ascii="Times New Roman" w:eastAsia="Times New Roman" w:hAnsi="Times New Roman"/>
          <w:iCs/>
          <w:lang w:val="en-ID" w:eastAsia="zh-CN"/>
        </w:rPr>
        <w:t xml:space="preserve"> needed to navigate the complexities of modern maritime finance and sustainability.</w:t>
      </w:r>
    </w:p>
    <w:p w:rsidR="0056231A" w:rsidRPr="0056231A" w:rsidRDefault="0056231A" w:rsidP="0056231A">
      <w:pPr>
        <w:autoSpaceDE w:val="0"/>
        <w:autoSpaceDN w:val="0"/>
        <w:adjustRightInd w:val="0"/>
        <w:spacing w:after="0" w:line="240" w:lineRule="auto"/>
        <w:ind w:firstLine="426"/>
        <w:jc w:val="both"/>
        <w:rPr>
          <w:rFonts w:ascii="Times New Roman" w:eastAsia="Times New Roman" w:hAnsi="Times New Roman"/>
          <w:iCs/>
          <w:lang w:val="en-ID" w:eastAsia="zh-CN"/>
        </w:rPr>
      </w:pPr>
      <w:r>
        <w:rPr>
          <w:rFonts w:ascii="Times New Roman" w:eastAsia="Times New Roman" w:hAnsi="Times New Roman"/>
          <w:iCs/>
          <w:lang w:eastAsia="zh-CN"/>
        </w:rPr>
        <w:t>T</w:t>
      </w:r>
      <w:r w:rsidRPr="0056231A">
        <w:rPr>
          <w:rFonts w:ascii="Times New Roman" w:eastAsia="Times New Roman" w:hAnsi="Times New Roman"/>
          <w:iCs/>
          <w:lang w:val="en-ID" w:eastAsia="zh-CN"/>
        </w:rPr>
        <w:t>his research addresses a critical gap in the understanding of how maritime finance, sustainability, and education intersect to shape the future of the industry. Through a qualitative analysis of stakeholder perspectives, the study aims to contribute to the development of a sustainable maritime finance ecosystem that balances economic, environmental, and social imperatives. By leveraging the insights of experts, educators, and graduates, the research offers a roadmap for enhancing maritime education and practice, ultimately fostering a more resilient and sustainable maritime industry.</w:t>
      </w:r>
    </w:p>
    <w:p w:rsidR="000C4333" w:rsidRDefault="000C4333">
      <w:pPr>
        <w:autoSpaceDE w:val="0"/>
        <w:autoSpaceDN w:val="0"/>
        <w:adjustRightInd w:val="0"/>
        <w:spacing w:after="0" w:line="240" w:lineRule="auto"/>
        <w:ind w:firstLine="426"/>
        <w:jc w:val="both"/>
        <w:rPr>
          <w:rFonts w:ascii="Times New Roman" w:eastAsia="Times New Roman" w:hAnsi="Times New Roman"/>
          <w:iCs/>
          <w:lang w:eastAsia="zh-CN"/>
        </w:rPr>
      </w:pPr>
    </w:p>
    <w:p w:rsidR="0075247C" w:rsidRDefault="000C4333" w:rsidP="000C4333">
      <w:pPr>
        <w:pStyle w:val="Heading1"/>
        <w:numPr>
          <w:ilvl w:val="0"/>
          <w:numId w:val="0"/>
        </w:numPr>
        <w:ind w:left="426"/>
        <w:rPr>
          <w:rFonts w:eastAsia="Calibri"/>
        </w:rPr>
      </w:pPr>
      <w:r>
        <w:rPr>
          <w:rFonts w:eastAsia="Calibri"/>
          <w:lang w:val="en-US"/>
        </w:rPr>
        <w:t>METHOD</w:t>
      </w:r>
    </w:p>
    <w:p w:rsidR="0056231A" w:rsidRPr="0056231A" w:rsidRDefault="0056231A" w:rsidP="0056231A">
      <w:pPr>
        <w:spacing w:after="0" w:line="240" w:lineRule="auto"/>
        <w:ind w:firstLine="426"/>
        <w:jc w:val="both"/>
        <w:rPr>
          <w:rFonts w:ascii="Times New Roman" w:hAnsi="Times New Roman"/>
          <w:color w:val="111111"/>
          <w:shd w:val="clear" w:color="auto" w:fill="FFFFFF"/>
          <w:lang w:val="en-ID"/>
        </w:rPr>
      </w:pPr>
      <w:r w:rsidRPr="0056231A">
        <w:rPr>
          <w:rFonts w:ascii="Times New Roman" w:hAnsi="Times New Roman"/>
          <w:color w:val="111111"/>
          <w:shd w:val="clear" w:color="auto" w:fill="FFFFFF"/>
          <w:lang w:val="en-ID"/>
        </w:rPr>
        <w:t>The research methodology for this study is designed to explore the qualitative dimensions of building a sustainable maritime finance ecosystem, focusing on the perspectives and experiences of industry professionals, educators, and graduates. This approach is particularly well-suited for understanding the nuanced and multifaceted challenges that characterize the intersection of maritime finance, education, and sustainability. The study adopts a qualitative research framework, employing descriptive analysis to interpret the data collected from interviews and discussions with participants</w:t>
      </w:r>
      <w:r w:rsidR="00D07C29">
        <w:rPr>
          <w:rFonts w:ascii="Times New Roman" w:hAnsi="Times New Roman"/>
          <w:color w:val="111111"/>
          <w:shd w:val="clear" w:color="auto" w:fill="FFFFFF"/>
        </w:rPr>
        <w:t xml:space="preserve"> </w:t>
      </w:r>
      <w:r w:rsidR="00D07C29">
        <w:rPr>
          <w:rFonts w:ascii="Times New Roman" w:hAnsi="Times New Roman"/>
          <w:color w:val="111111"/>
          <w:shd w:val="clear" w:color="auto" w:fill="FFFFFF"/>
        </w:rPr>
        <w:fldChar w:fldCharType="begin" w:fldLock="1"/>
      </w:r>
      <w:r w:rsidR="00D07C29">
        <w:rPr>
          <w:rFonts w:ascii="Times New Roman" w:hAnsi="Times New Roman"/>
          <w:color w:val="111111"/>
          <w:shd w:val="clear" w:color="auto" w:fill="FFFFFF"/>
        </w:rPr>
        <w:instrText>ADDIN CSL_CITATION {"citationItems":[{"id":"ITEM-1","itemData":{"ISSN":"2375-4745","author":[{"dropping-particle":"","family":"Katz","given":"Jack","non-dropping-particle":"","parse-names":false,"suffix":""}],"container-title":"Méthod (e) s: African Review of Social Sciences Methodology","id":"ITEM-1","issue":"1-2","issued":{"date-parts":[["2015"]]},"page":"131-146","publisher":"Taylor &amp; Francis","title":"A theory of qualitative methodology: The social system of analytic fieldwork","type":"article-journal","volume":"1"},"uris":["http://www.mendeley.com/documents/?uuid=8d5db346-d67f-40fc-a644-736d6c8884fd"]},{"id":"ITEM-2","itemData":{"ISBN":"1544391498","author":[{"dropping-particle":"","family":"Chilisa","given":"Bagele","non-dropping-particle":"","parse-names":false,"suffix":""}],"id":"ITEM-2","issued":{"date-parts":[["2019"]]},"publisher":"Sage publications","title":"Indigenous research methodologies","type":"book"},"uris":["http://www.mendeley.com/documents/?uuid=74f4bc07-7219-4b63-b05b-138ed7da3aa6"]}],"mendeley":{"formattedCitation":"[10], [11]","plainTextFormattedCitation":"[10], [11]","previouslyFormattedCitation":"[10], [11]"},"properties":{"noteIndex":0},"schema":"https://github.com/citation-style-language/schema/raw/master/csl-citation.json"}</w:instrText>
      </w:r>
      <w:r w:rsidR="00D07C29">
        <w:rPr>
          <w:rFonts w:ascii="Times New Roman" w:hAnsi="Times New Roman"/>
          <w:color w:val="111111"/>
          <w:shd w:val="clear" w:color="auto" w:fill="FFFFFF"/>
        </w:rPr>
        <w:fldChar w:fldCharType="separate"/>
      </w:r>
      <w:r w:rsidR="00D07C29" w:rsidRPr="00D07C29">
        <w:rPr>
          <w:rFonts w:ascii="Times New Roman" w:hAnsi="Times New Roman"/>
          <w:noProof/>
          <w:color w:val="111111"/>
          <w:shd w:val="clear" w:color="auto" w:fill="FFFFFF"/>
        </w:rPr>
        <w:t>[10], [11]</w:t>
      </w:r>
      <w:r w:rsidR="00D07C29">
        <w:rPr>
          <w:rFonts w:ascii="Times New Roman" w:hAnsi="Times New Roman"/>
          <w:color w:val="111111"/>
          <w:shd w:val="clear" w:color="auto" w:fill="FFFFFF"/>
        </w:rPr>
        <w:fldChar w:fldCharType="end"/>
      </w:r>
      <w:r w:rsidRPr="0056231A">
        <w:rPr>
          <w:rFonts w:ascii="Times New Roman" w:hAnsi="Times New Roman"/>
          <w:color w:val="111111"/>
          <w:shd w:val="clear" w:color="auto" w:fill="FFFFFF"/>
          <w:lang w:val="en-ID"/>
        </w:rPr>
        <w:t>.</w:t>
      </w:r>
    </w:p>
    <w:p w:rsidR="0056231A" w:rsidRPr="0056231A" w:rsidRDefault="0056231A" w:rsidP="0056231A">
      <w:pPr>
        <w:spacing w:after="0" w:line="240" w:lineRule="auto"/>
        <w:ind w:firstLine="426"/>
        <w:jc w:val="both"/>
        <w:rPr>
          <w:rFonts w:ascii="Times New Roman" w:hAnsi="Times New Roman"/>
          <w:color w:val="111111"/>
          <w:shd w:val="clear" w:color="auto" w:fill="FFFFFF"/>
          <w:lang w:val="en-ID"/>
        </w:rPr>
      </w:pPr>
      <w:r w:rsidRPr="0056231A">
        <w:rPr>
          <w:rFonts w:ascii="Times New Roman" w:hAnsi="Times New Roman"/>
          <w:color w:val="111111"/>
          <w:shd w:val="clear" w:color="auto" w:fill="FFFFFF"/>
          <w:lang w:val="en-ID"/>
        </w:rPr>
        <w:t xml:space="preserve">The participant pool for this research comprises three key stakeholder groups: maritime </w:t>
      </w:r>
      <w:r w:rsidRPr="0056231A">
        <w:rPr>
          <w:rFonts w:ascii="Times New Roman" w:hAnsi="Times New Roman"/>
          <w:color w:val="111111"/>
          <w:shd w:val="clear" w:color="auto" w:fill="FFFFFF"/>
          <w:lang w:val="en-ID"/>
        </w:rPr>
        <w:lastRenderedPageBreak/>
        <w:t xml:space="preserve">industry experts, educators, and recent graduates. The selection of participants was purposeful, aimed at ensuring a diverse and representative sample that reflects the breadth of experiences and expertise within the maritime sector. Industry experts, including entrepreneurs, officers, and managers, were chosen for their hands-on experience in managing the financial and operational aspects of port and shipping businesses. Their insights are invaluable in identifying practical challenges and proposing actionable solutions for enhancing financial sustainability. Educators, encompassing lecturers, trainers, and tutors, were selected for their roles in shaping the competencies and </w:t>
      </w:r>
      <w:proofErr w:type="spellStart"/>
      <w:r w:rsidRPr="0056231A">
        <w:rPr>
          <w:rFonts w:ascii="Times New Roman" w:hAnsi="Times New Roman"/>
          <w:color w:val="111111"/>
          <w:shd w:val="clear" w:color="auto" w:fill="FFFFFF"/>
          <w:lang w:val="en-ID"/>
        </w:rPr>
        <w:t>mindsets</w:t>
      </w:r>
      <w:proofErr w:type="spellEnd"/>
      <w:r w:rsidRPr="0056231A">
        <w:rPr>
          <w:rFonts w:ascii="Times New Roman" w:hAnsi="Times New Roman"/>
          <w:color w:val="111111"/>
          <w:shd w:val="clear" w:color="auto" w:fill="FFFFFF"/>
          <w:lang w:val="en-ID"/>
        </w:rPr>
        <w:t xml:space="preserve"> of future maritime professionals. Their perspectives provide critical insights into the strengths and gaps of current educational frameworks. Graduates, as the newest entrants into the industry, offer a fresh and unencumbered viewpoint on the effectiveness of vocational training and its alignment with real-world demands.</w:t>
      </w:r>
    </w:p>
    <w:p w:rsidR="0056231A" w:rsidRPr="0056231A" w:rsidRDefault="0056231A" w:rsidP="0056231A">
      <w:pPr>
        <w:spacing w:after="0" w:line="240" w:lineRule="auto"/>
        <w:ind w:firstLine="426"/>
        <w:jc w:val="both"/>
        <w:rPr>
          <w:rFonts w:ascii="Times New Roman" w:hAnsi="Times New Roman"/>
          <w:color w:val="111111"/>
          <w:shd w:val="clear" w:color="auto" w:fill="FFFFFF"/>
          <w:lang w:val="en-ID"/>
        </w:rPr>
      </w:pPr>
      <w:r w:rsidRPr="0056231A">
        <w:rPr>
          <w:rFonts w:ascii="Times New Roman" w:hAnsi="Times New Roman"/>
          <w:color w:val="111111"/>
          <w:shd w:val="clear" w:color="auto" w:fill="FFFFFF"/>
          <w:lang w:val="en-ID"/>
        </w:rPr>
        <w:t>Data collection for this study was conducted through in-depth interviews and open-ended discussions, allowing participants to articulate their experiences and viewpoints in detail</w:t>
      </w:r>
      <w:r w:rsidR="00D07C29">
        <w:rPr>
          <w:rFonts w:ascii="Times New Roman" w:hAnsi="Times New Roman"/>
          <w:color w:val="111111"/>
          <w:shd w:val="clear" w:color="auto" w:fill="FFFFFF"/>
        </w:rPr>
        <w:t xml:space="preserve"> </w:t>
      </w:r>
      <w:r w:rsidR="00D07C29">
        <w:rPr>
          <w:rFonts w:ascii="Times New Roman" w:hAnsi="Times New Roman"/>
          <w:color w:val="111111"/>
          <w:shd w:val="clear" w:color="auto" w:fill="FFFFFF"/>
        </w:rPr>
        <w:fldChar w:fldCharType="begin" w:fldLock="1"/>
      </w:r>
      <w:r w:rsidR="00D07C29">
        <w:rPr>
          <w:rFonts w:ascii="Times New Roman" w:hAnsi="Times New Roman"/>
          <w:color w:val="111111"/>
          <w:shd w:val="clear" w:color="auto" w:fill="FFFFFF"/>
        </w:rPr>
        <w:instrText>ADDIN CSL_CITATION {"citationItems":[{"id":"ITEM-1","itemData":{"DOI":"10.1088/1742-6596/1470/1/012051","ISSN":"17426596","abstract":"Riau Province has been committed to become the center of Malay language and culture in 2020. Various efforts need to be made to introduce the Cultural Heritage both inside and outside the province. This research supports government commitment by designing mathematics learning using local culture. This research, design mathematics learning at the Secondary School using the traditional game namely Rimau, Ligu and Guli. The findings will be used in mathematics learning to introduce culture while bringing mathematics closer to student life. This study is a research and development with the Four-D approach. Game exploration is done at Define Stage, Instructional Design is done at the design stage, Learning material is created at the development stage. The Instructional design is disseminated into teachers and students of Secondary Schools. Data collection is done through documentation studies and interviews. The Game exploration resulted in the use of these games for various mathematical concepts of algebra, Geometry, and statistics for mathematics learning in secondary school. Based on FGD with the users can be concluded this Mathematics Learning Design help teachers in delivering relevant topics and recommended to be used by secondary schools teachers.","author":[{"dropping-particle":"","family":"Roza","given":"Y.","non-dropping-particle":"","parse-names":false,"suffix":""},{"dropping-particle":"","family":"Siregar","given":"S. N.","non-dropping-particle":"","parse-names":false,"suffix":""},{"dropping-particle":"","family":"Solfitri","given":"T.","non-dropping-particle":"","parse-names":false,"suffix":""}],"container-title":"Journal of Physics: Conference Series","id":"ITEM-1","issue":"1","issued":{"date-parts":[["2020"]]},"title":"Ethnomathematics: Design mathematics learning at secondary schools by using the traditional game of Melayu Riau","type":"article-journal","volume":"1470"},"uris":["http://www.mendeley.com/documents/?uuid=a99278ab-ecdd-42b9-96cd-d817ec38b7c3"]}],"mendeley":{"formattedCitation":"[12]","plainTextFormattedCitation":"[12]","previouslyFormattedCitation":"[12]"},"properties":{"noteIndex":0},"schema":"https://github.com/citation-style-language/schema/raw/master/csl-citation.json"}</w:instrText>
      </w:r>
      <w:r w:rsidR="00D07C29">
        <w:rPr>
          <w:rFonts w:ascii="Times New Roman" w:hAnsi="Times New Roman"/>
          <w:color w:val="111111"/>
          <w:shd w:val="clear" w:color="auto" w:fill="FFFFFF"/>
        </w:rPr>
        <w:fldChar w:fldCharType="separate"/>
      </w:r>
      <w:r w:rsidR="00D07C29" w:rsidRPr="00D07C29">
        <w:rPr>
          <w:rFonts w:ascii="Times New Roman" w:hAnsi="Times New Roman"/>
          <w:noProof/>
          <w:color w:val="111111"/>
          <w:shd w:val="clear" w:color="auto" w:fill="FFFFFF"/>
        </w:rPr>
        <w:t>[12]</w:t>
      </w:r>
      <w:r w:rsidR="00D07C29">
        <w:rPr>
          <w:rFonts w:ascii="Times New Roman" w:hAnsi="Times New Roman"/>
          <w:color w:val="111111"/>
          <w:shd w:val="clear" w:color="auto" w:fill="FFFFFF"/>
        </w:rPr>
        <w:fldChar w:fldCharType="end"/>
      </w:r>
      <w:r w:rsidRPr="0056231A">
        <w:rPr>
          <w:rFonts w:ascii="Times New Roman" w:hAnsi="Times New Roman"/>
          <w:color w:val="111111"/>
          <w:shd w:val="clear" w:color="auto" w:fill="FFFFFF"/>
          <w:lang w:val="en-ID"/>
        </w:rPr>
        <w:t>. The qualitative nature of these interactions enables a rich and textured understanding of the issues at hand, capturing the complexity of maritime finance and sustainability from multiple angles. Each interview was carefully structured to elicit detailed responses, focusing on specific themes such as financial practices, sustainability initiatives, and the role of education in preparing industry-ready professionals. The open-ended format of the discussions provided participants with the flexibility to explore topics beyond the predefined questions, ensuring that their unique insights and experiences were fully captured.</w:t>
      </w:r>
    </w:p>
    <w:p w:rsidR="0056231A" w:rsidRPr="0056231A" w:rsidRDefault="0056231A" w:rsidP="0056231A">
      <w:pPr>
        <w:spacing w:after="0" w:line="240" w:lineRule="auto"/>
        <w:ind w:firstLine="426"/>
        <w:jc w:val="both"/>
        <w:rPr>
          <w:rFonts w:ascii="Times New Roman" w:hAnsi="Times New Roman"/>
          <w:color w:val="111111"/>
          <w:shd w:val="clear" w:color="auto" w:fill="FFFFFF"/>
          <w:lang w:val="en-ID"/>
        </w:rPr>
      </w:pPr>
      <w:r w:rsidRPr="0056231A">
        <w:rPr>
          <w:rFonts w:ascii="Times New Roman" w:hAnsi="Times New Roman"/>
          <w:color w:val="111111"/>
          <w:shd w:val="clear" w:color="auto" w:fill="FFFFFF"/>
          <w:lang w:val="en-ID"/>
        </w:rPr>
        <w:t xml:space="preserve">The data obtained from these interactions were </w:t>
      </w:r>
      <w:proofErr w:type="spellStart"/>
      <w:r w:rsidRPr="0056231A">
        <w:rPr>
          <w:rFonts w:ascii="Times New Roman" w:hAnsi="Times New Roman"/>
          <w:color w:val="111111"/>
          <w:shd w:val="clear" w:color="auto" w:fill="FFFFFF"/>
          <w:lang w:val="en-ID"/>
        </w:rPr>
        <w:t>analyzed</w:t>
      </w:r>
      <w:proofErr w:type="spellEnd"/>
      <w:r w:rsidRPr="0056231A">
        <w:rPr>
          <w:rFonts w:ascii="Times New Roman" w:hAnsi="Times New Roman"/>
          <w:color w:val="111111"/>
          <w:shd w:val="clear" w:color="auto" w:fill="FFFFFF"/>
          <w:lang w:val="en-ID"/>
        </w:rPr>
        <w:t xml:space="preserve"> using descriptive analysis techniques, which are well-suited for qualitative research. This process involved coding the data to identify recurring themes, patterns, and relationships, enabling a systematic exploration of the research questions. The coding process was iterative, with initial codes refined and expanded as new insights emerged from the data. This iterative approach ensured that the analysis was grounded in the participants’ perspectives, providing an authentic and holistic understanding of the issues under investigation.</w:t>
      </w:r>
    </w:p>
    <w:p w:rsidR="0056231A" w:rsidRPr="0056231A" w:rsidRDefault="0056231A" w:rsidP="0056231A">
      <w:pPr>
        <w:spacing w:after="0" w:line="240" w:lineRule="auto"/>
        <w:ind w:firstLine="426"/>
        <w:jc w:val="both"/>
        <w:rPr>
          <w:rFonts w:ascii="Times New Roman" w:hAnsi="Times New Roman"/>
          <w:color w:val="111111"/>
          <w:shd w:val="clear" w:color="auto" w:fill="FFFFFF"/>
          <w:lang w:val="en-ID"/>
        </w:rPr>
      </w:pPr>
      <w:r w:rsidRPr="0056231A">
        <w:rPr>
          <w:rFonts w:ascii="Times New Roman" w:hAnsi="Times New Roman"/>
          <w:color w:val="111111"/>
          <w:shd w:val="clear" w:color="auto" w:fill="FFFFFF"/>
          <w:lang w:val="en-ID"/>
        </w:rPr>
        <w:t xml:space="preserve">Throughout the research process, particular attention was paid to ensuring the credibility and reliability of the findings. Triangulation was employed as a key strategy, involving the cross-validation of data from different sources and </w:t>
      </w:r>
      <w:r w:rsidRPr="0056231A">
        <w:rPr>
          <w:rFonts w:ascii="Times New Roman" w:hAnsi="Times New Roman"/>
          <w:color w:val="111111"/>
          <w:shd w:val="clear" w:color="auto" w:fill="FFFFFF"/>
          <w:lang w:val="en-ID"/>
        </w:rPr>
        <w:lastRenderedPageBreak/>
        <w:t>perspectives</w:t>
      </w:r>
      <w:r w:rsidR="00D07C29">
        <w:rPr>
          <w:rFonts w:ascii="Times New Roman" w:hAnsi="Times New Roman"/>
          <w:color w:val="111111"/>
          <w:shd w:val="clear" w:color="auto" w:fill="FFFFFF"/>
        </w:rPr>
        <w:t xml:space="preserve"> </w:t>
      </w:r>
      <w:r w:rsidR="00D07C29">
        <w:rPr>
          <w:rFonts w:ascii="Times New Roman" w:hAnsi="Times New Roman"/>
          <w:color w:val="111111"/>
          <w:shd w:val="clear" w:color="auto" w:fill="FFFFFF"/>
        </w:rPr>
        <w:fldChar w:fldCharType="begin" w:fldLock="1"/>
      </w:r>
      <w:r w:rsidR="00D07C29">
        <w:rPr>
          <w:rFonts w:ascii="Times New Roman" w:hAnsi="Times New Roman"/>
          <w:color w:val="111111"/>
          <w:shd w:val="clear" w:color="auto" w:fill="FFFFFF"/>
        </w:rPr>
        <w:instrText>ADDIN CSL_CITATION {"citationItems":[{"id":"ITEM-1","itemData":{"ISBN":"1119452023","author":[{"dropping-particle":"","family":"Merriam","given":"Sharan B","non-dropping-particle":"","parse-names":false,"suffix":""},{"dropping-particle":"","family":"Grenier","given":"Robin S","non-dropping-particle":"","parse-names":false,"suffix":""}],"id":"ITEM-1","issued":{"date-parts":[["2019"]]},"publisher":"John Wiley &amp; Sons","title":"Qualitative research in practice: Examples for discussion and analysis","type":"book"},"uris":["http://www.mendeley.com/documents/?uuid=46b2b1cc-636c-4691-b478-b98f3ba9f7d4"]},{"id":"ITEM-2","itemData":{"author":[{"dropping-particle":"","family":"Willig","given":"Carla","non-dropping-particle":"","parse-names":false,"suffix":""}],"container-title":"The SAGE handbook of qualitative data analysis","id":"ITEM-2","issued":{"date-parts":[["2014"]]},"publisher":"Sage Los Angeles","title":"Interpretation and analysis","type":"article-journal","volume":"481"},"uris":["http://www.mendeley.com/documents/?uuid=d0aab19e-7fa9-4fab-9d61-d8d46ff47004"]}],"mendeley":{"formattedCitation":"[13], [14]","plainTextFormattedCitation":"[13], [14]","previouslyFormattedCitation":"[13], [14]"},"properties":{"noteIndex":0},"schema":"https://github.com/citation-style-language/schema/raw/master/csl-citation.json"}</w:instrText>
      </w:r>
      <w:r w:rsidR="00D07C29">
        <w:rPr>
          <w:rFonts w:ascii="Times New Roman" w:hAnsi="Times New Roman"/>
          <w:color w:val="111111"/>
          <w:shd w:val="clear" w:color="auto" w:fill="FFFFFF"/>
        </w:rPr>
        <w:fldChar w:fldCharType="separate"/>
      </w:r>
      <w:r w:rsidR="00D07C29" w:rsidRPr="00D07C29">
        <w:rPr>
          <w:rFonts w:ascii="Times New Roman" w:hAnsi="Times New Roman"/>
          <w:noProof/>
          <w:color w:val="111111"/>
          <w:shd w:val="clear" w:color="auto" w:fill="FFFFFF"/>
        </w:rPr>
        <w:t>[13], [14]</w:t>
      </w:r>
      <w:r w:rsidR="00D07C29">
        <w:rPr>
          <w:rFonts w:ascii="Times New Roman" w:hAnsi="Times New Roman"/>
          <w:color w:val="111111"/>
          <w:shd w:val="clear" w:color="auto" w:fill="FFFFFF"/>
        </w:rPr>
        <w:fldChar w:fldCharType="end"/>
      </w:r>
      <w:r w:rsidRPr="0056231A">
        <w:rPr>
          <w:rFonts w:ascii="Times New Roman" w:hAnsi="Times New Roman"/>
          <w:color w:val="111111"/>
          <w:shd w:val="clear" w:color="auto" w:fill="FFFFFF"/>
          <w:lang w:val="en-ID"/>
        </w:rPr>
        <w:t>. This approach not only enhances the robustness of the findings but also mitigates potential biases that could arise from relying on a single data source. Additionally, the research process adhered to ethical guidelines, ensuring that participants’ confidentiality and consent were respected at all stages of the study.</w:t>
      </w:r>
    </w:p>
    <w:p w:rsidR="0056231A" w:rsidRPr="0056231A" w:rsidRDefault="0056231A" w:rsidP="0056231A">
      <w:pPr>
        <w:spacing w:after="0" w:line="240" w:lineRule="auto"/>
        <w:ind w:firstLine="426"/>
        <w:jc w:val="both"/>
        <w:rPr>
          <w:rFonts w:ascii="Times New Roman" w:hAnsi="Times New Roman"/>
          <w:color w:val="111111"/>
          <w:shd w:val="clear" w:color="auto" w:fill="FFFFFF"/>
          <w:lang w:val="en-ID"/>
        </w:rPr>
      </w:pPr>
      <w:r w:rsidRPr="0056231A">
        <w:rPr>
          <w:rFonts w:ascii="Times New Roman" w:hAnsi="Times New Roman"/>
          <w:color w:val="111111"/>
          <w:shd w:val="clear" w:color="auto" w:fill="FFFFFF"/>
          <w:lang w:val="en-ID"/>
        </w:rPr>
        <w:t>The qualitative and descriptive nature of this research makes it uniquely suited for exploring the complex interplay of factors that influence the development of a sustainable maritime finance ecosystem. By focusing on the lived experiences and insights of industry professionals, educators, and graduates, the study provides a nuanced understanding of the challenges and opportunities in maritime finance, education, and sustainability. This methodological approach not only enriches the academic discourse but also offers practical recommendations for policymakers, educators, and industry leaders seeking to drive meaningful change in the maritime sector.</w:t>
      </w:r>
    </w:p>
    <w:p w:rsidR="000C4333" w:rsidRDefault="000C4333">
      <w:pPr>
        <w:spacing w:after="0" w:line="240" w:lineRule="auto"/>
        <w:ind w:firstLine="426"/>
        <w:jc w:val="both"/>
        <w:rPr>
          <w:rFonts w:ascii="Times New Roman" w:hAnsi="Times New Roman"/>
          <w:color w:val="111111"/>
          <w:shd w:val="clear" w:color="auto" w:fill="FFFFFF"/>
        </w:rPr>
      </w:pPr>
    </w:p>
    <w:p w:rsidR="0075247C" w:rsidRDefault="0075247C" w:rsidP="000C4333">
      <w:pPr>
        <w:pStyle w:val="Heading1"/>
        <w:numPr>
          <w:ilvl w:val="0"/>
          <w:numId w:val="0"/>
        </w:numPr>
        <w:ind w:left="426"/>
        <w:rPr>
          <w:rFonts w:eastAsia="Calibri"/>
        </w:rPr>
      </w:pPr>
      <w:r>
        <w:rPr>
          <w:rFonts w:eastAsia="Calibri"/>
          <w:lang w:val="en-US"/>
        </w:rPr>
        <w:t>RESULTS AND DISCUSSION</w:t>
      </w:r>
    </w:p>
    <w:p w:rsidR="0056231A" w:rsidRPr="0056231A" w:rsidRDefault="0056231A" w:rsidP="0056231A">
      <w:pPr>
        <w:autoSpaceDE w:val="0"/>
        <w:autoSpaceDN w:val="0"/>
        <w:adjustRightInd w:val="0"/>
        <w:spacing w:after="0" w:line="240" w:lineRule="auto"/>
        <w:ind w:firstLine="426"/>
        <w:jc w:val="both"/>
        <w:rPr>
          <w:rFonts w:ascii="Times New Roman" w:eastAsia="Calibri" w:hAnsi="Times New Roman"/>
          <w:bCs/>
          <w:lang w:val="en-ID"/>
        </w:rPr>
      </w:pPr>
      <w:r w:rsidRPr="0056231A">
        <w:rPr>
          <w:rFonts w:ascii="Times New Roman" w:eastAsia="Calibri" w:hAnsi="Times New Roman"/>
          <w:bCs/>
          <w:lang w:val="en-ID"/>
        </w:rPr>
        <w:t>The results of this study indicate a high degree of effectiveness and efficiency in shipping management, maritime business, and financial sustainability practices. This effectiveness is evidenced by the overall scores derived from the qualitative analysis, which rate the outcomes at 9 out of 10 on average across all indicators. The findings are structured around three primary indicators: stakeholder collaboration, educational integration of sustainability principles, and vocational training outcomes. These indicators serve as the foundation for interpreting the qualitative data and presenting actionable insights for advancing maritime practices.</w:t>
      </w:r>
    </w:p>
    <w:p w:rsidR="00590773" w:rsidRDefault="00590773" w:rsidP="0056231A">
      <w:pPr>
        <w:autoSpaceDE w:val="0"/>
        <w:autoSpaceDN w:val="0"/>
        <w:adjustRightInd w:val="0"/>
        <w:spacing w:after="0" w:line="240" w:lineRule="auto"/>
        <w:ind w:firstLine="426"/>
        <w:jc w:val="both"/>
        <w:rPr>
          <w:rFonts w:ascii="Times New Roman" w:eastAsia="Calibri" w:hAnsi="Times New Roman"/>
          <w:b/>
          <w:bCs/>
          <w:lang w:val="en-ID"/>
        </w:rPr>
      </w:pPr>
    </w:p>
    <w:p w:rsidR="0056231A" w:rsidRPr="0056231A" w:rsidRDefault="0056231A" w:rsidP="0056231A">
      <w:pPr>
        <w:autoSpaceDE w:val="0"/>
        <w:autoSpaceDN w:val="0"/>
        <w:adjustRightInd w:val="0"/>
        <w:spacing w:after="0" w:line="240" w:lineRule="auto"/>
        <w:ind w:firstLine="426"/>
        <w:jc w:val="both"/>
        <w:rPr>
          <w:rFonts w:ascii="Times New Roman" w:eastAsia="Calibri" w:hAnsi="Times New Roman"/>
          <w:b/>
          <w:bCs/>
          <w:lang w:val="en-ID"/>
        </w:rPr>
      </w:pPr>
      <w:r w:rsidRPr="0056231A">
        <w:rPr>
          <w:rFonts w:ascii="Times New Roman" w:eastAsia="Calibri" w:hAnsi="Times New Roman"/>
          <w:b/>
          <w:bCs/>
          <w:lang w:val="en-ID"/>
        </w:rPr>
        <w:t>Stakeholder Collaboration</w:t>
      </w:r>
    </w:p>
    <w:p w:rsidR="00590773" w:rsidRDefault="0056231A" w:rsidP="0056231A">
      <w:pPr>
        <w:autoSpaceDE w:val="0"/>
        <w:autoSpaceDN w:val="0"/>
        <w:adjustRightInd w:val="0"/>
        <w:spacing w:after="0" w:line="240" w:lineRule="auto"/>
        <w:ind w:firstLine="426"/>
        <w:jc w:val="both"/>
        <w:rPr>
          <w:rFonts w:ascii="Times New Roman" w:eastAsia="Calibri" w:hAnsi="Times New Roman"/>
          <w:bCs/>
          <w:lang w:val="en-ID"/>
        </w:rPr>
      </w:pPr>
      <w:r w:rsidRPr="0056231A">
        <w:rPr>
          <w:rFonts w:ascii="Times New Roman" w:eastAsia="Calibri" w:hAnsi="Times New Roman"/>
          <w:bCs/>
          <w:lang w:val="en-ID"/>
        </w:rPr>
        <w:t xml:space="preserve">A strong consensus emerged among participants regarding the critical role of collaboration among industry professionals, educators, and policymakers in achieving financial and operational sustainability in the maritime sector. Industry experts highlighted the importance of partnerships in streamlining financial investments for green initiatives, such as adopting energy-efficient technologies and meeting international regulatory standards. Educators emphasized the need for aligning academic curricula with industry demands to foster a workforce capable of addressing sustainability challenges. Graduates shared positive experiences with mentorship programs that connected them with seasoned professionals, facilitating their transition into the industry. </w:t>
      </w:r>
    </w:p>
    <w:p w:rsidR="00EF2FF4" w:rsidRDefault="00EF2FF4" w:rsidP="0056231A">
      <w:pPr>
        <w:autoSpaceDE w:val="0"/>
        <w:autoSpaceDN w:val="0"/>
        <w:adjustRightInd w:val="0"/>
        <w:spacing w:after="0" w:line="240" w:lineRule="auto"/>
        <w:ind w:firstLine="426"/>
        <w:jc w:val="both"/>
        <w:rPr>
          <w:rFonts w:ascii="Times New Roman" w:eastAsia="Calibri" w:hAnsi="Times New Roman"/>
          <w:bCs/>
          <w:lang w:val="en-ID"/>
        </w:rPr>
      </w:pPr>
    </w:p>
    <w:p w:rsidR="0056231A" w:rsidRPr="00590773" w:rsidRDefault="0056231A" w:rsidP="00590773">
      <w:pPr>
        <w:autoSpaceDE w:val="0"/>
        <w:autoSpaceDN w:val="0"/>
        <w:adjustRightInd w:val="0"/>
        <w:spacing w:after="0" w:line="240" w:lineRule="auto"/>
        <w:ind w:firstLine="426"/>
        <w:jc w:val="center"/>
        <w:rPr>
          <w:rFonts w:ascii="Times New Roman" w:eastAsia="Calibri" w:hAnsi="Times New Roman"/>
          <w:b/>
          <w:bCs/>
          <w:lang w:val="en-ID"/>
        </w:rPr>
      </w:pPr>
      <w:r w:rsidRPr="00590773">
        <w:rPr>
          <w:rFonts w:ascii="Times New Roman" w:eastAsia="Calibri" w:hAnsi="Times New Roman"/>
          <w:b/>
          <w:bCs/>
          <w:lang w:val="en-ID"/>
        </w:rPr>
        <w:t>Table 1</w:t>
      </w:r>
      <w:r w:rsidR="00590773" w:rsidRPr="00590773">
        <w:rPr>
          <w:rFonts w:ascii="Times New Roman" w:eastAsia="Calibri" w:hAnsi="Times New Roman"/>
          <w:b/>
          <w:bCs/>
        </w:rPr>
        <w:t>: T</w:t>
      </w:r>
      <w:r w:rsidRPr="00590773">
        <w:rPr>
          <w:rFonts w:ascii="Times New Roman" w:eastAsia="Calibri" w:hAnsi="Times New Roman"/>
          <w:b/>
          <w:bCs/>
          <w:lang w:val="en-ID"/>
        </w:rPr>
        <w:t>he sta</w:t>
      </w:r>
      <w:r w:rsidR="00590773">
        <w:rPr>
          <w:rFonts w:ascii="Times New Roman" w:eastAsia="Calibri" w:hAnsi="Times New Roman"/>
          <w:b/>
          <w:bCs/>
          <w:lang w:val="en-ID"/>
        </w:rPr>
        <w:t>keholder collaboration findings</w:t>
      </w:r>
    </w:p>
    <w:tbl>
      <w:tblPr>
        <w:tblW w:w="4491" w:type="dxa"/>
        <w:tblInd w:w="45" w:type="dxa"/>
        <w:tblLook w:val="04A0" w:firstRow="1" w:lastRow="0" w:firstColumn="1" w:lastColumn="0" w:noHBand="0" w:noVBand="1"/>
      </w:tblPr>
      <w:tblGrid>
        <w:gridCol w:w="1305"/>
        <w:gridCol w:w="2194"/>
        <w:gridCol w:w="992"/>
      </w:tblGrid>
      <w:tr w:rsidR="0056231A" w:rsidRPr="00590773" w:rsidTr="00EF2FF4">
        <w:tc>
          <w:tcPr>
            <w:tcW w:w="1305" w:type="dxa"/>
            <w:hideMark/>
          </w:tcPr>
          <w:p w:rsidR="0056231A" w:rsidRPr="00590773" w:rsidRDefault="0056231A" w:rsidP="00590773">
            <w:pPr>
              <w:pStyle w:val="NoSpacing"/>
              <w:jc w:val="center"/>
              <w:rPr>
                <w:rFonts w:ascii="Times New Roman" w:hAnsi="Times New Roman"/>
                <w:b/>
                <w:sz w:val="20"/>
                <w:lang w:val="en-ID"/>
              </w:rPr>
            </w:pPr>
            <w:r w:rsidRPr="00590773">
              <w:rPr>
                <w:rFonts w:ascii="Times New Roman" w:hAnsi="Times New Roman"/>
                <w:b/>
                <w:sz w:val="20"/>
                <w:lang w:val="en-ID"/>
              </w:rPr>
              <w:t>Indicator</w:t>
            </w:r>
          </w:p>
        </w:tc>
        <w:tc>
          <w:tcPr>
            <w:tcW w:w="2194" w:type="dxa"/>
            <w:hideMark/>
          </w:tcPr>
          <w:p w:rsidR="0056231A" w:rsidRPr="00590773" w:rsidRDefault="0056231A" w:rsidP="00590773">
            <w:pPr>
              <w:pStyle w:val="NoSpacing"/>
              <w:jc w:val="center"/>
              <w:rPr>
                <w:rFonts w:ascii="Times New Roman" w:hAnsi="Times New Roman"/>
                <w:b/>
                <w:sz w:val="20"/>
                <w:lang w:val="en-ID"/>
              </w:rPr>
            </w:pPr>
            <w:r w:rsidRPr="00590773">
              <w:rPr>
                <w:rFonts w:ascii="Times New Roman" w:hAnsi="Times New Roman"/>
                <w:b/>
                <w:sz w:val="20"/>
                <w:lang w:val="en-ID"/>
              </w:rPr>
              <w:t>Description</w:t>
            </w:r>
          </w:p>
        </w:tc>
        <w:tc>
          <w:tcPr>
            <w:tcW w:w="992" w:type="dxa"/>
            <w:hideMark/>
          </w:tcPr>
          <w:p w:rsidR="00590773" w:rsidRDefault="0056231A" w:rsidP="00590773">
            <w:pPr>
              <w:pStyle w:val="NoSpacing"/>
              <w:jc w:val="center"/>
              <w:rPr>
                <w:rFonts w:ascii="Times New Roman" w:hAnsi="Times New Roman"/>
                <w:b/>
                <w:sz w:val="20"/>
                <w:lang w:val="en-ID"/>
              </w:rPr>
            </w:pPr>
            <w:r w:rsidRPr="00590773">
              <w:rPr>
                <w:rFonts w:ascii="Times New Roman" w:hAnsi="Times New Roman"/>
                <w:b/>
                <w:sz w:val="20"/>
                <w:lang w:val="en-ID"/>
              </w:rPr>
              <w:t xml:space="preserve">Score </w:t>
            </w:r>
          </w:p>
          <w:p w:rsidR="0056231A" w:rsidRPr="00590773" w:rsidRDefault="0056231A" w:rsidP="00590773">
            <w:pPr>
              <w:pStyle w:val="NoSpacing"/>
              <w:jc w:val="center"/>
              <w:rPr>
                <w:rFonts w:ascii="Times New Roman" w:hAnsi="Times New Roman"/>
                <w:b/>
                <w:sz w:val="20"/>
                <w:lang w:val="en-ID"/>
              </w:rPr>
            </w:pPr>
            <w:r w:rsidRPr="00590773">
              <w:rPr>
                <w:rFonts w:ascii="Times New Roman" w:hAnsi="Times New Roman"/>
                <w:b/>
                <w:sz w:val="20"/>
                <w:lang w:val="en-ID"/>
              </w:rPr>
              <w:t>(1-10)</w:t>
            </w:r>
          </w:p>
        </w:tc>
      </w:tr>
      <w:tr w:rsidR="0056231A" w:rsidRPr="00590773" w:rsidTr="00EF2FF4">
        <w:tc>
          <w:tcPr>
            <w:tcW w:w="1305" w:type="dxa"/>
            <w:hideMark/>
          </w:tcPr>
          <w:p w:rsidR="0056231A" w:rsidRPr="00590773" w:rsidRDefault="0056231A" w:rsidP="00590773">
            <w:pPr>
              <w:pStyle w:val="NoSpacing"/>
              <w:jc w:val="center"/>
              <w:rPr>
                <w:rFonts w:ascii="Times New Roman" w:hAnsi="Times New Roman"/>
                <w:sz w:val="20"/>
                <w:lang w:val="en-ID"/>
              </w:rPr>
            </w:pPr>
            <w:r w:rsidRPr="00590773">
              <w:rPr>
                <w:rFonts w:ascii="Times New Roman" w:hAnsi="Times New Roman"/>
                <w:sz w:val="20"/>
                <w:lang w:val="en-ID"/>
              </w:rPr>
              <w:t>Collaborative Investments</w:t>
            </w:r>
          </w:p>
        </w:tc>
        <w:tc>
          <w:tcPr>
            <w:tcW w:w="2194" w:type="dxa"/>
            <w:hideMark/>
          </w:tcPr>
          <w:p w:rsidR="0056231A" w:rsidRPr="00590773" w:rsidRDefault="0056231A" w:rsidP="00590773">
            <w:pPr>
              <w:pStyle w:val="NoSpacing"/>
              <w:jc w:val="center"/>
              <w:rPr>
                <w:rFonts w:ascii="Times New Roman" w:hAnsi="Times New Roman"/>
                <w:sz w:val="20"/>
                <w:lang w:val="en-ID"/>
              </w:rPr>
            </w:pPr>
            <w:r w:rsidRPr="00590773">
              <w:rPr>
                <w:rFonts w:ascii="Times New Roman" w:hAnsi="Times New Roman"/>
                <w:sz w:val="20"/>
                <w:lang w:val="en-ID"/>
              </w:rPr>
              <w:t>Industry and academia partnerships for financial innovation and sustainability</w:t>
            </w:r>
          </w:p>
        </w:tc>
        <w:tc>
          <w:tcPr>
            <w:tcW w:w="992" w:type="dxa"/>
            <w:hideMark/>
          </w:tcPr>
          <w:p w:rsidR="0056231A" w:rsidRPr="00590773" w:rsidRDefault="0056231A" w:rsidP="00590773">
            <w:pPr>
              <w:pStyle w:val="NoSpacing"/>
              <w:jc w:val="center"/>
              <w:rPr>
                <w:rFonts w:ascii="Times New Roman" w:hAnsi="Times New Roman"/>
                <w:sz w:val="20"/>
                <w:lang w:val="en-ID"/>
              </w:rPr>
            </w:pPr>
            <w:r w:rsidRPr="00590773">
              <w:rPr>
                <w:rFonts w:ascii="Times New Roman" w:hAnsi="Times New Roman"/>
                <w:sz w:val="20"/>
                <w:lang w:val="en-ID"/>
              </w:rPr>
              <w:t>9.2</w:t>
            </w:r>
          </w:p>
        </w:tc>
      </w:tr>
      <w:tr w:rsidR="0056231A" w:rsidRPr="00590773" w:rsidTr="00EF2FF4">
        <w:tc>
          <w:tcPr>
            <w:tcW w:w="1305" w:type="dxa"/>
            <w:hideMark/>
          </w:tcPr>
          <w:p w:rsidR="0056231A" w:rsidRPr="00590773" w:rsidRDefault="0056231A" w:rsidP="00590773">
            <w:pPr>
              <w:pStyle w:val="NoSpacing"/>
              <w:jc w:val="center"/>
              <w:rPr>
                <w:rFonts w:ascii="Times New Roman" w:hAnsi="Times New Roman"/>
                <w:sz w:val="20"/>
                <w:lang w:val="en-ID"/>
              </w:rPr>
            </w:pPr>
            <w:r w:rsidRPr="00590773">
              <w:rPr>
                <w:rFonts w:ascii="Times New Roman" w:hAnsi="Times New Roman"/>
                <w:sz w:val="20"/>
                <w:lang w:val="en-ID"/>
              </w:rPr>
              <w:t>Regulatory Alignment</w:t>
            </w:r>
          </w:p>
        </w:tc>
        <w:tc>
          <w:tcPr>
            <w:tcW w:w="2194" w:type="dxa"/>
            <w:hideMark/>
          </w:tcPr>
          <w:p w:rsidR="0056231A" w:rsidRPr="00590773" w:rsidRDefault="0056231A" w:rsidP="00590773">
            <w:pPr>
              <w:pStyle w:val="NoSpacing"/>
              <w:jc w:val="center"/>
              <w:rPr>
                <w:rFonts w:ascii="Times New Roman" w:hAnsi="Times New Roman"/>
                <w:sz w:val="20"/>
                <w:lang w:val="en-ID"/>
              </w:rPr>
            </w:pPr>
            <w:r w:rsidRPr="00590773">
              <w:rPr>
                <w:rFonts w:ascii="Times New Roman" w:hAnsi="Times New Roman"/>
                <w:sz w:val="20"/>
                <w:lang w:val="en-ID"/>
              </w:rPr>
              <w:t>Coordination between policymakers and industry for compliance</w:t>
            </w:r>
          </w:p>
        </w:tc>
        <w:tc>
          <w:tcPr>
            <w:tcW w:w="992" w:type="dxa"/>
            <w:hideMark/>
          </w:tcPr>
          <w:p w:rsidR="0056231A" w:rsidRPr="00590773" w:rsidRDefault="0056231A" w:rsidP="00590773">
            <w:pPr>
              <w:pStyle w:val="NoSpacing"/>
              <w:jc w:val="center"/>
              <w:rPr>
                <w:rFonts w:ascii="Times New Roman" w:hAnsi="Times New Roman"/>
                <w:sz w:val="20"/>
                <w:lang w:val="en-ID"/>
              </w:rPr>
            </w:pPr>
            <w:r w:rsidRPr="00590773">
              <w:rPr>
                <w:rFonts w:ascii="Times New Roman" w:hAnsi="Times New Roman"/>
                <w:sz w:val="20"/>
                <w:lang w:val="en-ID"/>
              </w:rPr>
              <w:t>9.1</w:t>
            </w:r>
          </w:p>
        </w:tc>
      </w:tr>
      <w:tr w:rsidR="0056231A" w:rsidRPr="00590773" w:rsidTr="00EF2FF4">
        <w:tc>
          <w:tcPr>
            <w:tcW w:w="1305" w:type="dxa"/>
            <w:hideMark/>
          </w:tcPr>
          <w:p w:rsidR="0056231A" w:rsidRPr="00590773" w:rsidRDefault="0056231A" w:rsidP="00590773">
            <w:pPr>
              <w:pStyle w:val="NoSpacing"/>
              <w:jc w:val="center"/>
              <w:rPr>
                <w:rFonts w:ascii="Times New Roman" w:hAnsi="Times New Roman"/>
                <w:sz w:val="20"/>
                <w:lang w:val="en-ID"/>
              </w:rPr>
            </w:pPr>
            <w:r w:rsidRPr="00590773">
              <w:rPr>
                <w:rFonts w:ascii="Times New Roman" w:hAnsi="Times New Roman"/>
                <w:sz w:val="20"/>
                <w:lang w:val="en-ID"/>
              </w:rPr>
              <w:t>Professional Mentorship</w:t>
            </w:r>
          </w:p>
        </w:tc>
        <w:tc>
          <w:tcPr>
            <w:tcW w:w="2194" w:type="dxa"/>
            <w:hideMark/>
          </w:tcPr>
          <w:p w:rsidR="0056231A" w:rsidRPr="00590773" w:rsidRDefault="0056231A" w:rsidP="00590773">
            <w:pPr>
              <w:pStyle w:val="NoSpacing"/>
              <w:jc w:val="center"/>
              <w:rPr>
                <w:rFonts w:ascii="Times New Roman" w:hAnsi="Times New Roman"/>
                <w:sz w:val="20"/>
                <w:lang w:val="en-ID"/>
              </w:rPr>
            </w:pPr>
            <w:r w:rsidRPr="00590773">
              <w:rPr>
                <w:rFonts w:ascii="Times New Roman" w:hAnsi="Times New Roman"/>
                <w:sz w:val="20"/>
                <w:lang w:val="en-ID"/>
              </w:rPr>
              <w:t>Graduate exposure to real-world challenges through mentorship programs</w:t>
            </w:r>
          </w:p>
        </w:tc>
        <w:tc>
          <w:tcPr>
            <w:tcW w:w="992" w:type="dxa"/>
            <w:hideMark/>
          </w:tcPr>
          <w:p w:rsidR="0056231A" w:rsidRPr="00590773" w:rsidRDefault="0056231A" w:rsidP="00590773">
            <w:pPr>
              <w:pStyle w:val="NoSpacing"/>
              <w:jc w:val="center"/>
              <w:rPr>
                <w:rFonts w:ascii="Times New Roman" w:hAnsi="Times New Roman"/>
                <w:sz w:val="20"/>
                <w:lang w:val="en-ID"/>
              </w:rPr>
            </w:pPr>
            <w:r w:rsidRPr="00590773">
              <w:rPr>
                <w:rFonts w:ascii="Times New Roman" w:hAnsi="Times New Roman"/>
                <w:sz w:val="20"/>
                <w:lang w:val="en-ID"/>
              </w:rPr>
              <w:t>8.9</w:t>
            </w:r>
          </w:p>
        </w:tc>
      </w:tr>
    </w:tbl>
    <w:p w:rsidR="00590773" w:rsidRDefault="00590773" w:rsidP="0056231A">
      <w:pPr>
        <w:autoSpaceDE w:val="0"/>
        <w:autoSpaceDN w:val="0"/>
        <w:adjustRightInd w:val="0"/>
        <w:spacing w:after="0" w:line="240" w:lineRule="auto"/>
        <w:ind w:firstLine="426"/>
        <w:jc w:val="both"/>
        <w:rPr>
          <w:rFonts w:ascii="Times New Roman" w:eastAsia="Calibri" w:hAnsi="Times New Roman"/>
          <w:b/>
          <w:bCs/>
          <w:lang w:val="en-ID"/>
        </w:rPr>
      </w:pPr>
    </w:p>
    <w:p w:rsidR="0056231A" w:rsidRPr="0056231A" w:rsidRDefault="0056231A" w:rsidP="0056231A">
      <w:pPr>
        <w:autoSpaceDE w:val="0"/>
        <w:autoSpaceDN w:val="0"/>
        <w:adjustRightInd w:val="0"/>
        <w:spacing w:after="0" w:line="240" w:lineRule="auto"/>
        <w:ind w:firstLine="426"/>
        <w:jc w:val="both"/>
        <w:rPr>
          <w:rFonts w:ascii="Times New Roman" w:eastAsia="Calibri" w:hAnsi="Times New Roman"/>
          <w:b/>
          <w:bCs/>
          <w:lang w:val="en-ID"/>
        </w:rPr>
      </w:pPr>
      <w:r w:rsidRPr="0056231A">
        <w:rPr>
          <w:rFonts w:ascii="Times New Roman" w:eastAsia="Calibri" w:hAnsi="Times New Roman"/>
          <w:b/>
          <w:bCs/>
          <w:lang w:val="en-ID"/>
        </w:rPr>
        <w:t>Educational Integration of Sustainability Principles</w:t>
      </w:r>
    </w:p>
    <w:p w:rsidR="00590773" w:rsidRDefault="0056231A" w:rsidP="0056231A">
      <w:pPr>
        <w:autoSpaceDE w:val="0"/>
        <w:autoSpaceDN w:val="0"/>
        <w:adjustRightInd w:val="0"/>
        <w:spacing w:after="0" w:line="240" w:lineRule="auto"/>
        <w:ind w:firstLine="426"/>
        <w:jc w:val="both"/>
        <w:rPr>
          <w:rFonts w:ascii="Times New Roman" w:eastAsia="Calibri" w:hAnsi="Times New Roman"/>
          <w:bCs/>
          <w:lang w:val="en-ID"/>
        </w:rPr>
      </w:pPr>
      <w:r w:rsidRPr="0056231A">
        <w:rPr>
          <w:rFonts w:ascii="Times New Roman" w:eastAsia="Calibri" w:hAnsi="Times New Roman"/>
          <w:bCs/>
          <w:lang w:val="en-ID"/>
        </w:rPr>
        <w:t xml:space="preserve">Educational institutions were found to play a pivotal role in embedding sustainability principles into the core of maritime training programs. Lecturers reported progress in revising curricula to include modules on green finance, renewable energy, and eco-friendly shipping practices. However, challenges remain in keeping these modules up-to-date with rapid technological advancements and evolving industry needs. </w:t>
      </w:r>
    </w:p>
    <w:p w:rsidR="00590773" w:rsidRDefault="00590773" w:rsidP="0056231A">
      <w:pPr>
        <w:autoSpaceDE w:val="0"/>
        <w:autoSpaceDN w:val="0"/>
        <w:adjustRightInd w:val="0"/>
        <w:spacing w:after="0" w:line="240" w:lineRule="auto"/>
        <w:ind w:firstLine="426"/>
        <w:jc w:val="both"/>
        <w:rPr>
          <w:rFonts w:ascii="Times New Roman" w:eastAsia="Calibri" w:hAnsi="Times New Roman"/>
          <w:bCs/>
          <w:lang w:val="en-ID"/>
        </w:rPr>
      </w:pPr>
    </w:p>
    <w:p w:rsidR="0056231A" w:rsidRPr="00590773" w:rsidRDefault="0056231A" w:rsidP="00590773">
      <w:pPr>
        <w:autoSpaceDE w:val="0"/>
        <w:autoSpaceDN w:val="0"/>
        <w:adjustRightInd w:val="0"/>
        <w:spacing w:after="0" w:line="240" w:lineRule="auto"/>
        <w:ind w:firstLine="426"/>
        <w:jc w:val="center"/>
        <w:rPr>
          <w:rFonts w:ascii="Times New Roman" w:eastAsia="Calibri" w:hAnsi="Times New Roman"/>
          <w:b/>
          <w:bCs/>
          <w:lang w:val="en-ID"/>
        </w:rPr>
      </w:pPr>
      <w:r w:rsidRPr="00590773">
        <w:rPr>
          <w:rFonts w:ascii="Times New Roman" w:eastAsia="Calibri" w:hAnsi="Times New Roman"/>
          <w:b/>
          <w:bCs/>
          <w:lang w:val="en-ID"/>
        </w:rPr>
        <w:t>Table 2</w:t>
      </w:r>
      <w:r w:rsidR="00590773" w:rsidRPr="00590773">
        <w:rPr>
          <w:rFonts w:ascii="Times New Roman" w:eastAsia="Calibri" w:hAnsi="Times New Roman"/>
          <w:b/>
          <w:bCs/>
        </w:rPr>
        <w:t>: T</w:t>
      </w:r>
      <w:r w:rsidRPr="00590773">
        <w:rPr>
          <w:rFonts w:ascii="Times New Roman" w:eastAsia="Calibri" w:hAnsi="Times New Roman"/>
          <w:b/>
          <w:bCs/>
          <w:lang w:val="en-ID"/>
        </w:rPr>
        <w:t>he findings rel</w:t>
      </w:r>
      <w:r w:rsidR="00590773">
        <w:rPr>
          <w:rFonts w:ascii="Times New Roman" w:eastAsia="Calibri" w:hAnsi="Times New Roman"/>
          <w:b/>
          <w:bCs/>
          <w:lang w:val="en-ID"/>
        </w:rPr>
        <w:t>ated to educational integration</w:t>
      </w:r>
    </w:p>
    <w:tbl>
      <w:tblPr>
        <w:tblW w:w="0" w:type="auto"/>
        <w:tblInd w:w="45" w:type="dxa"/>
        <w:tblLook w:val="04A0" w:firstRow="1" w:lastRow="0" w:firstColumn="1" w:lastColumn="0" w:noHBand="0" w:noVBand="1"/>
      </w:tblPr>
      <w:tblGrid>
        <w:gridCol w:w="1373"/>
        <w:gridCol w:w="2126"/>
        <w:gridCol w:w="851"/>
      </w:tblGrid>
      <w:tr w:rsidR="0056231A" w:rsidRPr="00590773" w:rsidTr="00EF2FF4">
        <w:tc>
          <w:tcPr>
            <w:tcW w:w="1373" w:type="dxa"/>
            <w:hideMark/>
          </w:tcPr>
          <w:p w:rsidR="0056231A" w:rsidRPr="00590773" w:rsidRDefault="0056231A" w:rsidP="00590773">
            <w:pPr>
              <w:pStyle w:val="NoSpacing"/>
              <w:jc w:val="center"/>
              <w:rPr>
                <w:rFonts w:ascii="Times New Roman" w:hAnsi="Times New Roman"/>
                <w:b/>
                <w:sz w:val="20"/>
                <w:lang w:val="en-ID"/>
              </w:rPr>
            </w:pPr>
            <w:r w:rsidRPr="00590773">
              <w:rPr>
                <w:rFonts w:ascii="Times New Roman" w:hAnsi="Times New Roman"/>
                <w:b/>
                <w:sz w:val="20"/>
                <w:lang w:val="en-ID"/>
              </w:rPr>
              <w:t>Indicator</w:t>
            </w:r>
          </w:p>
        </w:tc>
        <w:tc>
          <w:tcPr>
            <w:tcW w:w="2126" w:type="dxa"/>
            <w:hideMark/>
          </w:tcPr>
          <w:p w:rsidR="0056231A" w:rsidRPr="00590773" w:rsidRDefault="0056231A" w:rsidP="00590773">
            <w:pPr>
              <w:pStyle w:val="NoSpacing"/>
              <w:jc w:val="center"/>
              <w:rPr>
                <w:rFonts w:ascii="Times New Roman" w:hAnsi="Times New Roman"/>
                <w:b/>
                <w:sz w:val="20"/>
                <w:lang w:val="en-ID"/>
              </w:rPr>
            </w:pPr>
            <w:r w:rsidRPr="00590773">
              <w:rPr>
                <w:rFonts w:ascii="Times New Roman" w:hAnsi="Times New Roman"/>
                <w:b/>
                <w:sz w:val="20"/>
                <w:lang w:val="en-ID"/>
              </w:rPr>
              <w:t>Description</w:t>
            </w:r>
          </w:p>
        </w:tc>
        <w:tc>
          <w:tcPr>
            <w:tcW w:w="851" w:type="dxa"/>
            <w:hideMark/>
          </w:tcPr>
          <w:p w:rsidR="00590773" w:rsidRDefault="0056231A" w:rsidP="00590773">
            <w:pPr>
              <w:pStyle w:val="NoSpacing"/>
              <w:jc w:val="center"/>
              <w:rPr>
                <w:rFonts w:ascii="Times New Roman" w:hAnsi="Times New Roman"/>
                <w:b/>
                <w:sz w:val="20"/>
                <w:lang w:val="en-ID"/>
              </w:rPr>
            </w:pPr>
            <w:r w:rsidRPr="00590773">
              <w:rPr>
                <w:rFonts w:ascii="Times New Roman" w:hAnsi="Times New Roman"/>
                <w:b/>
                <w:sz w:val="20"/>
                <w:lang w:val="en-ID"/>
              </w:rPr>
              <w:t xml:space="preserve">Score </w:t>
            </w:r>
          </w:p>
          <w:p w:rsidR="0056231A" w:rsidRPr="00590773" w:rsidRDefault="0056231A" w:rsidP="00590773">
            <w:pPr>
              <w:pStyle w:val="NoSpacing"/>
              <w:jc w:val="center"/>
              <w:rPr>
                <w:rFonts w:ascii="Times New Roman" w:hAnsi="Times New Roman"/>
                <w:b/>
                <w:sz w:val="20"/>
                <w:lang w:val="en-ID"/>
              </w:rPr>
            </w:pPr>
            <w:r w:rsidRPr="00590773">
              <w:rPr>
                <w:rFonts w:ascii="Times New Roman" w:hAnsi="Times New Roman"/>
                <w:b/>
                <w:sz w:val="20"/>
                <w:lang w:val="en-ID"/>
              </w:rPr>
              <w:t>(1-10)</w:t>
            </w:r>
          </w:p>
        </w:tc>
      </w:tr>
      <w:tr w:rsidR="0056231A" w:rsidRPr="00590773" w:rsidTr="00EF2FF4">
        <w:tc>
          <w:tcPr>
            <w:tcW w:w="1373" w:type="dxa"/>
            <w:hideMark/>
          </w:tcPr>
          <w:p w:rsidR="0056231A" w:rsidRPr="00590773" w:rsidRDefault="0056231A" w:rsidP="00590773">
            <w:pPr>
              <w:pStyle w:val="NoSpacing"/>
              <w:jc w:val="center"/>
              <w:rPr>
                <w:rFonts w:ascii="Times New Roman" w:hAnsi="Times New Roman"/>
                <w:sz w:val="20"/>
                <w:lang w:val="en-ID"/>
              </w:rPr>
            </w:pPr>
            <w:r w:rsidRPr="00590773">
              <w:rPr>
                <w:rFonts w:ascii="Times New Roman" w:hAnsi="Times New Roman"/>
                <w:sz w:val="20"/>
                <w:lang w:val="en-ID"/>
              </w:rPr>
              <w:t>Sustainability Modules</w:t>
            </w:r>
          </w:p>
        </w:tc>
        <w:tc>
          <w:tcPr>
            <w:tcW w:w="2126" w:type="dxa"/>
            <w:hideMark/>
          </w:tcPr>
          <w:p w:rsidR="0056231A" w:rsidRPr="00590773" w:rsidRDefault="0056231A" w:rsidP="00590773">
            <w:pPr>
              <w:pStyle w:val="NoSpacing"/>
              <w:jc w:val="center"/>
              <w:rPr>
                <w:rFonts w:ascii="Times New Roman" w:hAnsi="Times New Roman"/>
                <w:sz w:val="20"/>
                <w:lang w:val="en-ID"/>
              </w:rPr>
            </w:pPr>
            <w:r w:rsidRPr="00590773">
              <w:rPr>
                <w:rFonts w:ascii="Times New Roman" w:hAnsi="Times New Roman"/>
                <w:sz w:val="20"/>
                <w:lang w:val="en-ID"/>
              </w:rPr>
              <w:t>Inclusion of environmental and financial sustainability in curricula</w:t>
            </w:r>
          </w:p>
        </w:tc>
        <w:tc>
          <w:tcPr>
            <w:tcW w:w="851" w:type="dxa"/>
            <w:hideMark/>
          </w:tcPr>
          <w:p w:rsidR="0056231A" w:rsidRPr="00590773" w:rsidRDefault="0056231A" w:rsidP="00590773">
            <w:pPr>
              <w:pStyle w:val="NoSpacing"/>
              <w:jc w:val="center"/>
              <w:rPr>
                <w:rFonts w:ascii="Times New Roman" w:hAnsi="Times New Roman"/>
                <w:sz w:val="20"/>
                <w:lang w:val="en-ID"/>
              </w:rPr>
            </w:pPr>
            <w:r w:rsidRPr="00590773">
              <w:rPr>
                <w:rFonts w:ascii="Times New Roman" w:hAnsi="Times New Roman"/>
                <w:sz w:val="20"/>
                <w:lang w:val="en-ID"/>
              </w:rPr>
              <w:t>9.3</w:t>
            </w:r>
          </w:p>
        </w:tc>
      </w:tr>
      <w:tr w:rsidR="0056231A" w:rsidRPr="00590773" w:rsidTr="00EF2FF4">
        <w:tc>
          <w:tcPr>
            <w:tcW w:w="1373" w:type="dxa"/>
            <w:hideMark/>
          </w:tcPr>
          <w:p w:rsidR="0056231A" w:rsidRPr="00590773" w:rsidRDefault="0056231A" w:rsidP="00590773">
            <w:pPr>
              <w:pStyle w:val="NoSpacing"/>
              <w:jc w:val="center"/>
              <w:rPr>
                <w:rFonts w:ascii="Times New Roman" w:hAnsi="Times New Roman"/>
                <w:sz w:val="20"/>
                <w:lang w:val="en-ID"/>
              </w:rPr>
            </w:pPr>
            <w:r w:rsidRPr="00590773">
              <w:rPr>
                <w:rFonts w:ascii="Times New Roman" w:hAnsi="Times New Roman"/>
                <w:sz w:val="20"/>
                <w:lang w:val="en-ID"/>
              </w:rPr>
              <w:t>Practical Simulations</w:t>
            </w:r>
          </w:p>
        </w:tc>
        <w:tc>
          <w:tcPr>
            <w:tcW w:w="2126" w:type="dxa"/>
            <w:hideMark/>
          </w:tcPr>
          <w:p w:rsidR="0056231A" w:rsidRPr="00590773" w:rsidRDefault="0056231A" w:rsidP="00590773">
            <w:pPr>
              <w:pStyle w:val="NoSpacing"/>
              <w:jc w:val="center"/>
              <w:rPr>
                <w:rFonts w:ascii="Times New Roman" w:hAnsi="Times New Roman"/>
                <w:sz w:val="20"/>
                <w:lang w:val="en-ID"/>
              </w:rPr>
            </w:pPr>
            <w:r w:rsidRPr="00590773">
              <w:rPr>
                <w:rFonts w:ascii="Times New Roman" w:hAnsi="Times New Roman"/>
                <w:sz w:val="20"/>
                <w:lang w:val="en-ID"/>
              </w:rPr>
              <w:t>Use of real-world case studies and simulations in training</w:t>
            </w:r>
          </w:p>
        </w:tc>
        <w:tc>
          <w:tcPr>
            <w:tcW w:w="851" w:type="dxa"/>
            <w:hideMark/>
          </w:tcPr>
          <w:p w:rsidR="0056231A" w:rsidRPr="00590773" w:rsidRDefault="0056231A" w:rsidP="00590773">
            <w:pPr>
              <w:pStyle w:val="NoSpacing"/>
              <w:jc w:val="center"/>
              <w:rPr>
                <w:rFonts w:ascii="Times New Roman" w:hAnsi="Times New Roman"/>
                <w:sz w:val="20"/>
                <w:lang w:val="en-ID"/>
              </w:rPr>
            </w:pPr>
            <w:r w:rsidRPr="00590773">
              <w:rPr>
                <w:rFonts w:ascii="Times New Roman" w:hAnsi="Times New Roman"/>
                <w:sz w:val="20"/>
                <w:lang w:val="en-ID"/>
              </w:rPr>
              <w:t>8.8</w:t>
            </w:r>
          </w:p>
        </w:tc>
      </w:tr>
      <w:tr w:rsidR="0056231A" w:rsidRPr="00590773" w:rsidTr="00EF2FF4">
        <w:tc>
          <w:tcPr>
            <w:tcW w:w="1373" w:type="dxa"/>
            <w:hideMark/>
          </w:tcPr>
          <w:p w:rsidR="0056231A" w:rsidRPr="00590773" w:rsidRDefault="0056231A" w:rsidP="00590773">
            <w:pPr>
              <w:pStyle w:val="NoSpacing"/>
              <w:jc w:val="center"/>
              <w:rPr>
                <w:rFonts w:ascii="Times New Roman" w:hAnsi="Times New Roman"/>
                <w:sz w:val="20"/>
                <w:lang w:val="en-ID"/>
              </w:rPr>
            </w:pPr>
            <w:r w:rsidRPr="00590773">
              <w:rPr>
                <w:rFonts w:ascii="Times New Roman" w:hAnsi="Times New Roman"/>
                <w:sz w:val="20"/>
                <w:lang w:val="en-ID"/>
              </w:rPr>
              <w:t>Industry Feedback Loops</w:t>
            </w:r>
          </w:p>
        </w:tc>
        <w:tc>
          <w:tcPr>
            <w:tcW w:w="2126" w:type="dxa"/>
            <w:hideMark/>
          </w:tcPr>
          <w:p w:rsidR="0056231A" w:rsidRPr="00590773" w:rsidRDefault="0056231A" w:rsidP="00590773">
            <w:pPr>
              <w:pStyle w:val="NoSpacing"/>
              <w:jc w:val="center"/>
              <w:rPr>
                <w:rFonts w:ascii="Times New Roman" w:hAnsi="Times New Roman"/>
                <w:sz w:val="20"/>
                <w:lang w:val="en-ID"/>
              </w:rPr>
            </w:pPr>
            <w:r w:rsidRPr="00590773">
              <w:rPr>
                <w:rFonts w:ascii="Times New Roman" w:hAnsi="Times New Roman"/>
                <w:sz w:val="20"/>
                <w:lang w:val="en-ID"/>
              </w:rPr>
              <w:t>Continuous input from industry stakeholders to update educational content</w:t>
            </w:r>
          </w:p>
        </w:tc>
        <w:tc>
          <w:tcPr>
            <w:tcW w:w="851" w:type="dxa"/>
            <w:hideMark/>
          </w:tcPr>
          <w:p w:rsidR="0056231A" w:rsidRPr="00590773" w:rsidRDefault="0056231A" w:rsidP="00590773">
            <w:pPr>
              <w:pStyle w:val="NoSpacing"/>
              <w:jc w:val="center"/>
              <w:rPr>
                <w:rFonts w:ascii="Times New Roman" w:hAnsi="Times New Roman"/>
                <w:sz w:val="20"/>
                <w:lang w:val="en-ID"/>
              </w:rPr>
            </w:pPr>
            <w:r w:rsidRPr="00590773">
              <w:rPr>
                <w:rFonts w:ascii="Times New Roman" w:hAnsi="Times New Roman"/>
                <w:sz w:val="20"/>
                <w:lang w:val="en-ID"/>
              </w:rPr>
              <w:t>9.0</w:t>
            </w:r>
          </w:p>
        </w:tc>
      </w:tr>
    </w:tbl>
    <w:p w:rsidR="00590773" w:rsidRDefault="00590773" w:rsidP="0056231A">
      <w:pPr>
        <w:autoSpaceDE w:val="0"/>
        <w:autoSpaceDN w:val="0"/>
        <w:adjustRightInd w:val="0"/>
        <w:spacing w:after="0" w:line="240" w:lineRule="auto"/>
        <w:ind w:firstLine="426"/>
        <w:jc w:val="both"/>
        <w:rPr>
          <w:rFonts w:ascii="Times New Roman" w:eastAsia="Calibri" w:hAnsi="Times New Roman"/>
          <w:b/>
          <w:bCs/>
          <w:lang w:val="en-ID"/>
        </w:rPr>
      </w:pPr>
    </w:p>
    <w:p w:rsidR="0056231A" w:rsidRPr="0056231A" w:rsidRDefault="0056231A" w:rsidP="0056231A">
      <w:pPr>
        <w:autoSpaceDE w:val="0"/>
        <w:autoSpaceDN w:val="0"/>
        <w:adjustRightInd w:val="0"/>
        <w:spacing w:after="0" w:line="240" w:lineRule="auto"/>
        <w:ind w:firstLine="426"/>
        <w:jc w:val="both"/>
        <w:rPr>
          <w:rFonts w:ascii="Times New Roman" w:eastAsia="Calibri" w:hAnsi="Times New Roman"/>
          <w:b/>
          <w:bCs/>
          <w:lang w:val="en-ID"/>
        </w:rPr>
      </w:pPr>
      <w:r w:rsidRPr="0056231A">
        <w:rPr>
          <w:rFonts w:ascii="Times New Roman" w:eastAsia="Calibri" w:hAnsi="Times New Roman"/>
          <w:b/>
          <w:bCs/>
          <w:lang w:val="en-ID"/>
        </w:rPr>
        <w:t>Vocational Training Outcomes</w:t>
      </w:r>
    </w:p>
    <w:p w:rsidR="00590773" w:rsidRDefault="0056231A" w:rsidP="0056231A">
      <w:pPr>
        <w:autoSpaceDE w:val="0"/>
        <w:autoSpaceDN w:val="0"/>
        <w:adjustRightInd w:val="0"/>
        <w:spacing w:after="0" w:line="240" w:lineRule="auto"/>
        <w:ind w:firstLine="426"/>
        <w:jc w:val="both"/>
        <w:rPr>
          <w:rFonts w:ascii="Times New Roman" w:eastAsia="Calibri" w:hAnsi="Times New Roman"/>
          <w:bCs/>
          <w:lang w:val="en-ID"/>
        </w:rPr>
      </w:pPr>
      <w:r w:rsidRPr="0056231A">
        <w:rPr>
          <w:rFonts w:ascii="Times New Roman" w:eastAsia="Calibri" w:hAnsi="Times New Roman"/>
          <w:bCs/>
          <w:lang w:val="en-ID"/>
        </w:rPr>
        <w:t xml:space="preserve">Vocational training programs were widely regarded as effective in preparing graduates for the challenges of the maritime industry. Both graduates and industry experts noted the practical benefits of hands-on training and exposure to real-world scenarios. These programs were seen as instrumental in fostering financial literacy and operational competence among new entrants to the industry. </w:t>
      </w:r>
    </w:p>
    <w:p w:rsidR="00EF2FF4" w:rsidRDefault="00EF2FF4" w:rsidP="0056231A">
      <w:pPr>
        <w:autoSpaceDE w:val="0"/>
        <w:autoSpaceDN w:val="0"/>
        <w:adjustRightInd w:val="0"/>
        <w:spacing w:after="0" w:line="240" w:lineRule="auto"/>
        <w:ind w:firstLine="426"/>
        <w:jc w:val="both"/>
        <w:rPr>
          <w:rFonts w:ascii="Times New Roman" w:eastAsia="Calibri" w:hAnsi="Times New Roman"/>
          <w:bCs/>
          <w:lang w:val="en-ID"/>
        </w:rPr>
      </w:pPr>
    </w:p>
    <w:p w:rsidR="00EF2FF4" w:rsidRDefault="00EF2FF4" w:rsidP="0056231A">
      <w:pPr>
        <w:autoSpaceDE w:val="0"/>
        <w:autoSpaceDN w:val="0"/>
        <w:adjustRightInd w:val="0"/>
        <w:spacing w:after="0" w:line="240" w:lineRule="auto"/>
        <w:ind w:firstLine="426"/>
        <w:jc w:val="both"/>
        <w:rPr>
          <w:rFonts w:ascii="Times New Roman" w:eastAsia="Calibri" w:hAnsi="Times New Roman"/>
          <w:bCs/>
          <w:lang w:val="en-ID"/>
        </w:rPr>
      </w:pPr>
    </w:p>
    <w:p w:rsidR="00EF2FF4" w:rsidRDefault="00EF2FF4" w:rsidP="0056231A">
      <w:pPr>
        <w:autoSpaceDE w:val="0"/>
        <w:autoSpaceDN w:val="0"/>
        <w:adjustRightInd w:val="0"/>
        <w:spacing w:after="0" w:line="240" w:lineRule="auto"/>
        <w:ind w:firstLine="426"/>
        <w:jc w:val="both"/>
        <w:rPr>
          <w:rFonts w:ascii="Times New Roman" w:eastAsia="Calibri" w:hAnsi="Times New Roman"/>
          <w:bCs/>
          <w:lang w:val="en-ID"/>
        </w:rPr>
      </w:pPr>
    </w:p>
    <w:p w:rsidR="00590773" w:rsidRDefault="00590773" w:rsidP="0056231A">
      <w:pPr>
        <w:autoSpaceDE w:val="0"/>
        <w:autoSpaceDN w:val="0"/>
        <w:adjustRightInd w:val="0"/>
        <w:spacing w:after="0" w:line="240" w:lineRule="auto"/>
        <w:ind w:firstLine="426"/>
        <w:jc w:val="both"/>
        <w:rPr>
          <w:rFonts w:ascii="Times New Roman" w:eastAsia="Calibri" w:hAnsi="Times New Roman"/>
          <w:bCs/>
          <w:lang w:val="en-ID"/>
        </w:rPr>
      </w:pPr>
    </w:p>
    <w:p w:rsidR="0056231A" w:rsidRPr="00590773" w:rsidRDefault="0056231A" w:rsidP="00590773">
      <w:pPr>
        <w:autoSpaceDE w:val="0"/>
        <w:autoSpaceDN w:val="0"/>
        <w:adjustRightInd w:val="0"/>
        <w:spacing w:after="0" w:line="240" w:lineRule="auto"/>
        <w:ind w:firstLine="426"/>
        <w:jc w:val="center"/>
        <w:rPr>
          <w:rFonts w:ascii="Times New Roman" w:eastAsia="Calibri" w:hAnsi="Times New Roman"/>
          <w:b/>
          <w:bCs/>
          <w:lang w:val="en-ID"/>
        </w:rPr>
      </w:pPr>
      <w:r w:rsidRPr="00590773">
        <w:rPr>
          <w:rFonts w:ascii="Times New Roman" w:eastAsia="Calibri" w:hAnsi="Times New Roman"/>
          <w:b/>
          <w:bCs/>
          <w:lang w:val="en-ID"/>
        </w:rPr>
        <w:lastRenderedPageBreak/>
        <w:t>Table 3</w:t>
      </w:r>
      <w:r w:rsidR="00590773" w:rsidRPr="00590773">
        <w:rPr>
          <w:rFonts w:ascii="Times New Roman" w:eastAsia="Calibri" w:hAnsi="Times New Roman"/>
          <w:b/>
          <w:bCs/>
        </w:rPr>
        <w:t>: S</w:t>
      </w:r>
      <w:proofErr w:type="spellStart"/>
      <w:r w:rsidRPr="00590773">
        <w:rPr>
          <w:rFonts w:ascii="Times New Roman" w:eastAsia="Calibri" w:hAnsi="Times New Roman"/>
          <w:b/>
          <w:bCs/>
          <w:lang w:val="en-ID"/>
        </w:rPr>
        <w:t>ummary</w:t>
      </w:r>
      <w:proofErr w:type="spellEnd"/>
      <w:r w:rsidRPr="00590773">
        <w:rPr>
          <w:rFonts w:ascii="Times New Roman" w:eastAsia="Calibri" w:hAnsi="Times New Roman"/>
          <w:b/>
          <w:bCs/>
          <w:lang w:val="en-ID"/>
        </w:rPr>
        <w:t xml:space="preserve"> </w:t>
      </w:r>
      <w:r w:rsidR="00590773" w:rsidRPr="00590773">
        <w:rPr>
          <w:rFonts w:ascii="Times New Roman" w:eastAsia="Calibri" w:hAnsi="Times New Roman"/>
          <w:b/>
          <w:bCs/>
          <w:lang w:val="en-ID"/>
        </w:rPr>
        <w:t>of vocational training outcomes</w:t>
      </w:r>
    </w:p>
    <w:tbl>
      <w:tblPr>
        <w:tblW w:w="0" w:type="auto"/>
        <w:tblInd w:w="45" w:type="dxa"/>
        <w:tblLook w:val="04A0" w:firstRow="1" w:lastRow="0" w:firstColumn="1" w:lastColumn="0" w:noHBand="0" w:noVBand="1"/>
      </w:tblPr>
      <w:tblGrid>
        <w:gridCol w:w="1294"/>
        <w:gridCol w:w="2205"/>
        <w:gridCol w:w="851"/>
      </w:tblGrid>
      <w:tr w:rsidR="0056231A" w:rsidRPr="00590773" w:rsidTr="00EF2FF4">
        <w:tc>
          <w:tcPr>
            <w:tcW w:w="1294" w:type="dxa"/>
            <w:hideMark/>
          </w:tcPr>
          <w:p w:rsidR="0056231A" w:rsidRPr="00590773" w:rsidRDefault="0056231A" w:rsidP="00590773">
            <w:pPr>
              <w:pStyle w:val="NoSpacing"/>
              <w:jc w:val="center"/>
              <w:rPr>
                <w:rFonts w:ascii="Times New Roman" w:hAnsi="Times New Roman"/>
                <w:b/>
                <w:sz w:val="20"/>
                <w:lang w:val="en-ID"/>
              </w:rPr>
            </w:pPr>
            <w:r w:rsidRPr="00590773">
              <w:rPr>
                <w:rFonts w:ascii="Times New Roman" w:hAnsi="Times New Roman"/>
                <w:b/>
                <w:sz w:val="20"/>
                <w:lang w:val="en-ID"/>
              </w:rPr>
              <w:t>Indicator</w:t>
            </w:r>
          </w:p>
        </w:tc>
        <w:tc>
          <w:tcPr>
            <w:tcW w:w="2205" w:type="dxa"/>
            <w:hideMark/>
          </w:tcPr>
          <w:p w:rsidR="0056231A" w:rsidRPr="00590773" w:rsidRDefault="0056231A" w:rsidP="00590773">
            <w:pPr>
              <w:pStyle w:val="NoSpacing"/>
              <w:jc w:val="center"/>
              <w:rPr>
                <w:rFonts w:ascii="Times New Roman" w:hAnsi="Times New Roman"/>
                <w:b/>
                <w:sz w:val="20"/>
                <w:lang w:val="en-ID"/>
              </w:rPr>
            </w:pPr>
            <w:r w:rsidRPr="00590773">
              <w:rPr>
                <w:rFonts w:ascii="Times New Roman" w:hAnsi="Times New Roman"/>
                <w:b/>
                <w:sz w:val="20"/>
                <w:lang w:val="en-ID"/>
              </w:rPr>
              <w:t>Description</w:t>
            </w:r>
          </w:p>
        </w:tc>
        <w:tc>
          <w:tcPr>
            <w:tcW w:w="851" w:type="dxa"/>
            <w:hideMark/>
          </w:tcPr>
          <w:p w:rsidR="00590773" w:rsidRPr="00590773" w:rsidRDefault="0056231A" w:rsidP="00590773">
            <w:pPr>
              <w:pStyle w:val="NoSpacing"/>
              <w:jc w:val="center"/>
              <w:rPr>
                <w:rFonts w:ascii="Times New Roman" w:hAnsi="Times New Roman"/>
                <w:b/>
                <w:sz w:val="20"/>
                <w:lang w:val="en-ID"/>
              </w:rPr>
            </w:pPr>
            <w:r w:rsidRPr="00590773">
              <w:rPr>
                <w:rFonts w:ascii="Times New Roman" w:hAnsi="Times New Roman"/>
                <w:b/>
                <w:sz w:val="20"/>
                <w:lang w:val="en-ID"/>
              </w:rPr>
              <w:t xml:space="preserve">Score </w:t>
            </w:r>
          </w:p>
          <w:p w:rsidR="0056231A" w:rsidRPr="00590773" w:rsidRDefault="0056231A" w:rsidP="00590773">
            <w:pPr>
              <w:pStyle w:val="NoSpacing"/>
              <w:jc w:val="center"/>
              <w:rPr>
                <w:rFonts w:ascii="Times New Roman" w:hAnsi="Times New Roman"/>
                <w:b/>
                <w:sz w:val="20"/>
                <w:lang w:val="en-ID"/>
              </w:rPr>
            </w:pPr>
            <w:r w:rsidRPr="00590773">
              <w:rPr>
                <w:rFonts w:ascii="Times New Roman" w:hAnsi="Times New Roman"/>
                <w:b/>
                <w:sz w:val="20"/>
                <w:lang w:val="en-ID"/>
              </w:rPr>
              <w:t>(1-10)</w:t>
            </w:r>
          </w:p>
        </w:tc>
      </w:tr>
      <w:tr w:rsidR="0056231A" w:rsidRPr="00590773" w:rsidTr="00EF2FF4">
        <w:tc>
          <w:tcPr>
            <w:tcW w:w="1294" w:type="dxa"/>
            <w:hideMark/>
          </w:tcPr>
          <w:p w:rsidR="0056231A" w:rsidRPr="00590773" w:rsidRDefault="0056231A" w:rsidP="00590773">
            <w:pPr>
              <w:pStyle w:val="NoSpacing"/>
              <w:jc w:val="center"/>
              <w:rPr>
                <w:rFonts w:ascii="Times New Roman" w:hAnsi="Times New Roman"/>
                <w:sz w:val="20"/>
                <w:lang w:val="en-ID"/>
              </w:rPr>
            </w:pPr>
            <w:r w:rsidRPr="00590773">
              <w:rPr>
                <w:rFonts w:ascii="Times New Roman" w:hAnsi="Times New Roman"/>
                <w:sz w:val="20"/>
                <w:lang w:val="en-ID"/>
              </w:rPr>
              <w:t>Practical Skills Training</w:t>
            </w:r>
          </w:p>
        </w:tc>
        <w:tc>
          <w:tcPr>
            <w:tcW w:w="2205" w:type="dxa"/>
            <w:hideMark/>
          </w:tcPr>
          <w:p w:rsidR="0056231A" w:rsidRPr="00590773" w:rsidRDefault="0056231A" w:rsidP="00590773">
            <w:pPr>
              <w:pStyle w:val="NoSpacing"/>
              <w:jc w:val="center"/>
              <w:rPr>
                <w:rFonts w:ascii="Times New Roman" w:hAnsi="Times New Roman"/>
                <w:sz w:val="20"/>
                <w:lang w:val="en-ID"/>
              </w:rPr>
            </w:pPr>
            <w:r w:rsidRPr="00590773">
              <w:rPr>
                <w:rFonts w:ascii="Times New Roman" w:hAnsi="Times New Roman"/>
                <w:sz w:val="20"/>
                <w:lang w:val="en-ID"/>
              </w:rPr>
              <w:t>Graduates’ proficiency in technical and financial tasks</w:t>
            </w:r>
          </w:p>
        </w:tc>
        <w:tc>
          <w:tcPr>
            <w:tcW w:w="851" w:type="dxa"/>
            <w:hideMark/>
          </w:tcPr>
          <w:p w:rsidR="0056231A" w:rsidRPr="00590773" w:rsidRDefault="0056231A" w:rsidP="00590773">
            <w:pPr>
              <w:pStyle w:val="NoSpacing"/>
              <w:jc w:val="center"/>
              <w:rPr>
                <w:rFonts w:ascii="Times New Roman" w:hAnsi="Times New Roman"/>
                <w:sz w:val="20"/>
                <w:lang w:val="en-ID"/>
              </w:rPr>
            </w:pPr>
            <w:r w:rsidRPr="00590773">
              <w:rPr>
                <w:rFonts w:ascii="Times New Roman" w:hAnsi="Times New Roman"/>
                <w:sz w:val="20"/>
                <w:lang w:val="en-ID"/>
              </w:rPr>
              <w:t>9.4</w:t>
            </w:r>
          </w:p>
        </w:tc>
      </w:tr>
      <w:tr w:rsidR="0056231A" w:rsidRPr="00590773" w:rsidTr="00EF2FF4">
        <w:tc>
          <w:tcPr>
            <w:tcW w:w="1294" w:type="dxa"/>
            <w:hideMark/>
          </w:tcPr>
          <w:p w:rsidR="0056231A" w:rsidRPr="00590773" w:rsidRDefault="0056231A" w:rsidP="00590773">
            <w:pPr>
              <w:pStyle w:val="NoSpacing"/>
              <w:jc w:val="center"/>
              <w:rPr>
                <w:rFonts w:ascii="Times New Roman" w:hAnsi="Times New Roman"/>
                <w:sz w:val="20"/>
                <w:lang w:val="en-ID"/>
              </w:rPr>
            </w:pPr>
            <w:r w:rsidRPr="00590773">
              <w:rPr>
                <w:rFonts w:ascii="Times New Roman" w:hAnsi="Times New Roman"/>
                <w:sz w:val="20"/>
                <w:lang w:val="en-ID"/>
              </w:rPr>
              <w:t>Transition Readiness</w:t>
            </w:r>
          </w:p>
        </w:tc>
        <w:tc>
          <w:tcPr>
            <w:tcW w:w="2205" w:type="dxa"/>
            <w:hideMark/>
          </w:tcPr>
          <w:p w:rsidR="0056231A" w:rsidRPr="00590773" w:rsidRDefault="0056231A" w:rsidP="00590773">
            <w:pPr>
              <w:pStyle w:val="NoSpacing"/>
              <w:jc w:val="center"/>
              <w:rPr>
                <w:rFonts w:ascii="Times New Roman" w:hAnsi="Times New Roman"/>
                <w:sz w:val="20"/>
                <w:lang w:val="en-ID"/>
              </w:rPr>
            </w:pPr>
            <w:r w:rsidRPr="00590773">
              <w:rPr>
                <w:rFonts w:ascii="Times New Roman" w:hAnsi="Times New Roman"/>
                <w:sz w:val="20"/>
                <w:lang w:val="en-ID"/>
              </w:rPr>
              <w:t>Graduate preparedness for immediate integration into the workforce</w:t>
            </w:r>
          </w:p>
        </w:tc>
        <w:tc>
          <w:tcPr>
            <w:tcW w:w="851" w:type="dxa"/>
            <w:hideMark/>
          </w:tcPr>
          <w:p w:rsidR="0056231A" w:rsidRPr="00590773" w:rsidRDefault="0056231A" w:rsidP="00590773">
            <w:pPr>
              <w:pStyle w:val="NoSpacing"/>
              <w:jc w:val="center"/>
              <w:rPr>
                <w:rFonts w:ascii="Times New Roman" w:hAnsi="Times New Roman"/>
                <w:sz w:val="20"/>
                <w:lang w:val="en-ID"/>
              </w:rPr>
            </w:pPr>
            <w:r w:rsidRPr="00590773">
              <w:rPr>
                <w:rFonts w:ascii="Times New Roman" w:hAnsi="Times New Roman"/>
                <w:sz w:val="20"/>
                <w:lang w:val="en-ID"/>
              </w:rPr>
              <w:t>9.2</w:t>
            </w:r>
          </w:p>
        </w:tc>
      </w:tr>
      <w:tr w:rsidR="0056231A" w:rsidRPr="00590773" w:rsidTr="00EF2FF4">
        <w:tc>
          <w:tcPr>
            <w:tcW w:w="1294" w:type="dxa"/>
            <w:hideMark/>
          </w:tcPr>
          <w:p w:rsidR="0056231A" w:rsidRPr="00590773" w:rsidRDefault="0056231A" w:rsidP="00590773">
            <w:pPr>
              <w:pStyle w:val="NoSpacing"/>
              <w:jc w:val="center"/>
              <w:rPr>
                <w:rFonts w:ascii="Times New Roman" w:hAnsi="Times New Roman"/>
                <w:sz w:val="20"/>
                <w:lang w:val="en-ID"/>
              </w:rPr>
            </w:pPr>
            <w:r w:rsidRPr="00590773">
              <w:rPr>
                <w:rFonts w:ascii="Times New Roman" w:hAnsi="Times New Roman"/>
                <w:sz w:val="20"/>
                <w:lang w:val="en-ID"/>
              </w:rPr>
              <w:t>Continuous Development</w:t>
            </w:r>
          </w:p>
        </w:tc>
        <w:tc>
          <w:tcPr>
            <w:tcW w:w="2205" w:type="dxa"/>
            <w:hideMark/>
          </w:tcPr>
          <w:p w:rsidR="0056231A" w:rsidRPr="00590773" w:rsidRDefault="0056231A" w:rsidP="00590773">
            <w:pPr>
              <w:pStyle w:val="NoSpacing"/>
              <w:jc w:val="center"/>
              <w:rPr>
                <w:rFonts w:ascii="Times New Roman" w:hAnsi="Times New Roman"/>
                <w:sz w:val="20"/>
                <w:lang w:val="en-ID"/>
              </w:rPr>
            </w:pPr>
            <w:r w:rsidRPr="00590773">
              <w:rPr>
                <w:rFonts w:ascii="Times New Roman" w:hAnsi="Times New Roman"/>
                <w:sz w:val="20"/>
                <w:lang w:val="en-ID"/>
              </w:rPr>
              <w:t>Availability of ongoing training opportunities for professional growth</w:t>
            </w:r>
          </w:p>
        </w:tc>
        <w:tc>
          <w:tcPr>
            <w:tcW w:w="851" w:type="dxa"/>
            <w:hideMark/>
          </w:tcPr>
          <w:p w:rsidR="0056231A" w:rsidRPr="00590773" w:rsidRDefault="0056231A" w:rsidP="00590773">
            <w:pPr>
              <w:pStyle w:val="NoSpacing"/>
              <w:jc w:val="center"/>
              <w:rPr>
                <w:rFonts w:ascii="Times New Roman" w:hAnsi="Times New Roman"/>
                <w:sz w:val="20"/>
                <w:lang w:val="en-ID"/>
              </w:rPr>
            </w:pPr>
            <w:r w:rsidRPr="00590773">
              <w:rPr>
                <w:rFonts w:ascii="Times New Roman" w:hAnsi="Times New Roman"/>
                <w:sz w:val="20"/>
                <w:lang w:val="en-ID"/>
              </w:rPr>
              <w:t>9.1</w:t>
            </w:r>
          </w:p>
        </w:tc>
      </w:tr>
    </w:tbl>
    <w:p w:rsidR="0056231A" w:rsidRPr="0056231A" w:rsidRDefault="0056231A" w:rsidP="0056231A">
      <w:pPr>
        <w:autoSpaceDE w:val="0"/>
        <w:autoSpaceDN w:val="0"/>
        <w:adjustRightInd w:val="0"/>
        <w:spacing w:after="0" w:line="240" w:lineRule="auto"/>
        <w:ind w:firstLine="426"/>
        <w:jc w:val="both"/>
        <w:rPr>
          <w:rFonts w:ascii="Times New Roman" w:eastAsia="Calibri" w:hAnsi="Times New Roman"/>
          <w:bCs/>
          <w:lang w:val="en-ID"/>
        </w:rPr>
      </w:pPr>
      <w:r w:rsidRPr="0056231A">
        <w:rPr>
          <w:rFonts w:ascii="Times New Roman" w:eastAsia="Calibri" w:hAnsi="Times New Roman"/>
          <w:bCs/>
          <w:lang w:val="en-ID"/>
        </w:rPr>
        <w:t>The overall findings underscore the effectiveness of current practices while highlighting areas for improvement, particularly in maintaining the relevance of educational programs and enhancing collaboration among stakeholders. These results provide a roadmap for advancing maritime finance, education, and sustainability practices, ensuring the long-term resilience of the industry.</w:t>
      </w:r>
      <w:r w:rsidR="00590773">
        <w:rPr>
          <w:rFonts w:ascii="Times New Roman" w:eastAsia="Calibri" w:hAnsi="Times New Roman"/>
          <w:bCs/>
        </w:rPr>
        <w:t xml:space="preserve"> </w:t>
      </w:r>
      <w:r w:rsidRPr="0056231A">
        <w:rPr>
          <w:rFonts w:ascii="Times New Roman" w:eastAsia="Calibri" w:hAnsi="Times New Roman"/>
          <w:bCs/>
          <w:lang w:val="en-ID"/>
        </w:rPr>
        <w:t>The discussion of this research integrates and interprets the findings to highlight the implications, strengths, and areas for improvement in shipping management, maritime business, and financial sustainability</w:t>
      </w:r>
      <w:r w:rsidR="00D07C29">
        <w:rPr>
          <w:rFonts w:ascii="Times New Roman" w:eastAsia="Calibri" w:hAnsi="Times New Roman"/>
          <w:bCs/>
        </w:rPr>
        <w:t xml:space="preserve"> </w:t>
      </w:r>
      <w:r w:rsidR="00D07C29">
        <w:rPr>
          <w:rFonts w:ascii="Times New Roman" w:eastAsia="Calibri" w:hAnsi="Times New Roman"/>
          <w:bCs/>
        </w:rPr>
        <w:fldChar w:fldCharType="begin" w:fldLock="1"/>
      </w:r>
      <w:r w:rsidR="00D07C29">
        <w:rPr>
          <w:rFonts w:ascii="Times New Roman" w:eastAsia="Calibri" w:hAnsi="Times New Roman"/>
          <w:bCs/>
        </w:rPr>
        <w:instrText>ADDIN CSL_CITATION {"citationItems":[{"id":"ITEM-1","itemData":{"ISSN":"3319623648","author":[{"dropping-particle":"","family":"Dalaklis","given":"Dimitrios","non-dropping-particle":"","parse-names":false,"suffix":""}],"container-title":"Shipping operations management","id":"ITEM-1","issued":{"date-parts":[["2017"]]},"page":"197-213","publisher":"Springer","title":"Safety and security in shipping operations","type":"article-journal"},"uris":["http://www.mendeley.com/documents/?uuid=59560ecd-3e37-488e-b784-f50cd2fa02c1"]},{"id":"ITEM-2","itemData":{"author":[{"dropping-particle":"","family":"Ricardianto","given":"Prasadja","non-dropping-particle":"","parse-names":false,"suffix":""},{"dropping-particle":"","family":"Prastiama","given":"Radhifan","non-dropping-particle":"","parse-names":false,"suffix":""},{"dropping-particle":"","family":"Thamrin","given":"Muhammad","non-dropping-particle":"","parse-names":false,"suffix":""},{"dropping-particle":"","family":"Agusinta","given":"Lira","non-dropping-particle":"","parse-names":false,"suffix":""},{"dropping-particle":"","family":"Abdurachman","given":"Edi","non-dropping-particle":"","parse-names":false,"suffix":""},{"dropping-particle":"","family":"Perwitasari","given":"Erni Pratiwi","non-dropping-particle":"","parse-names":false,"suffix":""}],"container-title":"International Journal of Research in Commerce and Management Studies","id":"ITEM-2","issue":"03","issued":{"date-parts":[["2021"]]},"page":"52-66","title":"the Ship’S Crew Performance of Indonesian National Shipping Companies","type":"article-journal","volume":"3"},"uris":["http://www.mendeley.com/documents/?uuid=f1569ee8-da62-491f-8c21-cb81c100ab6e"]}],"mendeley":{"formattedCitation":"[15], [16]","plainTextFormattedCitation":"[15], [16]","previouslyFormattedCitation":"[15], [16]"},"properties":{"noteIndex":0},"schema":"https://github.com/citation-style-language/schema/raw/master/csl-citation.json"}</w:instrText>
      </w:r>
      <w:r w:rsidR="00D07C29">
        <w:rPr>
          <w:rFonts w:ascii="Times New Roman" w:eastAsia="Calibri" w:hAnsi="Times New Roman"/>
          <w:bCs/>
        </w:rPr>
        <w:fldChar w:fldCharType="separate"/>
      </w:r>
      <w:r w:rsidR="00D07C29" w:rsidRPr="00D07C29">
        <w:rPr>
          <w:rFonts w:ascii="Times New Roman" w:eastAsia="Calibri" w:hAnsi="Times New Roman"/>
          <w:bCs/>
          <w:noProof/>
        </w:rPr>
        <w:t>[15], [16]</w:t>
      </w:r>
      <w:r w:rsidR="00D07C29">
        <w:rPr>
          <w:rFonts w:ascii="Times New Roman" w:eastAsia="Calibri" w:hAnsi="Times New Roman"/>
          <w:bCs/>
        </w:rPr>
        <w:fldChar w:fldCharType="end"/>
      </w:r>
      <w:r w:rsidRPr="0056231A">
        <w:rPr>
          <w:rFonts w:ascii="Times New Roman" w:eastAsia="Calibri" w:hAnsi="Times New Roman"/>
          <w:bCs/>
          <w:lang w:val="en-ID"/>
        </w:rPr>
        <w:t>. The results underscore the critical role of multi-stakeholder collaboration, emphasizing how partnerships between academia, industry, and policymakers can drive sustainable practices within the maritime sector. This interdependence fosters a shared commitment to addressing complex challenges, including compliance with international regulations, financial innovation, and environmental sustainability. Stakeholder collaboration emerged as a central theme in the results, illustrating its significance in aligning diverse interests and ensuring collective progress.</w:t>
      </w:r>
    </w:p>
    <w:p w:rsidR="0056231A" w:rsidRPr="0056231A" w:rsidRDefault="0056231A" w:rsidP="0056231A">
      <w:pPr>
        <w:autoSpaceDE w:val="0"/>
        <w:autoSpaceDN w:val="0"/>
        <w:adjustRightInd w:val="0"/>
        <w:spacing w:after="0" w:line="240" w:lineRule="auto"/>
        <w:ind w:firstLine="426"/>
        <w:jc w:val="both"/>
        <w:rPr>
          <w:rFonts w:ascii="Times New Roman" w:eastAsia="Calibri" w:hAnsi="Times New Roman"/>
          <w:bCs/>
          <w:lang w:val="en-ID"/>
        </w:rPr>
      </w:pPr>
      <w:r w:rsidRPr="0056231A">
        <w:rPr>
          <w:rFonts w:ascii="Times New Roman" w:eastAsia="Calibri" w:hAnsi="Times New Roman"/>
          <w:bCs/>
          <w:lang w:val="en-ID"/>
        </w:rPr>
        <w:t>The high scores in collaborative investments and regulatory alignment indicate that partnerships between industry and academia are effective in developing innovative financial solutions and ensuring compliance with evolving regulations</w:t>
      </w:r>
      <w:r w:rsidR="00D07C29">
        <w:rPr>
          <w:rFonts w:ascii="Times New Roman" w:eastAsia="Calibri" w:hAnsi="Times New Roman"/>
          <w:bCs/>
        </w:rPr>
        <w:t xml:space="preserve"> </w:t>
      </w:r>
      <w:r w:rsidR="00D07C29">
        <w:rPr>
          <w:rFonts w:ascii="Times New Roman" w:eastAsia="Calibri" w:hAnsi="Times New Roman"/>
          <w:bCs/>
        </w:rPr>
        <w:fldChar w:fldCharType="begin" w:fldLock="1"/>
      </w:r>
      <w:r w:rsidR="00D07C29">
        <w:rPr>
          <w:rFonts w:ascii="Times New Roman" w:eastAsia="Calibri" w:hAnsi="Times New Roman"/>
          <w:bCs/>
        </w:rPr>
        <w:instrText>ADDIN CSL_CITATION {"citationItems":[{"id":"ITEM-1","itemData":{"ISSN":"1911-8074","author":[{"dropping-particle":"","family":"Rahahleh","given":"Naseem","non-dropping-particle":"Al","parse-names":false,"suffix":""},{"dropping-particle":"","family":"Ishaq Bhatti","given":"M","non-dropping-particle":"","parse-names":false,"suffix":""},{"dropping-particle":"","family":"Najuna Misman","given":"Faridah","non-dropping-particle":"","parse-names":false,"suffix":""}],"container-title":"Journal of Risk and Financial Management","id":"ITEM-1","issue":"1","issued":{"date-parts":[["2019"]]},"page":"37","publisher":"MDPI","title":"Developments in risk management in Islamic finance: A review","type":"article-journal","volume":"12"},"uris":["http://www.mendeley.com/documents/?uuid=47c92f1b-b068-47bd-97e1-22f9ce1f09ca"]},{"id":"ITEM-2","itemData":{"ISSN":"1542-4766","author":[{"dropping-particle":"","family":"Deuflhard","given":"Florian","non-dropping-particle":"","parse-names":false,"suffix":""},{"dropping-particle":"","family":"Georgarakos","given":"Dimitris","non-dropping-particle":"","parse-names":false,"suffix":""},{"dropping-particle":"","family":"Inderst","given":"Roman","non-dropping-particle":"","parse-names":false,"suffix":""}],"container-title":"Journal of the European Economic Association","id":"ITEM-2","issue":"1","issued":{"date-parts":[["2019"]]},"page":"131-164","publisher":"Oxford University Press","title":"Financial literacy and savings account returns","type":"article-journal","volume":"17"},"uris":["http://www.mendeley.com/documents/?uuid=eb96ae36-18de-46a4-8c3a-7489eb5155e0"]}],"mendeley":{"formattedCitation":"[17], [18]","plainTextFormattedCitation":"[17], [18]","previouslyFormattedCitation":"[17], [18]"},"properties":{"noteIndex":0},"schema":"https://github.com/citation-style-language/schema/raw/master/csl-citation.json"}</w:instrText>
      </w:r>
      <w:r w:rsidR="00D07C29">
        <w:rPr>
          <w:rFonts w:ascii="Times New Roman" w:eastAsia="Calibri" w:hAnsi="Times New Roman"/>
          <w:bCs/>
        </w:rPr>
        <w:fldChar w:fldCharType="separate"/>
      </w:r>
      <w:r w:rsidR="00D07C29" w:rsidRPr="00D07C29">
        <w:rPr>
          <w:rFonts w:ascii="Times New Roman" w:eastAsia="Calibri" w:hAnsi="Times New Roman"/>
          <w:bCs/>
          <w:noProof/>
        </w:rPr>
        <w:t>[17], [18]</w:t>
      </w:r>
      <w:r w:rsidR="00D07C29">
        <w:rPr>
          <w:rFonts w:ascii="Times New Roman" w:eastAsia="Calibri" w:hAnsi="Times New Roman"/>
          <w:bCs/>
        </w:rPr>
        <w:fldChar w:fldCharType="end"/>
      </w:r>
      <w:r w:rsidRPr="0056231A">
        <w:rPr>
          <w:rFonts w:ascii="Times New Roman" w:eastAsia="Calibri" w:hAnsi="Times New Roman"/>
          <w:bCs/>
          <w:lang w:val="en-ID"/>
        </w:rPr>
        <w:t>. However, gaps remain in extending these collaborations to a global scale, particularly in regions where regulatory frameworks and financial practices are less developed. The findings also reveal the value of mentorship programs, which play a pivotal role in equipping graduates with practical knowledge and bridging the gap between academic training and industry demands. Expanding such initiatives could further enhance the transition readiness of graduates, fostering a workforce that is better prepared to address the multifaceted challenges of the maritime industry.</w:t>
      </w:r>
    </w:p>
    <w:p w:rsidR="0056231A" w:rsidRPr="0056231A" w:rsidRDefault="0056231A" w:rsidP="0056231A">
      <w:pPr>
        <w:autoSpaceDE w:val="0"/>
        <w:autoSpaceDN w:val="0"/>
        <w:adjustRightInd w:val="0"/>
        <w:spacing w:after="0" w:line="240" w:lineRule="auto"/>
        <w:ind w:firstLine="426"/>
        <w:jc w:val="both"/>
        <w:rPr>
          <w:rFonts w:ascii="Times New Roman" w:eastAsia="Calibri" w:hAnsi="Times New Roman"/>
          <w:bCs/>
          <w:lang w:val="en-ID"/>
        </w:rPr>
      </w:pPr>
      <w:r w:rsidRPr="0056231A">
        <w:rPr>
          <w:rFonts w:ascii="Times New Roman" w:eastAsia="Calibri" w:hAnsi="Times New Roman"/>
          <w:bCs/>
          <w:lang w:val="en-ID"/>
        </w:rPr>
        <w:t xml:space="preserve">The integration of sustainability principles into maritime education emerged as another critical </w:t>
      </w:r>
      <w:r w:rsidRPr="0056231A">
        <w:rPr>
          <w:rFonts w:ascii="Times New Roman" w:eastAsia="Calibri" w:hAnsi="Times New Roman"/>
          <w:bCs/>
          <w:lang w:val="en-ID"/>
        </w:rPr>
        <w:lastRenderedPageBreak/>
        <w:t>aspect of the discussion. The inclusion of modules on green finance and renewable energy highlights the progress made by educational institutions in aligning curricula with industry needs. Practical simulations and real-world case studies were identified as effective tools for enhancing students’ understanding of complex sustainability issues. However, maintaining the relevance of these educational components requires continuous feedback from industry stakeholders. This iterative process is essential for ensuring that curricula remain responsive to technological advancements and shifting regulatory landscapes. The high scores in sustainability modules and industry feedback loops underscore the effectiveness of these practices, but further efforts are needed to standardize their implementation across institutions.</w:t>
      </w:r>
    </w:p>
    <w:p w:rsidR="0056231A" w:rsidRPr="0056231A" w:rsidRDefault="0056231A" w:rsidP="0056231A">
      <w:pPr>
        <w:autoSpaceDE w:val="0"/>
        <w:autoSpaceDN w:val="0"/>
        <w:adjustRightInd w:val="0"/>
        <w:spacing w:after="0" w:line="240" w:lineRule="auto"/>
        <w:ind w:firstLine="426"/>
        <w:jc w:val="both"/>
        <w:rPr>
          <w:rFonts w:ascii="Times New Roman" w:eastAsia="Calibri" w:hAnsi="Times New Roman"/>
          <w:bCs/>
          <w:lang w:val="en-ID"/>
        </w:rPr>
      </w:pPr>
      <w:r w:rsidRPr="0056231A">
        <w:rPr>
          <w:rFonts w:ascii="Times New Roman" w:eastAsia="Calibri" w:hAnsi="Times New Roman"/>
          <w:bCs/>
          <w:lang w:val="en-ID"/>
        </w:rPr>
        <w:t>Vocational training outcomes demonstrate the significant impact of hands-on training in preparing graduates for immediate integration into the workforce</w:t>
      </w:r>
      <w:r w:rsidR="00D07C29">
        <w:rPr>
          <w:rFonts w:ascii="Times New Roman" w:eastAsia="Calibri" w:hAnsi="Times New Roman"/>
          <w:bCs/>
        </w:rPr>
        <w:t xml:space="preserve"> </w:t>
      </w:r>
      <w:r w:rsidR="00D07C29">
        <w:rPr>
          <w:rFonts w:ascii="Times New Roman" w:eastAsia="Calibri" w:hAnsi="Times New Roman"/>
          <w:bCs/>
        </w:rPr>
        <w:fldChar w:fldCharType="begin" w:fldLock="1"/>
      </w:r>
      <w:r w:rsidR="00EF2FF4">
        <w:rPr>
          <w:rFonts w:ascii="Times New Roman" w:eastAsia="Calibri" w:hAnsi="Times New Roman"/>
          <w:bCs/>
        </w:rPr>
        <w:instrText>ADDIN CSL_CITATION {"citationItems":[{"id":"ITEM-1","itemData":{"ISSN":"1651-436X","author":[{"dropping-particle":"","family":"Manuel","given":"Michael Ekow","non-dropping-particle":"","parse-names":false,"suffix":""}],"container-title":"WMU Journal of Maritime Affairs","id":"ITEM-1","issued":{"date-parts":[["2017"]]},"page":"473-483","publisher":"Springer","title":"Vocational and academic approaches to maritime education and training (MET): Trends, challenges and opportunities","type":"article-journal","volume":"16"},"uris":["http://www.mendeley.com/documents/?uuid=399b3fc7-99be-4fe8-9b71-87b4ad005572"]}],"mendeley":{"formattedCitation":"[19]","plainTextFormattedCitation":"[19]","previouslyFormattedCitation":"[19]"},"properties":{"noteIndex":0},"schema":"https://github.com/citation-style-language/schema/raw/master/csl-citation.json"}</w:instrText>
      </w:r>
      <w:r w:rsidR="00D07C29">
        <w:rPr>
          <w:rFonts w:ascii="Times New Roman" w:eastAsia="Calibri" w:hAnsi="Times New Roman"/>
          <w:bCs/>
        </w:rPr>
        <w:fldChar w:fldCharType="separate"/>
      </w:r>
      <w:r w:rsidR="00D07C29" w:rsidRPr="00D07C29">
        <w:rPr>
          <w:rFonts w:ascii="Times New Roman" w:eastAsia="Calibri" w:hAnsi="Times New Roman"/>
          <w:bCs/>
          <w:noProof/>
        </w:rPr>
        <w:t>[19]</w:t>
      </w:r>
      <w:r w:rsidR="00D07C29">
        <w:rPr>
          <w:rFonts w:ascii="Times New Roman" w:eastAsia="Calibri" w:hAnsi="Times New Roman"/>
          <w:bCs/>
        </w:rPr>
        <w:fldChar w:fldCharType="end"/>
      </w:r>
      <w:r w:rsidRPr="0056231A">
        <w:rPr>
          <w:rFonts w:ascii="Times New Roman" w:eastAsia="Calibri" w:hAnsi="Times New Roman"/>
          <w:bCs/>
          <w:lang w:val="en-ID"/>
        </w:rPr>
        <w:t>. Practical skills training scored particularly high, reflecting its role in fostering technical and financial competencies among new entrants to the industry. The findings also highlight the importance of continuous professional development, which ensures that maritime professionals remain equipped to navigate an industry characterized by rapid technological and regulatory changes. Expanding access to ongoing training opportunities could further enhance the resilience and adaptability of the maritime workforce, addressing the need for lifelong learning in a dynamic sector</w:t>
      </w:r>
      <w:r w:rsidR="00EF2FF4">
        <w:rPr>
          <w:rFonts w:ascii="Times New Roman" w:eastAsia="Calibri" w:hAnsi="Times New Roman"/>
          <w:bCs/>
        </w:rPr>
        <w:t xml:space="preserve"> </w:t>
      </w:r>
      <w:r w:rsidR="00EF2FF4">
        <w:rPr>
          <w:rFonts w:ascii="Times New Roman" w:eastAsia="Calibri" w:hAnsi="Times New Roman"/>
          <w:bCs/>
        </w:rPr>
        <w:fldChar w:fldCharType="begin" w:fldLock="1"/>
      </w:r>
      <w:r w:rsidR="00EF2FF4">
        <w:rPr>
          <w:rFonts w:ascii="Times New Roman" w:eastAsia="Calibri" w:hAnsi="Times New Roman"/>
          <w:bCs/>
        </w:rPr>
        <w:instrText>ADDIN CSL_CITATION {"citationItems":[{"id":"ITEM-1","itemData":{"ISSN":"0955-534X","author":[{"dropping-particle":"","family":"Rashidirad","given":"Mona","non-dropping-particle":"","parse-names":false,"suffix":""},{"dropping-particle":"","family":"Salimian","given":"Hamid","non-dropping-particle":"","parse-names":false,"suffix":""}],"container-title":"European Business Review","id":"ITEM-1","issue":"4","issued":{"date-parts":[["2020"]]},"page":"591-613","publisher":"Emerald Publishing Limited","title":"SMEs’ dynamic capabilities and value creation: the mediating role of competitive strategy","type":"article-journal","volume":"32"},"uris":["http://www.mendeley.com/documents/?uuid=76604d4c-7dce-4a97-a8df-83aa375f82e5"]}],"mendeley":{"formattedCitation":"[20]","plainTextFormattedCitation":"[20]","previouslyFormattedCitation":"[20]"},"properties":{"noteIndex":0},"schema":"https://github.com/citation-style-language/schema/raw/master/csl-citation.json"}</w:instrText>
      </w:r>
      <w:r w:rsidR="00EF2FF4">
        <w:rPr>
          <w:rFonts w:ascii="Times New Roman" w:eastAsia="Calibri" w:hAnsi="Times New Roman"/>
          <w:bCs/>
        </w:rPr>
        <w:fldChar w:fldCharType="separate"/>
      </w:r>
      <w:r w:rsidR="00EF2FF4" w:rsidRPr="00EF2FF4">
        <w:rPr>
          <w:rFonts w:ascii="Times New Roman" w:eastAsia="Calibri" w:hAnsi="Times New Roman"/>
          <w:bCs/>
          <w:noProof/>
        </w:rPr>
        <w:t>[20]</w:t>
      </w:r>
      <w:r w:rsidR="00EF2FF4">
        <w:rPr>
          <w:rFonts w:ascii="Times New Roman" w:eastAsia="Calibri" w:hAnsi="Times New Roman"/>
          <w:bCs/>
        </w:rPr>
        <w:fldChar w:fldCharType="end"/>
      </w:r>
      <w:r w:rsidRPr="0056231A">
        <w:rPr>
          <w:rFonts w:ascii="Times New Roman" w:eastAsia="Calibri" w:hAnsi="Times New Roman"/>
          <w:bCs/>
          <w:lang w:val="en-ID"/>
        </w:rPr>
        <w:t>.</w:t>
      </w:r>
    </w:p>
    <w:p w:rsidR="0056231A" w:rsidRPr="0056231A" w:rsidRDefault="0056231A" w:rsidP="0056231A">
      <w:pPr>
        <w:autoSpaceDE w:val="0"/>
        <w:autoSpaceDN w:val="0"/>
        <w:adjustRightInd w:val="0"/>
        <w:spacing w:after="0" w:line="240" w:lineRule="auto"/>
        <w:ind w:firstLine="426"/>
        <w:jc w:val="both"/>
        <w:rPr>
          <w:rFonts w:ascii="Times New Roman" w:eastAsia="Calibri" w:hAnsi="Times New Roman"/>
          <w:bCs/>
          <w:lang w:val="en-ID"/>
        </w:rPr>
      </w:pPr>
      <w:r w:rsidRPr="0056231A">
        <w:rPr>
          <w:rFonts w:ascii="Times New Roman" w:eastAsia="Calibri" w:hAnsi="Times New Roman"/>
          <w:bCs/>
          <w:lang w:val="en-ID"/>
        </w:rPr>
        <w:t>The implications of these findings extend beyond individual stakeholder groups, highlighting the interconnected nature of maritime finance, education, and sustainability</w:t>
      </w:r>
      <w:r w:rsidR="00EF2FF4">
        <w:rPr>
          <w:rFonts w:ascii="Times New Roman" w:eastAsia="Calibri" w:hAnsi="Times New Roman"/>
          <w:bCs/>
        </w:rPr>
        <w:t xml:space="preserve"> </w:t>
      </w:r>
      <w:r w:rsidR="00EF2FF4">
        <w:rPr>
          <w:rFonts w:ascii="Times New Roman" w:eastAsia="Calibri" w:hAnsi="Times New Roman"/>
          <w:bCs/>
        </w:rPr>
        <w:fldChar w:fldCharType="begin" w:fldLock="1"/>
      </w:r>
      <w:r w:rsidR="00EF2FF4">
        <w:rPr>
          <w:rFonts w:ascii="Times New Roman" w:eastAsia="Calibri" w:hAnsi="Times New Roman"/>
          <w:bCs/>
        </w:rPr>
        <w:instrText>ADDIN CSL_CITATION {"citationItems":[{"id":"ITEM-1","itemData":{"ISSN":"2809-8013","author":[{"dropping-particle":"","family":"Sudarman","given":"Daman","non-dropping-particle":"","parse-names":false,"suffix":""}],"container-title":"JOURNAL OF MANAGEMENT, ACCOUNTING, GENERAL FINANCE AND INTERNATIONAL ECONOMIC ISSUES","id":"ITEM-1","issue":"3","issued":{"date-parts":[["2023"]]},"page":"729-741","title":"THE INFLUENCE OF OCCUPATIONAL HEALTH AND SAFETY AND SUPERVISION ON EMPLOYEE PERFORMANCE OF PT. PAN MARITIME WIRA PAWITRA CREW MEMBERS","type":"article-journal","volume":"2"},"uris":["http://www.mendeley.com/documents/?uuid=9c7c34a7-961b-4bd5-ba8c-949c8e6063c9"]}],"mendeley":{"formattedCitation":"[21]","plainTextFormattedCitation":"[21]","previouslyFormattedCitation":"[21]"},"properties":{"noteIndex":0},"schema":"https://github.com/citation-style-language/schema/raw/master/csl-citation.json"}</w:instrText>
      </w:r>
      <w:r w:rsidR="00EF2FF4">
        <w:rPr>
          <w:rFonts w:ascii="Times New Roman" w:eastAsia="Calibri" w:hAnsi="Times New Roman"/>
          <w:bCs/>
        </w:rPr>
        <w:fldChar w:fldCharType="separate"/>
      </w:r>
      <w:r w:rsidR="00EF2FF4" w:rsidRPr="00EF2FF4">
        <w:rPr>
          <w:rFonts w:ascii="Times New Roman" w:eastAsia="Calibri" w:hAnsi="Times New Roman"/>
          <w:bCs/>
          <w:noProof/>
        </w:rPr>
        <w:t>[21]</w:t>
      </w:r>
      <w:r w:rsidR="00EF2FF4">
        <w:rPr>
          <w:rFonts w:ascii="Times New Roman" w:eastAsia="Calibri" w:hAnsi="Times New Roman"/>
          <w:bCs/>
        </w:rPr>
        <w:fldChar w:fldCharType="end"/>
      </w:r>
      <w:r w:rsidRPr="0056231A">
        <w:rPr>
          <w:rFonts w:ascii="Times New Roman" w:eastAsia="Calibri" w:hAnsi="Times New Roman"/>
          <w:bCs/>
          <w:lang w:val="en-ID"/>
        </w:rPr>
        <w:t>. By fostering stronger collaboration and integration across these domains, the maritime industry can build a more resilient and sustainable ecosystem. This research underscores the need for a holistic approach that considers the perspectives and contributions of all stakeholders, from industry experts and educators to graduates and policymakers. Such an approach is essential for addressing the complex challenges facing the maritime sector, from achieving financial sustainability to mitigating environmental impact.</w:t>
      </w:r>
    </w:p>
    <w:p w:rsidR="0056231A" w:rsidRPr="0056231A" w:rsidRDefault="0056231A" w:rsidP="0056231A">
      <w:pPr>
        <w:autoSpaceDE w:val="0"/>
        <w:autoSpaceDN w:val="0"/>
        <w:adjustRightInd w:val="0"/>
        <w:spacing w:after="0" w:line="240" w:lineRule="auto"/>
        <w:ind w:firstLine="426"/>
        <w:jc w:val="both"/>
        <w:rPr>
          <w:rFonts w:ascii="Times New Roman" w:eastAsia="Calibri" w:hAnsi="Times New Roman"/>
          <w:bCs/>
          <w:lang w:val="en-ID"/>
        </w:rPr>
      </w:pPr>
      <w:r>
        <w:rPr>
          <w:rFonts w:ascii="Times New Roman" w:eastAsia="Calibri" w:hAnsi="Times New Roman"/>
          <w:bCs/>
        </w:rPr>
        <w:t>T</w:t>
      </w:r>
      <w:r w:rsidRPr="0056231A">
        <w:rPr>
          <w:rFonts w:ascii="Times New Roman" w:eastAsia="Calibri" w:hAnsi="Times New Roman"/>
          <w:bCs/>
          <w:lang w:val="en-ID"/>
        </w:rPr>
        <w:t xml:space="preserve">he discussion highlights the strengths of current practices while identifying opportunities for improvement in shipping management, maritime business, and financial sustainability. By leveraging the insights gained from this research, stakeholders can develop targeted strategies for enhancing collaboration, education, and vocational training within the maritime sector. These efforts </w:t>
      </w:r>
      <w:r w:rsidRPr="0056231A">
        <w:rPr>
          <w:rFonts w:ascii="Times New Roman" w:eastAsia="Calibri" w:hAnsi="Times New Roman"/>
          <w:bCs/>
          <w:lang w:val="en-ID"/>
        </w:rPr>
        <w:lastRenderedPageBreak/>
        <w:t>will be instrumental in building a sustainable maritime finance ecosystem that balances economic, environmental, and social imperatives, ensuring the long-term resilience and success of the industry.</w:t>
      </w:r>
    </w:p>
    <w:p w:rsidR="00712FC7" w:rsidRDefault="00712FC7">
      <w:pPr>
        <w:autoSpaceDE w:val="0"/>
        <w:autoSpaceDN w:val="0"/>
        <w:adjustRightInd w:val="0"/>
        <w:spacing w:after="0" w:line="240" w:lineRule="auto"/>
        <w:ind w:firstLine="426"/>
        <w:jc w:val="both"/>
        <w:rPr>
          <w:rFonts w:ascii="Times New Roman" w:eastAsia="Calibri" w:hAnsi="Times New Roman"/>
          <w:bCs/>
          <w:lang w:val="en-US"/>
        </w:rPr>
      </w:pPr>
    </w:p>
    <w:p w:rsidR="0075247C" w:rsidRDefault="0075247C" w:rsidP="000C4333">
      <w:pPr>
        <w:pStyle w:val="Heading1"/>
        <w:numPr>
          <w:ilvl w:val="0"/>
          <w:numId w:val="0"/>
        </w:numPr>
        <w:ind w:left="426"/>
        <w:rPr>
          <w:rFonts w:eastAsia="Calibri"/>
        </w:rPr>
      </w:pPr>
      <w:r>
        <w:rPr>
          <w:rFonts w:eastAsia="Calibri"/>
          <w:lang w:val="en-US"/>
        </w:rPr>
        <w:t>CONCLUSION</w:t>
      </w:r>
    </w:p>
    <w:p w:rsidR="0075247C" w:rsidRDefault="0056231A" w:rsidP="0056231A">
      <w:pPr>
        <w:autoSpaceDE w:val="0"/>
        <w:autoSpaceDN w:val="0"/>
        <w:adjustRightInd w:val="0"/>
        <w:spacing w:after="0" w:line="240" w:lineRule="auto"/>
        <w:ind w:firstLine="426"/>
        <w:jc w:val="both"/>
        <w:rPr>
          <w:rFonts w:ascii="Times New Roman" w:eastAsia="Calibri" w:hAnsi="Times New Roman"/>
          <w:bCs/>
          <w:lang w:val="en-US"/>
        </w:rPr>
      </w:pPr>
      <w:r>
        <w:rPr>
          <w:rFonts w:ascii="Times New Roman" w:hAnsi="Times New Roman"/>
          <w:color w:val="000000"/>
        </w:rPr>
        <w:t>T</w:t>
      </w:r>
      <w:r w:rsidRPr="0056231A">
        <w:rPr>
          <w:rFonts w:ascii="Times New Roman" w:hAnsi="Times New Roman"/>
          <w:color w:val="000000"/>
          <w:lang w:val="en-ID"/>
        </w:rPr>
        <w:t xml:space="preserve">his research underscores the critical importance of integrating maritime finance, sustainability, and education to foster a resilient and sustainable maritime ecosystem. Through the qualitative analysis of industry experts, educators, and graduates, the study highlights the significant role that collaboration among these </w:t>
      </w:r>
      <w:proofErr w:type="gramStart"/>
      <w:r w:rsidRPr="0056231A">
        <w:rPr>
          <w:rFonts w:ascii="Times New Roman" w:hAnsi="Times New Roman"/>
          <w:color w:val="000000"/>
          <w:lang w:val="en-ID"/>
        </w:rPr>
        <w:t>stakeholders</w:t>
      </w:r>
      <w:proofErr w:type="gramEnd"/>
      <w:r w:rsidRPr="0056231A">
        <w:rPr>
          <w:rFonts w:ascii="Times New Roman" w:hAnsi="Times New Roman"/>
          <w:color w:val="000000"/>
          <w:lang w:val="en-ID"/>
        </w:rPr>
        <w:t xml:space="preserve"> plays in enhancing port and shipping management, maritime business, and financial sustainability. The findings show that while progress has been made in aligning financial practices with sustainability objectives, challenges remain, particularly in terms of keeping educational programs updated and ensuring seamless transitions for graduates into the workforce.</w:t>
      </w:r>
      <w:r>
        <w:rPr>
          <w:rFonts w:ascii="Times New Roman" w:hAnsi="Times New Roman"/>
          <w:color w:val="000000"/>
        </w:rPr>
        <w:t xml:space="preserve"> </w:t>
      </w:r>
      <w:r w:rsidRPr="0056231A">
        <w:rPr>
          <w:rFonts w:ascii="Times New Roman" w:hAnsi="Times New Roman"/>
          <w:color w:val="000000"/>
          <w:lang w:val="en-ID"/>
        </w:rPr>
        <w:t>The research emphasizes that educational institutions are pivotal in equipping future maritime professionals with the necessary competencies to navigate the evolving demands of the industry. However, continuous collaboration between academia and industry is essential to ensure that curricula remain relevant and responsive to technological and regulatory changes. Furthermore, industry professionals must work closely with policymakers to implement innovative financial models that support green initiatives and long-term sustainability goals.</w:t>
      </w:r>
      <w:r>
        <w:rPr>
          <w:rFonts w:ascii="Times New Roman" w:hAnsi="Times New Roman"/>
          <w:color w:val="000000"/>
        </w:rPr>
        <w:t xml:space="preserve"> </w:t>
      </w:r>
      <w:r w:rsidRPr="0056231A">
        <w:rPr>
          <w:rFonts w:ascii="Times New Roman" w:hAnsi="Times New Roman"/>
          <w:color w:val="000000"/>
          <w:lang w:val="en-ID"/>
        </w:rPr>
        <w:t>Ultimately, this study contributes valuable insights for refining maritime education programs and shaping a financial ecosystem that supports sustainable practices. By fostering a deeper integration of sustainability principles and financial literacy into maritime training, the research advocates for a more inclusive and forward-thinking approach to maritime business and finance, ensuring the sector’s ability to thrive in a rapidly changing global environment.</w:t>
      </w:r>
    </w:p>
    <w:p w:rsidR="0075247C" w:rsidRDefault="0075247C">
      <w:pPr>
        <w:autoSpaceDE w:val="0"/>
        <w:autoSpaceDN w:val="0"/>
        <w:adjustRightInd w:val="0"/>
        <w:spacing w:after="0" w:line="240" w:lineRule="auto"/>
        <w:jc w:val="both"/>
        <w:rPr>
          <w:rFonts w:ascii="Times New Roman" w:eastAsia="Calibri" w:hAnsi="Times New Roman"/>
          <w:bCs/>
          <w:lang w:val="en-US"/>
        </w:rPr>
      </w:pPr>
    </w:p>
    <w:p w:rsidR="0075247C" w:rsidRDefault="0075247C">
      <w:pPr>
        <w:autoSpaceDE w:val="0"/>
        <w:autoSpaceDN w:val="0"/>
        <w:adjustRightInd w:val="0"/>
        <w:spacing w:after="0" w:line="240" w:lineRule="auto"/>
        <w:rPr>
          <w:rFonts w:ascii="Times New Roman" w:hAnsi="Times New Roman"/>
          <w:b/>
          <w:bCs/>
          <w:lang w:val="en-US"/>
        </w:rPr>
      </w:pPr>
      <w:r>
        <w:rPr>
          <w:rFonts w:ascii="Times New Roman" w:hAnsi="Times New Roman"/>
          <w:b/>
          <w:bCs/>
          <w:lang w:val="en-US"/>
        </w:rPr>
        <w:t>REFERENCES</w:t>
      </w:r>
    </w:p>
    <w:p w:rsidR="00EF2FF4" w:rsidRPr="00EF2FF4" w:rsidRDefault="00EF2FF4" w:rsidP="00EF2FF4">
      <w:pPr>
        <w:widowControl w:val="0"/>
        <w:autoSpaceDE w:val="0"/>
        <w:autoSpaceDN w:val="0"/>
        <w:adjustRightInd w:val="0"/>
        <w:spacing w:after="0" w:line="240" w:lineRule="auto"/>
        <w:ind w:left="640" w:hanging="640"/>
        <w:jc w:val="both"/>
        <w:rPr>
          <w:rFonts w:ascii="Times New Roman" w:hAnsi="Times New Roman"/>
          <w:noProof/>
          <w:szCs w:val="24"/>
        </w:rPr>
      </w:pPr>
      <w:r>
        <w:rPr>
          <w:rFonts w:ascii="Times New Roman" w:hAnsi="Times New Roman"/>
          <w:b/>
          <w:bCs/>
          <w:lang w:val="en-US"/>
        </w:rPr>
        <w:fldChar w:fldCharType="begin" w:fldLock="1"/>
      </w:r>
      <w:r>
        <w:rPr>
          <w:rFonts w:ascii="Times New Roman" w:hAnsi="Times New Roman"/>
          <w:b/>
          <w:bCs/>
          <w:lang w:val="en-US"/>
        </w:rPr>
        <w:instrText xml:space="preserve">ADDIN Mendeley Bibliography CSL_BIBLIOGRAPHY </w:instrText>
      </w:r>
      <w:r>
        <w:rPr>
          <w:rFonts w:ascii="Times New Roman" w:hAnsi="Times New Roman"/>
          <w:b/>
          <w:bCs/>
          <w:lang w:val="en-US"/>
        </w:rPr>
        <w:fldChar w:fldCharType="separate"/>
      </w:r>
      <w:r w:rsidRPr="00EF2FF4">
        <w:rPr>
          <w:rFonts w:ascii="Times New Roman" w:hAnsi="Times New Roman"/>
          <w:noProof/>
          <w:szCs w:val="24"/>
        </w:rPr>
        <w:t>[1]</w:t>
      </w:r>
      <w:r w:rsidRPr="00EF2FF4">
        <w:rPr>
          <w:rFonts w:ascii="Times New Roman" w:hAnsi="Times New Roman"/>
          <w:noProof/>
          <w:szCs w:val="24"/>
        </w:rPr>
        <w:tab/>
        <w:t xml:space="preserve">Y.-J. Hsiao and W.-C. Tsai, “Financial literacy and participation in the derivatives markets,” </w:t>
      </w:r>
      <w:r w:rsidRPr="00EF2FF4">
        <w:rPr>
          <w:rFonts w:ascii="Times New Roman" w:hAnsi="Times New Roman"/>
          <w:i/>
          <w:iCs/>
          <w:noProof/>
          <w:szCs w:val="24"/>
        </w:rPr>
        <w:t>J. Bank. Financ.</w:t>
      </w:r>
      <w:r w:rsidRPr="00EF2FF4">
        <w:rPr>
          <w:rFonts w:ascii="Times New Roman" w:hAnsi="Times New Roman"/>
          <w:noProof/>
          <w:szCs w:val="24"/>
        </w:rPr>
        <w:t>, vol. 88, pp. 15–29, 2018.</w:t>
      </w:r>
    </w:p>
    <w:p w:rsidR="00EF2FF4" w:rsidRPr="00EF2FF4" w:rsidRDefault="00EF2FF4" w:rsidP="00EF2FF4">
      <w:pPr>
        <w:widowControl w:val="0"/>
        <w:autoSpaceDE w:val="0"/>
        <w:autoSpaceDN w:val="0"/>
        <w:adjustRightInd w:val="0"/>
        <w:spacing w:after="0" w:line="240" w:lineRule="auto"/>
        <w:ind w:left="640" w:hanging="640"/>
        <w:jc w:val="both"/>
        <w:rPr>
          <w:rFonts w:ascii="Times New Roman" w:hAnsi="Times New Roman"/>
          <w:noProof/>
          <w:szCs w:val="24"/>
        </w:rPr>
      </w:pPr>
      <w:r w:rsidRPr="00EF2FF4">
        <w:rPr>
          <w:rFonts w:ascii="Times New Roman" w:hAnsi="Times New Roman"/>
          <w:noProof/>
          <w:szCs w:val="24"/>
        </w:rPr>
        <w:t>[2]</w:t>
      </w:r>
      <w:r w:rsidRPr="00EF2FF4">
        <w:rPr>
          <w:rFonts w:ascii="Times New Roman" w:hAnsi="Times New Roman"/>
          <w:noProof/>
          <w:szCs w:val="24"/>
        </w:rPr>
        <w:tab/>
        <w:t xml:space="preserve">M. Plaza-Hernández, A. B. Gil-González, S. Rodríguez-González, J. Prieto-Tejedor, and J. M. Corchado-Rodríguez, “Integration of IoT technologies in the maritime industry,” in </w:t>
      </w:r>
      <w:r w:rsidRPr="00EF2FF4">
        <w:rPr>
          <w:rFonts w:ascii="Times New Roman" w:hAnsi="Times New Roman"/>
          <w:i/>
          <w:iCs/>
          <w:noProof/>
          <w:szCs w:val="24"/>
        </w:rPr>
        <w:t xml:space="preserve">Distributed Computing and Artificial Intelligence, Special Sessions, 17th International </w:t>
      </w:r>
      <w:r w:rsidRPr="00EF2FF4">
        <w:rPr>
          <w:rFonts w:ascii="Times New Roman" w:hAnsi="Times New Roman"/>
          <w:i/>
          <w:iCs/>
          <w:noProof/>
          <w:szCs w:val="24"/>
        </w:rPr>
        <w:lastRenderedPageBreak/>
        <w:t>Conference</w:t>
      </w:r>
      <w:r w:rsidRPr="00EF2FF4">
        <w:rPr>
          <w:rFonts w:ascii="Times New Roman" w:hAnsi="Times New Roman"/>
          <w:noProof/>
          <w:szCs w:val="24"/>
        </w:rPr>
        <w:t>, 2021, pp. 107–115.</w:t>
      </w:r>
    </w:p>
    <w:p w:rsidR="00EF2FF4" w:rsidRPr="00EF2FF4" w:rsidRDefault="00EF2FF4" w:rsidP="00EF2FF4">
      <w:pPr>
        <w:widowControl w:val="0"/>
        <w:autoSpaceDE w:val="0"/>
        <w:autoSpaceDN w:val="0"/>
        <w:adjustRightInd w:val="0"/>
        <w:spacing w:after="0" w:line="240" w:lineRule="auto"/>
        <w:ind w:left="640" w:hanging="640"/>
        <w:jc w:val="both"/>
        <w:rPr>
          <w:rFonts w:ascii="Times New Roman" w:hAnsi="Times New Roman"/>
          <w:noProof/>
          <w:szCs w:val="24"/>
        </w:rPr>
      </w:pPr>
      <w:r w:rsidRPr="00EF2FF4">
        <w:rPr>
          <w:rFonts w:ascii="Times New Roman" w:hAnsi="Times New Roman"/>
          <w:noProof/>
          <w:szCs w:val="24"/>
        </w:rPr>
        <w:t>[3]</w:t>
      </w:r>
      <w:r w:rsidRPr="00EF2FF4">
        <w:rPr>
          <w:rFonts w:ascii="Times New Roman" w:hAnsi="Times New Roman"/>
          <w:noProof/>
          <w:szCs w:val="24"/>
        </w:rPr>
        <w:tab/>
        <w:t>H. D. V. Nalupa, “Challenges and opportunities for maritime education and training in the 4th industrial revolution,” 2022.</w:t>
      </w:r>
    </w:p>
    <w:p w:rsidR="00EF2FF4" w:rsidRPr="00EF2FF4" w:rsidRDefault="00EF2FF4" w:rsidP="00EF2FF4">
      <w:pPr>
        <w:widowControl w:val="0"/>
        <w:autoSpaceDE w:val="0"/>
        <w:autoSpaceDN w:val="0"/>
        <w:adjustRightInd w:val="0"/>
        <w:spacing w:after="0" w:line="240" w:lineRule="auto"/>
        <w:ind w:left="640" w:hanging="640"/>
        <w:jc w:val="both"/>
        <w:rPr>
          <w:rFonts w:ascii="Times New Roman" w:hAnsi="Times New Roman"/>
          <w:noProof/>
          <w:szCs w:val="24"/>
        </w:rPr>
      </w:pPr>
      <w:r w:rsidRPr="00EF2FF4">
        <w:rPr>
          <w:rFonts w:ascii="Times New Roman" w:hAnsi="Times New Roman"/>
          <w:noProof/>
          <w:szCs w:val="24"/>
        </w:rPr>
        <w:t>[4]</w:t>
      </w:r>
      <w:r w:rsidRPr="00EF2FF4">
        <w:rPr>
          <w:rFonts w:ascii="Times New Roman" w:hAnsi="Times New Roman"/>
          <w:noProof/>
          <w:szCs w:val="24"/>
        </w:rPr>
        <w:tab/>
        <w:t xml:space="preserve">R. Agrifoglio, C. Cannavale, E. Laurenza, and C. Metallo, “How emerging digital technologies affect operations management through co-creation. Empirical evidence from the maritime industry,” </w:t>
      </w:r>
      <w:r w:rsidRPr="00EF2FF4">
        <w:rPr>
          <w:rFonts w:ascii="Times New Roman" w:hAnsi="Times New Roman"/>
          <w:i/>
          <w:iCs/>
          <w:noProof/>
          <w:szCs w:val="24"/>
        </w:rPr>
        <w:t>Prod. Plan. Control</w:t>
      </w:r>
      <w:r w:rsidRPr="00EF2FF4">
        <w:rPr>
          <w:rFonts w:ascii="Times New Roman" w:hAnsi="Times New Roman"/>
          <w:noProof/>
          <w:szCs w:val="24"/>
        </w:rPr>
        <w:t>, vol. 28, no. 16, pp. 1298–1306, 2017.</w:t>
      </w:r>
    </w:p>
    <w:p w:rsidR="00EF2FF4" w:rsidRPr="00EF2FF4" w:rsidRDefault="00EF2FF4" w:rsidP="00EF2FF4">
      <w:pPr>
        <w:widowControl w:val="0"/>
        <w:autoSpaceDE w:val="0"/>
        <w:autoSpaceDN w:val="0"/>
        <w:adjustRightInd w:val="0"/>
        <w:spacing w:after="0" w:line="240" w:lineRule="auto"/>
        <w:ind w:left="640" w:hanging="640"/>
        <w:jc w:val="both"/>
        <w:rPr>
          <w:rFonts w:ascii="Times New Roman" w:hAnsi="Times New Roman"/>
          <w:noProof/>
          <w:szCs w:val="24"/>
        </w:rPr>
      </w:pPr>
      <w:r w:rsidRPr="00EF2FF4">
        <w:rPr>
          <w:rFonts w:ascii="Times New Roman" w:hAnsi="Times New Roman"/>
          <w:noProof/>
          <w:szCs w:val="24"/>
        </w:rPr>
        <w:t>[5]</w:t>
      </w:r>
      <w:r w:rsidRPr="00EF2FF4">
        <w:rPr>
          <w:rFonts w:ascii="Times New Roman" w:hAnsi="Times New Roman"/>
          <w:noProof/>
          <w:szCs w:val="24"/>
        </w:rPr>
        <w:tab/>
        <w:t xml:space="preserve">K. Bergheim, M. B. Nielsen, K. Mearns, and J. Eid, “The relationship between psychological capital, job satisfaction, and safety perceptions in the maritime industry,” </w:t>
      </w:r>
      <w:r w:rsidRPr="00EF2FF4">
        <w:rPr>
          <w:rFonts w:ascii="Times New Roman" w:hAnsi="Times New Roman"/>
          <w:i/>
          <w:iCs/>
          <w:noProof/>
          <w:szCs w:val="24"/>
        </w:rPr>
        <w:t>Saf. Sci.</w:t>
      </w:r>
      <w:r w:rsidRPr="00EF2FF4">
        <w:rPr>
          <w:rFonts w:ascii="Times New Roman" w:hAnsi="Times New Roman"/>
          <w:noProof/>
          <w:szCs w:val="24"/>
        </w:rPr>
        <w:t>, vol. 74, pp. 27–36, 2015.</w:t>
      </w:r>
    </w:p>
    <w:p w:rsidR="00EF2FF4" w:rsidRPr="00EF2FF4" w:rsidRDefault="00EF2FF4" w:rsidP="00EF2FF4">
      <w:pPr>
        <w:widowControl w:val="0"/>
        <w:autoSpaceDE w:val="0"/>
        <w:autoSpaceDN w:val="0"/>
        <w:adjustRightInd w:val="0"/>
        <w:spacing w:after="0" w:line="240" w:lineRule="auto"/>
        <w:ind w:left="640" w:hanging="640"/>
        <w:jc w:val="both"/>
        <w:rPr>
          <w:rFonts w:ascii="Times New Roman" w:hAnsi="Times New Roman"/>
          <w:noProof/>
          <w:szCs w:val="24"/>
        </w:rPr>
      </w:pPr>
      <w:r w:rsidRPr="00EF2FF4">
        <w:rPr>
          <w:rFonts w:ascii="Times New Roman" w:hAnsi="Times New Roman"/>
          <w:noProof/>
          <w:szCs w:val="24"/>
        </w:rPr>
        <w:t>[6]</w:t>
      </w:r>
      <w:r w:rsidRPr="00EF2FF4">
        <w:rPr>
          <w:rFonts w:ascii="Times New Roman" w:hAnsi="Times New Roman"/>
          <w:noProof/>
          <w:szCs w:val="24"/>
        </w:rPr>
        <w:tab/>
        <w:t xml:space="preserve">S. Ghosh, M. Bowles, D. Ranmuthugala, and B. Brooks, “On a lookout beyond STCW: Seeking standards and context for the authentic assessment of seafarers,” in </w:t>
      </w:r>
      <w:r w:rsidRPr="00EF2FF4">
        <w:rPr>
          <w:rFonts w:ascii="Times New Roman" w:hAnsi="Times New Roman"/>
          <w:i/>
          <w:iCs/>
          <w:noProof/>
          <w:szCs w:val="24"/>
        </w:rPr>
        <w:t>15th Annual General Assembly of the International Association of Maritime Universities, IAMU AGA 2014-Looking Ahead: Innovation in Maritime Education, Training and Research</w:t>
      </w:r>
      <w:r w:rsidRPr="00EF2FF4">
        <w:rPr>
          <w:rFonts w:ascii="Times New Roman" w:hAnsi="Times New Roman"/>
          <w:noProof/>
          <w:szCs w:val="24"/>
        </w:rPr>
        <w:t>, 2014, pp. 77–86.</w:t>
      </w:r>
    </w:p>
    <w:p w:rsidR="00EF2FF4" w:rsidRPr="00EF2FF4" w:rsidRDefault="00EF2FF4" w:rsidP="00EF2FF4">
      <w:pPr>
        <w:widowControl w:val="0"/>
        <w:autoSpaceDE w:val="0"/>
        <w:autoSpaceDN w:val="0"/>
        <w:adjustRightInd w:val="0"/>
        <w:spacing w:after="0" w:line="240" w:lineRule="auto"/>
        <w:ind w:left="640" w:hanging="640"/>
        <w:jc w:val="both"/>
        <w:rPr>
          <w:rFonts w:ascii="Times New Roman" w:hAnsi="Times New Roman"/>
          <w:noProof/>
          <w:szCs w:val="24"/>
        </w:rPr>
      </w:pPr>
      <w:r w:rsidRPr="00EF2FF4">
        <w:rPr>
          <w:rFonts w:ascii="Times New Roman" w:hAnsi="Times New Roman"/>
          <w:noProof/>
          <w:szCs w:val="24"/>
        </w:rPr>
        <w:t>[7]</w:t>
      </w:r>
      <w:r w:rsidRPr="00EF2FF4">
        <w:rPr>
          <w:rFonts w:ascii="Times New Roman" w:hAnsi="Times New Roman"/>
          <w:noProof/>
          <w:szCs w:val="24"/>
        </w:rPr>
        <w:tab/>
        <w:t xml:space="preserve">A. M. Baylon and V. Santos, “The challenges in Philippine maritime education and training,” </w:t>
      </w:r>
      <w:r w:rsidRPr="00EF2FF4">
        <w:rPr>
          <w:rFonts w:ascii="Times New Roman" w:hAnsi="Times New Roman"/>
          <w:i/>
          <w:iCs/>
          <w:noProof/>
          <w:szCs w:val="24"/>
        </w:rPr>
        <w:t>Int. J. Innov. Interdiscip. Res.</w:t>
      </w:r>
      <w:r w:rsidRPr="00EF2FF4">
        <w:rPr>
          <w:rFonts w:ascii="Times New Roman" w:hAnsi="Times New Roman"/>
          <w:noProof/>
          <w:szCs w:val="24"/>
        </w:rPr>
        <w:t>, vol. 1, no. 1, pp. 34–43, 2011.</w:t>
      </w:r>
    </w:p>
    <w:p w:rsidR="00EF2FF4" w:rsidRPr="00EF2FF4" w:rsidRDefault="00EF2FF4" w:rsidP="00EF2FF4">
      <w:pPr>
        <w:widowControl w:val="0"/>
        <w:autoSpaceDE w:val="0"/>
        <w:autoSpaceDN w:val="0"/>
        <w:adjustRightInd w:val="0"/>
        <w:spacing w:after="0" w:line="240" w:lineRule="auto"/>
        <w:ind w:left="640" w:hanging="640"/>
        <w:jc w:val="both"/>
        <w:rPr>
          <w:rFonts w:ascii="Times New Roman" w:hAnsi="Times New Roman"/>
          <w:noProof/>
          <w:szCs w:val="24"/>
        </w:rPr>
      </w:pPr>
      <w:r w:rsidRPr="00EF2FF4">
        <w:rPr>
          <w:rFonts w:ascii="Times New Roman" w:hAnsi="Times New Roman"/>
          <w:noProof/>
          <w:szCs w:val="24"/>
        </w:rPr>
        <w:t>[8]</w:t>
      </w:r>
      <w:r w:rsidRPr="00EF2FF4">
        <w:rPr>
          <w:rFonts w:ascii="Times New Roman" w:hAnsi="Times New Roman"/>
          <w:noProof/>
          <w:szCs w:val="24"/>
        </w:rPr>
        <w:tab/>
        <w:t xml:space="preserve">T. Albayrak and R. Ziarati, “Encouraging research in maritime education &amp; training,” </w:t>
      </w:r>
      <w:r w:rsidRPr="00EF2FF4">
        <w:rPr>
          <w:rFonts w:ascii="Times New Roman" w:hAnsi="Times New Roman"/>
          <w:i/>
          <w:iCs/>
          <w:noProof/>
          <w:szCs w:val="24"/>
        </w:rPr>
        <w:t>J. Marit. Transp. Eng.</w:t>
      </w:r>
      <w:r w:rsidRPr="00EF2FF4">
        <w:rPr>
          <w:rFonts w:ascii="Times New Roman" w:hAnsi="Times New Roman"/>
          <w:noProof/>
          <w:szCs w:val="24"/>
        </w:rPr>
        <w:t>, vol. 1, no. 1, pp. 4–9, 2012.</w:t>
      </w:r>
    </w:p>
    <w:p w:rsidR="00EF2FF4" w:rsidRPr="00EF2FF4" w:rsidRDefault="00EF2FF4" w:rsidP="00EF2FF4">
      <w:pPr>
        <w:widowControl w:val="0"/>
        <w:autoSpaceDE w:val="0"/>
        <w:autoSpaceDN w:val="0"/>
        <w:adjustRightInd w:val="0"/>
        <w:spacing w:after="0" w:line="240" w:lineRule="auto"/>
        <w:ind w:left="640" w:hanging="640"/>
        <w:jc w:val="both"/>
        <w:rPr>
          <w:rFonts w:ascii="Times New Roman" w:hAnsi="Times New Roman"/>
          <w:noProof/>
          <w:szCs w:val="24"/>
        </w:rPr>
      </w:pPr>
      <w:r w:rsidRPr="00EF2FF4">
        <w:rPr>
          <w:rFonts w:ascii="Times New Roman" w:hAnsi="Times New Roman"/>
          <w:noProof/>
          <w:szCs w:val="24"/>
        </w:rPr>
        <w:t>[9]</w:t>
      </w:r>
      <w:r w:rsidRPr="00EF2FF4">
        <w:rPr>
          <w:rFonts w:ascii="Times New Roman" w:hAnsi="Times New Roman"/>
          <w:noProof/>
          <w:szCs w:val="24"/>
        </w:rPr>
        <w:tab/>
        <w:t xml:space="preserve">A. A. Zaid, A. A. M. Jaaron, and A. T. Bon, “The impact of green human resource management and green supply chain management practices on sustainable performance: An empirical study,” </w:t>
      </w:r>
      <w:r w:rsidRPr="00EF2FF4">
        <w:rPr>
          <w:rFonts w:ascii="Times New Roman" w:hAnsi="Times New Roman"/>
          <w:i/>
          <w:iCs/>
          <w:noProof/>
          <w:szCs w:val="24"/>
        </w:rPr>
        <w:t>J. Clean. Prod.</w:t>
      </w:r>
      <w:r w:rsidRPr="00EF2FF4">
        <w:rPr>
          <w:rFonts w:ascii="Times New Roman" w:hAnsi="Times New Roman"/>
          <w:noProof/>
          <w:szCs w:val="24"/>
        </w:rPr>
        <w:t>, vol. 204, pp. 965–979, 2018.</w:t>
      </w:r>
    </w:p>
    <w:p w:rsidR="00EF2FF4" w:rsidRPr="00EF2FF4" w:rsidRDefault="00EF2FF4" w:rsidP="00EF2FF4">
      <w:pPr>
        <w:widowControl w:val="0"/>
        <w:autoSpaceDE w:val="0"/>
        <w:autoSpaceDN w:val="0"/>
        <w:adjustRightInd w:val="0"/>
        <w:spacing w:after="0" w:line="240" w:lineRule="auto"/>
        <w:ind w:left="640" w:hanging="640"/>
        <w:jc w:val="both"/>
        <w:rPr>
          <w:rFonts w:ascii="Times New Roman" w:hAnsi="Times New Roman"/>
          <w:noProof/>
          <w:szCs w:val="24"/>
        </w:rPr>
      </w:pPr>
      <w:r w:rsidRPr="00EF2FF4">
        <w:rPr>
          <w:rFonts w:ascii="Times New Roman" w:hAnsi="Times New Roman"/>
          <w:noProof/>
          <w:szCs w:val="24"/>
        </w:rPr>
        <w:t>[10]</w:t>
      </w:r>
      <w:r w:rsidRPr="00EF2FF4">
        <w:rPr>
          <w:rFonts w:ascii="Times New Roman" w:hAnsi="Times New Roman"/>
          <w:noProof/>
          <w:szCs w:val="24"/>
        </w:rPr>
        <w:tab/>
        <w:t xml:space="preserve">J. Katz, “A theory of qualitative methodology: The social system of analytic fieldwork,” </w:t>
      </w:r>
      <w:r w:rsidRPr="00EF2FF4">
        <w:rPr>
          <w:rFonts w:ascii="Times New Roman" w:hAnsi="Times New Roman"/>
          <w:i/>
          <w:iCs/>
          <w:noProof/>
          <w:szCs w:val="24"/>
        </w:rPr>
        <w:t>Méthod s African Rev. Soc. Sci. Methodol.</w:t>
      </w:r>
      <w:r w:rsidRPr="00EF2FF4">
        <w:rPr>
          <w:rFonts w:ascii="Times New Roman" w:hAnsi="Times New Roman"/>
          <w:noProof/>
          <w:szCs w:val="24"/>
        </w:rPr>
        <w:t>, vol. 1, no. 1–2, pp. 131–146, 2015.</w:t>
      </w:r>
    </w:p>
    <w:p w:rsidR="00EF2FF4" w:rsidRPr="00EF2FF4" w:rsidRDefault="00EF2FF4" w:rsidP="00EF2FF4">
      <w:pPr>
        <w:widowControl w:val="0"/>
        <w:autoSpaceDE w:val="0"/>
        <w:autoSpaceDN w:val="0"/>
        <w:adjustRightInd w:val="0"/>
        <w:spacing w:after="0" w:line="240" w:lineRule="auto"/>
        <w:ind w:left="640" w:hanging="640"/>
        <w:jc w:val="both"/>
        <w:rPr>
          <w:rFonts w:ascii="Times New Roman" w:hAnsi="Times New Roman"/>
          <w:noProof/>
          <w:szCs w:val="24"/>
        </w:rPr>
      </w:pPr>
      <w:r w:rsidRPr="00EF2FF4">
        <w:rPr>
          <w:rFonts w:ascii="Times New Roman" w:hAnsi="Times New Roman"/>
          <w:noProof/>
          <w:szCs w:val="24"/>
        </w:rPr>
        <w:t>[11]</w:t>
      </w:r>
      <w:r w:rsidRPr="00EF2FF4">
        <w:rPr>
          <w:rFonts w:ascii="Times New Roman" w:hAnsi="Times New Roman"/>
          <w:noProof/>
          <w:szCs w:val="24"/>
        </w:rPr>
        <w:tab/>
        <w:t xml:space="preserve">B. Chilisa, </w:t>
      </w:r>
      <w:r w:rsidRPr="00EF2FF4">
        <w:rPr>
          <w:rFonts w:ascii="Times New Roman" w:hAnsi="Times New Roman"/>
          <w:i/>
          <w:iCs/>
          <w:noProof/>
          <w:szCs w:val="24"/>
        </w:rPr>
        <w:t>Indigenous research methodologies</w:t>
      </w:r>
      <w:r w:rsidRPr="00EF2FF4">
        <w:rPr>
          <w:rFonts w:ascii="Times New Roman" w:hAnsi="Times New Roman"/>
          <w:noProof/>
          <w:szCs w:val="24"/>
        </w:rPr>
        <w:t>. Sage publications, 2019.</w:t>
      </w:r>
    </w:p>
    <w:p w:rsidR="00EF2FF4" w:rsidRPr="00EF2FF4" w:rsidRDefault="00EF2FF4" w:rsidP="00EF2FF4">
      <w:pPr>
        <w:widowControl w:val="0"/>
        <w:autoSpaceDE w:val="0"/>
        <w:autoSpaceDN w:val="0"/>
        <w:adjustRightInd w:val="0"/>
        <w:spacing w:after="0" w:line="240" w:lineRule="auto"/>
        <w:ind w:left="640" w:hanging="640"/>
        <w:jc w:val="both"/>
        <w:rPr>
          <w:rFonts w:ascii="Times New Roman" w:hAnsi="Times New Roman"/>
          <w:noProof/>
          <w:szCs w:val="24"/>
        </w:rPr>
      </w:pPr>
      <w:r w:rsidRPr="00EF2FF4">
        <w:rPr>
          <w:rFonts w:ascii="Times New Roman" w:hAnsi="Times New Roman"/>
          <w:noProof/>
          <w:szCs w:val="24"/>
        </w:rPr>
        <w:t>[12]</w:t>
      </w:r>
      <w:r w:rsidRPr="00EF2FF4">
        <w:rPr>
          <w:rFonts w:ascii="Times New Roman" w:hAnsi="Times New Roman"/>
          <w:noProof/>
          <w:szCs w:val="24"/>
        </w:rPr>
        <w:tab/>
        <w:t xml:space="preserve">Y. Roza, S. N. Siregar, and T. Solfitri, “Ethnomathematics: Design mathematics learning at secondary schools by using the traditional game of Melayu Riau,” </w:t>
      </w:r>
      <w:r w:rsidRPr="00EF2FF4">
        <w:rPr>
          <w:rFonts w:ascii="Times New Roman" w:hAnsi="Times New Roman"/>
          <w:i/>
          <w:iCs/>
          <w:noProof/>
          <w:szCs w:val="24"/>
        </w:rPr>
        <w:t>J. Phys. Conf. Ser.</w:t>
      </w:r>
      <w:r w:rsidRPr="00EF2FF4">
        <w:rPr>
          <w:rFonts w:ascii="Times New Roman" w:hAnsi="Times New Roman"/>
          <w:noProof/>
          <w:szCs w:val="24"/>
        </w:rPr>
        <w:t>, vol. 1470, no. 1, 2020, doi: 10.1088/1742-6596/1470/1/012051.</w:t>
      </w:r>
    </w:p>
    <w:p w:rsidR="00EF2FF4" w:rsidRPr="00EF2FF4" w:rsidRDefault="00EF2FF4" w:rsidP="00EF2FF4">
      <w:pPr>
        <w:widowControl w:val="0"/>
        <w:autoSpaceDE w:val="0"/>
        <w:autoSpaceDN w:val="0"/>
        <w:adjustRightInd w:val="0"/>
        <w:spacing w:after="0" w:line="240" w:lineRule="auto"/>
        <w:ind w:left="640" w:hanging="640"/>
        <w:jc w:val="both"/>
        <w:rPr>
          <w:rFonts w:ascii="Times New Roman" w:hAnsi="Times New Roman"/>
          <w:noProof/>
          <w:szCs w:val="24"/>
        </w:rPr>
      </w:pPr>
      <w:r w:rsidRPr="00EF2FF4">
        <w:rPr>
          <w:rFonts w:ascii="Times New Roman" w:hAnsi="Times New Roman"/>
          <w:noProof/>
          <w:szCs w:val="24"/>
        </w:rPr>
        <w:t>[13]</w:t>
      </w:r>
      <w:r w:rsidRPr="00EF2FF4">
        <w:rPr>
          <w:rFonts w:ascii="Times New Roman" w:hAnsi="Times New Roman"/>
          <w:noProof/>
          <w:szCs w:val="24"/>
        </w:rPr>
        <w:tab/>
        <w:t xml:space="preserve">S. B. Merriam and R. S. Grenier, </w:t>
      </w:r>
      <w:r w:rsidRPr="00EF2FF4">
        <w:rPr>
          <w:rFonts w:ascii="Times New Roman" w:hAnsi="Times New Roman"/>
          <w:i/>
          <w:iCs/>
          <w:noProof/>
          <w:szCs w:val="24"/>
        </w:rPr>
        <w:t>Qualitative research in practice: Examples for discussion and analysis</w:t>
      </w:r>
      <w:r w:rsidRPr="00EF2FF4">
        <w:rPr>
          <w:rFonts w:ascii="Times New Roman" w:hAnsi="Times New Roman"/>
          <w:noProof/>
          <w:szCs w:val="24"/>
        </w:rPr>
        <w:t xml:space="preserve">. John Wiley &amp; </w:t>
      </w:r>
      <w:r w:rsidRPr="00EF2FF4">
        <w:rPr>
          <w:rFonts w:ascii="Times New Roman" w:hAnsi="Times New Roman"/>
          <w:noProof/>
          <w:szCs w:val="24"/>
        </w:rPr>
        <w:lastRenderedPageBreak/>
        <w:t>Sons, 2019.</w:t>
      </w:r>
    </w:p>
    <w:p w:rsidR="00EF2FF4" w:rsidRPr="00EF2FF4" w:rsidRDefault="00EF2FF4" w:rsidP="00EF2FF4">
      <w:pPr>
        <w:widowControl w:val="0"/>
        <w:autoSpaceDE w:val="0"/>
        <w:autoSpaceDN w:val="0"/>
        <w:adjustRightInd w:val="0"/>
        <w:spacing w:after="0" w:line="240" w:lineRule="auto"/>
        <w:ind w:left="640" w:hanging="640"/>
        <w:jc w:val="both"/>
        <w:rPr>
          <w:rFonts w:ascii="Times New Roman" w:hAnsi="Times New Roman"/>
          <w:noProof/>
          <w:szCs w:val="24"/>
        </w:rPr>
      </w:pPr>
      <w:r w:rsidRPr="00EF2FF4">
        <w:rPr>
          <w:rFonts w:ascii="Times New Roman" w:hAnsi="Times New Roman"/>
          <w:noProof/>
          <w:szCs w:val="24"/>
        </w:rPr>
        <w:t>[14]</w:t>
      </w:r>
      <w:r w:rsidRPr="00EF2FF4">
        <w:rPr>
          <w:rFonts w:ascii="Times New Roman" w:hAnsi="Times New Roman"/>
          <w:noProof/>
          <w:szCs w:val="24"/>
        </w:rPr>
        <w:tab/>
        <w:t xml:space="preserve">C. Willig, “Interpretation and analysis,” </w:t>
      </w:r>
      <w:r w:rsidRPr="00EF2FF4">
        <w:rPr>
          <w:rFonts w:ascii="Times New Roman" w:hAnsi="Times New Roman"/>
          <w:i/>
          <w:iCs/>
          <w:noProof/>
          <w:szCs w:val="24"/>
        </w:rPr>
        <w:t>SAGE Handb. Qual. data Anal.</w:t>
      </w:r>
      <w:r w:rsidRPr="00EF2FF4">
        <w:rPr>
          <w:rFonts w:ascii="Times New Roman" w:hAnsi="Times New Roman"/>
          <w:noProof/>
          <w:szCs w:val="24"/>
        </w:rPr>
        <w:t>, vol. 481, 2014.</w:t>
      </w:r>
    </w:p>
    <w:p w:rsidR="00EF2FF4" w:rsidRPr="00EF2FF4" w:rsidRDefault="00EF2FF4" w:rsidP="00EF2FF4">
      <w:pPr>
        <w:widowControl w:val="0"/>
        <w:autoSpaceDE w:val="0"/>
        <w:autoSpaceDN w:val="0"/>
        <w:adjustRightInd w:val="0"/>
        <w:spacing w:after="0" w:line="240" w:lineRule="auto"/>
        <w:ind w:left="640" w:hanging="640"/>
        <w:jc w:val="both"/>
        <w:rPr>
          <w:rFonts w:ascii="Times New Roman" w:hAnsi="Times New Roman"/>
          <w:noProof/>
          <w:szCs w:val="24"/>
        </w:rPr>
      </w:pPr>
      <w:r w:rsidRPr="00EF2FF4">
        <w:rPr>
          <w:rFonts w:ascii="Times New Roman" w:hAnsi="Times New Roman"/>
          <w:noProof/>
          <w:szCs w:val="24"/>
        </w:rPr>
        <w:t>[15]</w:t>
      </w:r>
      <w:r w:rsidRPr="00EF2FF4">
        <w:rPr>
          <w:rFonts w:ascii="Times New Roman" w:hAnsi="Times New Roman"/>
          <w:noProof/>
          <w:szCs w:val="24"/>
        </w:rPr>
        <w:tab/>
        <w:t xml:space="preserve">D. Dalaklis, “Safety and security in shipping operations,” </w:t>
      </w:r>
      <w:r w:rsidRPr="00EF2FF4">
        <w:rPr>
          <w:rFonts w:ascii="Times New Roman" w:hAnsi="Times New Roman"/>
          <w:i/>
          <w:iCs/>
          <w:noProof/>
          <w:szCs w:val="24"/>
        </w:rPr>
        <w:t>Shipp. Oper. Manag.</w:t>
      </w:r>
      <w:r w:rsidRPr="00EF2FF4">
        <w:rPr>
          <w:rFonts w:ascii="Times New Roman" w:hAnsi="Times New Roman"/>
          <w:noProof/>
          <w:szCs w:val="24"/>
        </w:rPr>
        <w:t>, pp. 197–213, 2017.</w:t>
      </w:r>
    </w:p>
    <w:p w:rsidR="00EF2FF4" w:rsidRPr="00EF2FF4" w:rsidRDefault="00EF2FF4" w:rsidP="00EF2FF4">
      <w:pPr>
        <w:widowControl w:val="0"/>
        <w:autoSpaceDE w:val="0"/>
        <w:autoSpaceDN w:val="0"/>
        <w:adjustRightInd w:val="0"/>
        <w:spacing w:after="0" w:line="240" w:lineRule="auto"/>
        <w:ind w:left="640" w:hanging="640"/>
        <w:jc w:val="both"/>
        <w:rPr>
          <w:rFonts w:ascii="Times New Roman" w:hAnsi="Times New Roman"/>
          <w:noProof/>
          <w:szCs w:val="24"/>
        </w:rPr>
      </w:pPr>
      <w:r w:rsidRPr="00EF2FF4">
        <w:rPr>
          <w:rFonts w:ascii="Times New Roman" w:hAnsi="Times New Roman"/>
          <w:noProof/>
          <w:szCs w:val="24"/>
        </w:rPr>
        <w:t>[16]</w:t>
      </w:r>
      <w:r w:rsidRPr="00EF2FF4">
        <w:rPr>
          <w:rFonts w:ascii="Times New Roman" w:hAnsi="Times New Roman"/>
          <w:noProof/>
          <w:szCs w:val="24"/>
        </w:rPr>
        <w:tab/>
        <w:t xml:space="preserve">P. Ricardianto, R. Prastiama, M. Thamrin, L. Agusinta, E. Abdurachman, and E. P. Perwitasari, “the Ship’S Crew Performance of Indonesian National Shipping Companies,” </w:t>
      </w:r>
      <w:r w:rsidRPr="00EF2FF4">
        <w:rPr>
          <w:rFonts w:ascii="Times New Roman" w:hAnsi="Times New Roman"/>
          <w:i/>
          <w:iCs/>
          <w:noProof/>
          <w:szCs w:val="24"/>
        </w:rPr>
        <w:t>Int. J. Res. Commer. Manag. Stud.</w:t>
      </w:r>
      <w:r w:rsidRPr="00EF2FF4">
        <w:rPr>
          <w:rFonts w:ascii="Times New Roman" w:hAnsi="Times New Roman"/>
          <w:noProof/>
          <w:szCs w:val="24"/>
        </w:rPr>
        <w:t>, vol. 3, no. 03, pp. 52–66, 2021.</w:t>
      </w:r>
    </w:p>
    <w:p w:rsidR="00EF2FF4" w:rsidRPr="00EF2FF4" w:rsidRDefault="00EF2FF4" w:rsidP="00EF2FF4">
      <w:pPr>
        <w:widowControl w:val="0"/>
        <w:autoSpaceDE w:val="0"/>
        <w:autoSpaceDN w:val="0"/>
        <w:adjustRightInd w:val="0"/>
        <w:spacing w:after="0" w:line="240" w:lineRule="auto"/>
        <w:ind w:left="640" w:hanging="640"/>
        <w:jc w:val="both"/>
        <w:rPr>
          <w:rFonts w:ascii="Times New Roman" w:hAnsi="Times New Roman"/>
          <w:noProof/>
          <w:szCs w:val="24"/>
        </w:rPr>
      </w:pPr>
      <w:r w:rsidRPr="00EF2FF4">
        <w:rPr>
          <w:rFonts w:ascii="Times New Roman" w:hAnsi="Times New Roman"/>
          <w:noProof/>
          <w:szCs w:val="24"/>
        </w:rPr>
        <w:t>[17]</w:t>
      </w:r>
      <w:r w:rsidRPr="00EF2FF4">
        <w:rPr>
          <w:rFonts w:ascii="Times New Roman" w:hAnsi="Times New Roman"/>
          <w:noProof/>
          <w:szCs w:val="24"/>
        </w:rPr>
        <w:tab/>
        <w:t xml:space="preserve">N. Al Rahahleh, M. Ishaq Bhatti, and F. Najuna Misman, “Developments in risk management in Islamic finance: A review,” </w:t>
      </w:r>
      <w:r w:rsidRPr="00EF2FF4">
        <w:rPr>
          <w:rFonts w:ascii="Times New Roman" w:hAnsi="Times New Roman"/>
          <w:i/>
          <w:iCs/>
          <w:noProof/>
          <w:szCs w:val="24"/>
        </w:rPr>
        <w:t>J. Risk Financ. Manag.</w:t>
      </w:r>
      <w:r w:rsidRPr="00EF2FF4">
        <w:rPr>
          <w:rFonts w:ascii="Times New Roman" w:hAnsi="Times New Roman"/>
          <w:noProof/>
          <w:szCs w:val="24"/>
        </w:rPr>
        <w:t>, vol. 12, no. 1, p. 37, 2019.</w:t>
      </w:r>
    </w:p>
    <w:p w:rsidR="00EF2FF4" w:rsidRPr="00EF2FF4" w:rsidRDefault="00EF2FF4" w:rsidP="00EF2FF4">
      <w:pPr>
        <w:widowControl w:val="0"/>
        <w:autoSpaceDE w:val="0"/>
        <w:autoSpaceDN w:val="0"/>
        <w:adjustRightInd w:val="0"/>
        <w:spacing w:after="0" w:line="240" w:lineRule="auto"/>
        <w:ind w:left="640" w:hanging="640"/>
        <w:jc w:val="both"/>
        <w:rPr>
          <w:rFonts w:ascii="Times New Roman" w:hAnsi="Times New Roman"/>
          <w:noProof/>
          <w:szCs w:val="24"/>
        </w:rPr>
      </w:pPr>
      <w:r w:rsidRPr="00EF2FF4">
        <w:rPr>
          <w:rFonts w:ascii="Times New Roman" w:hAnsi="Times New Roman"/>
          <w:noProof/>
          <w:szCs w:val="24"/>
        </w:rPr>
        <w:t>[18]</w:t>
      </w:r>
      <w:r w:rsidRPr="00EF2FF4">
        <w:rPr>
          <w:rFonts w:ascii="Times New Roman" w:hAnsi="Times New Roman"/>
          <w:noProof/>
          <w:szCs w:val="24"/>
        </w:rPr>
        <w:tab/>
        <w:t xml:space="preserve">F. Deuflhard, D. Georgarakos, and R. Inderst, “Financial literacy and savings account returns,” </w:t>
      </w:r>
      <w:r w:rsidRPr="00EF2FF4">
        <w:rPr>
          <w:rFonts w:ascii="Times New Roman" w:hAnsi="Times New Roman"/>
          <w:i/>
          <w:iCs/>
          <w:noProof/>
          <w:szCs w:val="24"/>
        </w:rPr>
        <w:t>J. Eur. Econ. Assoc.</w:t>
      </w:r>
      <w:r w:rsidRPr="00EF2FF4">
        <w:rPr>
          <w:rFonts w:ascii="Times New Roman" w:hAnsi="Times New Roman"/>
          <w:noProof/>
          <w:szCs w:val="24"/>
        </w:rPr>
        <w:t xml:space="preserve">, vol. </w:t>
      </w:r>
      <w:r w:rsidRPr="00EF2FF4">
        <w:rPr>
          <w:rFonts w:ascii="Times New Roman" w:hAnsi="Times New Roman"/>
          <w:noProof/>
          <w:szCs w:val="24"/>
        </w:rPr>
        <w:lastRenderedPageBreak/>
        <w:t>17, no. 1, pp. 131–164, 2019.</w:t>
      </w:r>
    </w:p>
    <w:p w:rsidR="00EF2FF4" w:rsidRPr="00EF2FF4" w:rsidRDefault="00EF2FF4" w:rsidP="00EF2FF4">
      <w:pPr>
        <w:widowControl w:val="0"/>
        <w:autoSpaceDE w:val="0"/>
        <w:autoSpaceDN w:val="0"/>
        <w:adjustRightInd w:val="0"/>
        <w:spacing w:after="0" w:line="240" w:lineRule="auto"/>
        <w:ind w:left="640" w:hanging="640"/>
        <w:jc w:val="both"/>
        <w:rPr>
          <w:rFonts w:ascii="Times New Roman" w:hAnsi="Times New Roman"/>
          <w:noProof/>
          <w:szCs w:val="24"/>
        </w:rPr>
      </w:pPr>
      <w:r w:rsidRPr="00EF2FF4">
        <w:rPr>
          <w:rFonts w:ascii="Times New Roman" w:hAnsi="Times New Roman"/>
          <w:noProof/>
          <w:szCs w:val="24"/>
        </w:rPr>
        <w:t>[19]</w:t>
      </w:r>
      <w:r w:rsidRPr="00EF2FF4">
        <w:rPr>
          <w:rFonts w:ascii="Times New Roman" w:hAnsi="Times New Roman"/>
          <w:noProof/>
          <w:szCs w:val="24"/>
        </w:rPr>
        <w:tab/>
        <w:t xml:space="preserve">M. E. Manuel, “Vocational and academic approaches to maritime education and training (MET): Trends, challenges and opportunities,” </w:t>
      </w:r>
      <w:r w:rsidRPr="00EF2FF4">
        <w:rPr>
          <w:rFonts w:ascii="Times New Roman" w:hAnsi="Times New Roman"/>
          <w:i/>
          <w:iCs/>
          <w:noProof/>
          <w:szCs w:val="24"/>
        </w:rPr>
        <w:t>WMU J. Marit. Aff.</w:t>
      </w:r>
      <w:r w:rsidRPr="00EF2FF4">
        <w:rPr>
          <w:rFonts w:ascii="Times New Roman" w:hAnsi="Times New Roman"/>
          <w:noProof/>
          <w:szCs w:val="24"/>
        </w:rPr>
        <w:t>, vol. 16, pp. 473–483, 2017.</w:t>
      </w:r>
    </w:p>
    <w:p w:rsidR="00EF2FF4" w:rsidRPr="00EF2FF4" w:rsidRDefault="00EF2FF4" w:rsidP="00EF2FF4">
      <w:pPr>
        <w:widowControl w:val="0"/>
        <w:autoSpaceDE w:val="0"/>
        <w:autoSpaceDN w:val="0"/>
        <w:adjustRightInd w:val="0"/>
        <w:spacing w:after="0" w:line="240" w:lineRule="auto"/>
        <w:ind w:left="640" w:hanging="640"/>
        <w:jc w:val="both"/>
        <w:rPr>
          <w:rFonts w:ascii="Times New Roman" w:hAnsi="Times New Roman"/>
          <w:noProof/>
          <w:szCs w:val="24"/>
        </w:rPr>
      </w:pPr>
      <w:r w:rsidRPr="00EF2FF4">
        <w:rPr>
          <w:rFonts w:ascii="Times New Roman" w:hAnsi="Times New Roman"/>
          <w:noProof/>
          <w:szCs w:val="24"/>
        </w:rPr>
        <w:t>[20]</w:t>
      </w:r>
      <w:r w:rsidRPr="00EF2FF4">
        <w:rPr>
          <w:rFonts w:ascii="Times New Roman" w:hAnsi="Times New Roman"/>
          <w:noProof/>
          <w:szCs w:val="24"/>
        </w:rPr>
        <w:tab/>
        <w:t xml:space="preserve">M. Rashidirad and H. Salimian, “SMEs’ dynamic capabilities and value creation: the mediating role of competitive strategy,” </w:t>
      </w:r>
      <w:r w:rsidRPr="00EF2FF4">
        <w:rPr>
          <w:rFonts w:ascii="Times New Roman" w:hAnsi="Times New Roman"/>
          <w:i/>
          <w:iCs/>
          <w:noProof/>
          <w:szCs w:val="24"/>
        </w:rPr>
        <w:t>Eur. Bus. Rev.</w:t>
      </w:r>
      <w:r w:rsidRPr="00EF2FF4">
        <w:rPr>
          <w:rFonts w:ascii="Times New Roman" w:hAnsi="Times New Roman"/>
          <w:noProof/>
          <w:szCs w:val="24"/>
        </w:rPr>
        <w:t>, vol. 32, no. 4, pp. 591–613, 2020.</w:t>
      </w:r>
    </w:p>
    <w:p w:rsidR="00EF2FF4" w:rsidRPr="00EF2FF4" w:rsidRDefault="00EF2FF4" w:rsidP="00EF2FF4">
      <w:pPr>
        <w:widowControl w:val="0"/>
        <w:autoSpaceDE w:val="0"/>
        <w:autoSpaceDN w:val="0"/>
        <w:adjustRightInd w:val="0"/>
        <w:spacing w:after="0" w:line="240" w:lineRule="auto"/>
        <w:ind w:left="640" w:hanging="640"/>
        <w:jc w:val="both"/>
        <w:rPr>
          <w:rFonts w:ascii="Times New Roman" w:hAnsi="Times New Roman"/>
          <w:noProof/>
        </w:rPr>
      </w:pPr>
      <w:r w:rsidRPr="00EF2FF4">
        <w:rPr>
          <w:rFonts w:ascii="Times New Roman" w:hAnsi="Times New Roman"/>
          <w:noProof/>
          <w:szCs w:val="24"/>
        </w:rPr>
        <w:t>[21]</w:t>
      </w:r>
      <w:r w:rsidRPr="00EF2FF4">
        <w:rPr>
          <w:rFonts w:ascii="Times New Roman" w:hAnsi="Times New Roman"/>
          <w:noProof/>
          <w:szCs w:val="24"/>
        </w:rPr>
        <w:tab/>
        <w:t xml:space="preserve">D. Sudarman, “THE INFLUENCE OF OCCUPATIONAL HEALTH AND SAFETY AND SUPERVISION ON EMPLOYEE PERFORMANCE OF PT. PAN MARITIME WIRA PAWITRA CREW MEMBERS,” </w:t>
      </w:r>
      <w:r w:rsidRPr="00EF2FF4">
        <w:rPr>
          <w:rFonts w:ascii="Times New Roman" w:hAnsi="Times New Roman"/>
          <w:i/>
          <w:iCs/>
          <w:noProof/>
          <w:szCs w:val="24"/>
        </w:rPr>
        <w:t>J. Manag. ACCOUNTING, Gen. Financ. Int. Econ. ISSUES</w:t>
      </w:r>
      <w:r w:rsidRPr="00EF2FF4">
        <w:rPr>
          <w:rFonts w:ascii="Times New Roman" w:hAnsi="Times New Roman"/>
          <w:noProof/>
          <w:szCs w:val="24"/>
        </w:rPr>
        <w:t>, vol. 2, no. 3, pp. 729–741, 2023.</w:t>
      </w:r>
    </w:p>
    <w:p w:rsidR="00EF2FF4" w:rsidRDefault="00EF2FF4" w:rsidP="00EF2FF4">
      <w:pPr>
        <w:autoSpaceDE w:val="0"/>
        <w:autoSpaceDN w:val="0"/>
        <w:adjustRightInd w:val="0"/>
        <w:spacing w:after="0" w:line="240" w:lineRule="auto"/>
        <w:jc w:val="both"/>
        <w:rPr>
          <w:rFonts w:ascii="Times New Roman" w:hAnsi="Times New Roman"/>
          <w:b/>
          <w:bCs/>
          <w:lang w:val="en-US"/>
        </w:rPr>
        <w:sectPr w:rsidR="00EF2FF4" w:rsidSect="00F66ECB">
          <w:type w:val="continuous"/>
          <w:pgSz w:w="11906" w:h="16838"/>
          <w:pgMar w:top="1134" w:right="1134" w:bottom="1134" w:left="1134" w:header="709" w:footer="709" w:gutter="0"/>
          <w:pgNumType w:start="1"/>
          <w:cols w:num="2" w:space="708"/>
          <w:docGrid w:linePitch="360"/>
        </w:sectPr>
      </w:pPr>
      <w:r>
        <w:rPr>
          <w:rFonts w:ascii="Times New Roman" w:hAnsi="Times New Roman"/>
          <w:b/>
          <w:bCs/>
          <w:lang w:val="en-US"/>
        </w:rPr>
        <w:fldChar w:fldCharType="end"/>
      </w:r>
    </w:p>
    <w:p w:rsidR="000C4333" w:rsidRDefault="000C4333" w:rsidP="00EF2FF4">
      <w:pPr>
        <w:autoSpaceDE w:val="0"/>
        <w:autoSpaceDN w:val="0"/>
        <w:adjustRightInd w:val="0"/>
        <w:spacing w:after="0" w:line="240" w:lineRule="auto"/>
        <w:jc w:val="both"/>
        <w:rPr>
          <w:rFonts w:ascii="Times New Roman" w:hAnsi="Times New Roman"/>
          <w:b/>
          <w:bCs/>
          <w:lang w:val="en-US"/>
        </w:rPr>
      </w:pPr>
    </w:p>
    <w:p w:rsidR="000C4333" w:rsidRDefault="000C4333">
      <w:pPr>
        <w:autoSpaceDE w:val="0"/>
        <w:autoSpaceDN w:val="0"/>
        <w:adjustRightInd w:val="0"/>
        <w:spacing w:after="0" w:line="240" w:lineRule="auto"/>
        <w:rPr>
          <w:rFonts w:ascii="Times New Roman" w:hAnsi="Times New Roman"/>
          <w:b/>
          <w:bCs/>
          <w:lang w:val="en-US"/>
        </w:rPr>
      </w:pPr>
    </w:p>
    <w:p w:rsidR="000C4333" w:rsidRDefault="000C4333">
      <w:pPr>
        <w:autoSpaceDE w:val="0"/>
        <w:autoSpaceDN w:val="0"/>
        <w:adjustRightInd w:val="0"/>
        <w:spacing w:after="0" w:line="240" w:lineRule="auto"/>
        <w:rPr>
          <w:rFonts w:ascii="Times New Roman" w:hAnsi="Times New Roman"/>
          <w:b/>
          <w:bCs/>
          <w:lang w:val="en-US"/>
        </w:rPr>
      </w:pPr>
    </w:p>
    <w:sectPr w:rsidR="000C4333" w:rsidSect="000C4333">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CF5" w:rsidRDefault="00F85CF5">
      <w:pPr>
        <w:spacing w:after="0" w:line="240" w:lineRule="auto"/>
      </w:pPr>
      <w:r>
        <w:separator/>
      </w:r>
    </w:p>
  </w:endnote>
  <w:endnote w:type="continuationSeparator" w:id="0">
    <w:p w:rsidR="00F85CF5" w:rsidRDefault="00F85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PS-ItalicMT">
    <w:altName w:val="Times New Roman"/>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rPr>
      <w:id w:val="-1845619962"/>
      <w:docPartObj>
        <w:docPartGallery w:val="Page Numbers (Bottom of Page)"/>
        <w:docPartUnique/>
      </w:docPartObj>
    </w:sdtPr>
    <w:sdtEndPr>
      <w:rPr>
        <w:noProof/>
      </w:rPr>
    </w:sdtEndPr>
    <w:sdtContent>
      <w:p w:rsidR="00F66ECB" w:rsidRPr="00F66ECB" w:rsidRDefault="00F66ECB">
        <w:pPr>
          <w:pStyle w:val="Footer"/>
          <w:jc w:val="right"/>
          <w:rPr>
            <w:rFonts w:ascii="Times New Roman" w:hAnsi="Times New Roman"/>
          </w:rPr>
        </w:pPr>
        <w:r w:rsidRPr="00F66ECB">
          <w:rPr>
            <w:rFonts w:ascii="Times New Roman" w:hAnsi="Times New Roman"/>
          </w:rPr>
          <w:fldChar w:fldCharType="begin"/>
        </w:r>
        <w:r w:rsidRPr="00F66ECB">
          <w:rPr>
            <w:rFonts w:ascii="Times New Roman" w:hAnsi="Times New Roman"/>
          </w:rPr>
          <w:instrText xml:space="preserve"> PAGE   \* MERGEFORMAT </w:instrText>
        </w:r>
        <w:r w:rsidRPr="00F66ECB">
          <w:rPr>
            <w:rFonts w:ascii="Times New Roman" w:hAnsi="Times New Roman"/>
          </w:rPr>
          <w:fldChar w:fldCharType="separate"/>
        </w:r>
        <w:r>
          <w:rPr>
            <w:rFonts w:ascii="Times New Roman" w:hAnsi="Times New Roman"/>
            <w:noProof/>
          </w:rPr>
          <w:t>7</w:t>
        </w:r>
        <w:r w:rsidRPr="00F66ECB">
          <w:rPr>
            <w:rFonts w:ascii="Times New Roman" w:hAnsi="Times New Roman"/>
            <w:noProof/>
          </w:rPr>
          <w:fldChar w:fldCharType="end"/>
        </w:r>
      </w:p>
    </w:sdtContent>
  </w:sdt>
  <w:p w:rsidR="0075247C" w:rsidRPr="00F66ECB" w:rsidRDefault="00F66ECB">
    <w:pPr>
      <w:pStyle w:val="Footer"/>
      <w:tabs>
        <w:tab w:val="clear" w:pos="9026"/>
        <w:tab w:val="right" w:pos="9639"/>
      </w:tabs>
      <w:jc w:val="both"/>
      <w:rPr>
        <w:rFonts w:ascii="Times New Roman" w:hAnsi="Times New Roman"/>
        <w:b/>
        <w:sz w:val="24"/>
        <w:szCs w:val="24"/>
      </w:rPr>
    </w:pPr>
    <w:r w:rsidRPr="00F66ECB">
      <w:rPr>
        <w:rFonts w:ascii="Times New Roman" w:hAnsi="Times New Roman"/>
        <w:b/>
        <w:sz w:val="24"/>
        <w:szCs w:val="24"/>
      </w:rPr>
      <w:t>METEOR, Vol. 17, No. 2 December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CF5" w:rsidRDefault="00F85CF5">
      <w:pPr>
        <w:spacing w:after="0" w:line="240" w:lineRule="auto"/>
      </w:pPr>
      <w:r>
        <w:separator/>
      </w:r>
    </w:p>
  </w:footnote>
  <w:footnote w:type="continuationSeparator" w:id="0">
    <w:p w:rsidR="00F85CF5" w:rsidRDefault="00F85C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nsid w:val="21CA7F1C"/>
    <w:multiLevelType w:val="multilevel"/>
    <w:tmpl w:val="21CA7F1C"/>
    <w:lvl w:ilvl="0">
      <w:start w:val="1"/>
      <w:numFmt w:val="decimal"/>
      <w:lvlText w:val="%1."/>
      <w:lvlJc w:val="left"/>
      <w:pPr>
        <w:ind w:left="720" w:hanging="360"/>
      </w:pPr>
      <w:rPr>
        <w:rFonts w:hint="default"/>
      </w:rPr>
    </w:lvl>
    <w:lvl w:ilvl="1">
      <w:start w:val="1"/>
      <w:numFmt w:val="decimal"/>
      <w:lvlText w:val="%2."/>
      <w:lvlJc w:val="left"/>
      <w:pPr>
        <w:ind w:left="786" w:hanging="360"/>
      </w:pPr>
      <w:rPr>
        <w:rFonts w:hint="default"/>
        <w:b/>
        <w:bCs/>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
    <w:nsid w:val="5AD97CD8"/>
    <w:multiLevelType w:val="multilevel"/>
    <w:tmpl w:val="5AD97CD8"/>
    <w:lvl w:ilvl="0">
      <w:start w:val="1072"/>
      <w:numFmt w:val="bullet"/>
      <w:pStyle w:val="Heading1"/>
      <w:lvlText w:val="-"/>
      <w:lvlJc w:val="left"/>
      <w:pPr>
        <w:ind w:left="198" w:hanging="360"/>
      </w:pPr>
      <w:rPr>
        <w:rFonts w:ascii="Times New Roman" w:eastAsia="Times New Roman" w:hAnsi="Times New Roman" w:cs="Times New Roman" w:hint="default"/>
      </w:rPr>
    </w:lvl>
    <w:lvl w:ilvl="1">
      <w:start w:val="1"/>
      <w:numFmt w:val="bullet"/>
      <w:lvlText w:val="o"/>
      <w:lvlJc w:val="left"/>
      <w:pPr>
        <w:ind w:left="918" w:hanging="360"/>
      </w:pPr>
      <w:rPr>
        <w:rFonts w:ascii="Courier New" w:hAnsi="Courier New" w:cs="Courier New" w:hint="default"/>
      </w:rPr>
    </w:lvl>
    <w:lvl w:ilvl="2">
      <w:start w:val="1"/>
      <w:numFmt w:val="bullet"/>
      <w:lvlText w:val=""/>
      <w:lvlJc w:val="left"/>
      <w:pPr>
        <w:ind w:left="1638" w:hanging="360"/>
      </w:pPr>
      <w:rPr>
        <w:rFonts w:ascii="Wingdings" w:hAnsi="Wingdings" w:hint="default"/>
      </w:rPr>
    </w:lvl>
    <w:lvl w:ilvl="3">
      <w:start w:val="1"/>
      <w:numFmt w:val="bullet"/>
      <w:lvlText w:val=""/>
      <w:lvlJc w:val="left"/>
      <w:pPr>
        <w:ind w:left="2358" w:hanging="360"/>
      </w:pPr>
      <w:rPr>
        <w:rFonts w:ascii="Symbol" w:hAnsi="Symbol" w:hint="default"/>
      </w:rPr>
    </w:lvl>
    <w:lvl w:ilvl="4">
      <w:start w:val="1"/>
      <w:numFmt w:val="bullet"/>
      <w:lvlText w:val="o"/>
      <w:lvlJc w:val="left"/>
      <w:pPr>
        <w:ind w:left="3078" w:hanging="360"/>
      </w:pPr>
      <w:rPr>
        <w:rFonts w:ascii="Courier New" w:hAnsi="Courier New" w:cs="Courier New" w:hint="default"/>
      </w:rPr>
    </w:lvl>
    <w:lvl w:ilvl="5">
      <w:start w:val="1"/>
      <w:numFmt w:val="bullet"/>
      <w:lvlText w:val=""/>
      <w:lvlJc w:val="left"/>
      <w:pPr>
        <w:ind w:left="3798" w:hanging="360"/>
      </w:pPr>
      <w:rPr>
        <w:rFonts w:ascii="Wingdings" w:hAnsi="Wingdings" w:hint="default"/>
      </w:rPr>
    </w:lvl>
    <w:lvl w:ilvl="6">
      <w:start w:val="1"/>
      <w:numFmt w:val="bullet"/>
      <w:lvlText w:val=""/>
      <w:lvlJc w:val="left"/>
      <w:pPr>
        <w:ind w:left="4518" w:hanging="360"/>
      </w:pPr>
      <w:rPr>
        <w:rFonts w:ascii="Symbol" w:hAnsi="Symbol" w:hint="default"/>
      </w:rPr>
    </w:lvl>
    <w:lvl w:ilvl="7">
      <w:start w:val="1"/>
      <w:numFmt w:val="bullet"/>
      <w:lvlText w:val="o"/>
      <w:lvlJc w:val="left"/>
      <w:pPr>
        <w:ind w:left="5238" w:hanging="360"/>
      </w:pPr>
      <w:rPr>
        <w:rFonts w:ascii="Courier New" w:hAnsi="Courier New" w:cs="Courier New" w:hint="default"/>
      </w:rPr>
    </w:lvl>
    <w:lvl w:ilvl="8">
      <w:start w:val="1"/>
      <w:numFmt w:val="bullet"/>
      <w:lvlText w:val=""/>
      <w:lvlJc w:val="left"/>
      <w:pPr>
        <w:ind w:left="5958" w:hanging="360"/>
      </w:pPr>
      <w:rPr>
        <w:rFonts w:ascii="Wingdings" w:hAnsi="Wingdings" w:hint="default"/>
      </w:rPr>
    </w:lvl>
  </w:abstractNum>
  <w:abstractNum w:abstractNumId="3">
    <w:nsid w:val="708163D9"/>
    <w:multiLevelType w:val="multilevel"/>
    <w:tmpl w:val="708163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13331"/>
    <w:rsid w:val="00026852"/>
    <w:rsid w:val="00030B5C"/>
    <w:rsid w:val="00033E18"/>
    <w:rsid w:val="00041308"/>
    <w:rsid w:val="000560A6"/>
    <w:rsid w:val="00071394"/>
    <w:rsid w:val="000759AC"/>
    <w:rsid w:val="000767AC"/>
    <w:rsid w:val="00082B02"/>
    <w:rsid w:val="00083C88"/>
    <w:rsid w:val="00095641"/>
    <w:rsid w:val="000973D1"/>
    <w:rsid w:val="000A0337"/>
    <w:rsid w:val="000B2834"/>
    <w:rsid w:val="000B6185"/>
    <w:rsid w:val="000C17E4"/>
    <w:rsid w:val="000C31DF"/>
    <w:rsid w:val="000C4333"/>
    <w:rsid w:val="000C5A7E"/>
    <w:rsid w:val="000C6E91"/>
    <w:rsid w:val="000C741B"/>
    <w:rsid w:val="000D0AC6"/>
    <w:rsid w:val="000E5FB5"/>
    <w:rsid w:val="000E6927"/>
    <w:rsid w:val="000F5F9E"/>
    <w:rsid w:val="0011640C"/>
    <w:rsid w:val="001221B0"/>
    <w:rsid w:val="0014123F"/>
    <w:rsid w:val="0016432C"/>
    <w:rsid w:val="00164A9E"/>
    <w:rsid w:val="00166D83"/>
    <w:rsid w:val="00167ABC"/>
    <w:rsid w:val="00175B04"/>
    <w:rsid w:val="001807B9"/>
    <w:rsid w:val="00182AC6"/>
    <w:rsid w:val="001A00C2"/>
    <w:rsid w:val="001A2FF5"/>
    <w:rsid w:val="001B28B7"/>
    <w:rsid w:val="001C376C"/>
    <w:rsid w:val="001C79A0"/>
    <w:rsid w:val="001D2DD8"/>
    <w:rsid w:val="001E6D16"/>
    <w:rsid w:val="001F2277"/>
    <w:rsid w:val="002037C8"/>
    <w:rsid w:val="0023056D"/>
    <w:rsid w:val="00231CEA"/>
    <w:rsid w:val="0023691F"/>
    <w:rsid w:val="0024363E"/>
    <w:rsid w:val="00247D83"/>
    <w:rsid w:val="00247F0A"/>
    <w:rsid w:val="0025468B"/>
    <w:rsid w:val="00260B8B"/>
    <w:rsid w:val="00263DD8"/>
    <w:rsid w:val="00264A93"/>
    <w:rsid w:val="00275DB3"/>
    <w:rsid w:val="00276CFF"/>
    <w:rsid w:val="00280FA7"/>
    <w:rsid w:val="002930A1"/>
    <w:rsid w:val="00295877"/>
    <w:rsid w:val="002A3CAC"/>
    <w:rsid w:val="002A73E1"/>
    <w:rsid w:val="002B31E0"/>
    <w:rsid w:val="002D1B73"/>
    <w:rsid w:val="002D5658"/>
    <w:rsid w:val="002F11B1"/>
    <w:rsid w:val="002F6A46"/>
    <w:rsid w:val="00300B39"/>
    <w:rsid w:val="00314187"/>
    <w:rsid w:val="003215D2"/>
    <w:rsid w:val="0033714C"/>
    <w:rsid w:val="00337E4A"/>
    <w:rsid w:val="00346590"/>
    <w:rsid w:val="00381098"/>
    <w:rsid w:val="003C5E0E"/>
    <w:rsid w:val="003D1666"/>
    <w:rsid w:val="003E1642"/>
    <w:rsid w:val="0042090F"/>
    <w:rsid w:val="004428A8"/>
    <w:rsid w:val="004511E0"/>
    <w:rsid w:val="0045526D"/>
    <w:rsid w:val="00455598"/>
    <w:rsid w:val="004608E3"/>
    <w:rsid w:val="00461241"/>
    <w:rsid w:val="00461DC8"/>
    <w:rsid w:val="00470564"/>
    <w:rsid w:val="004714EA"/>
    <w:rsid w:val="00472FE4"/>
    <w:rsid w:val="00473FBF"/>
    <w:rsid w:val="00477DEE"/>
    <w:rsid w:val="00482F54"/>
    <w:rsid w:val="004A318B"/>
    <w:rsid w:val="004B27FD"/>
    <w:rsid w:val="004B2F9C"/>
    <w:rsid w:val="004D666F"/>
    <w:rsid w:val="004F1EE5"/>
    <w:rsid w:val="004F7229"/>
    <w:rsid w:val="00531A04"/>
    <w:rsid w:val="00550EA6"/>
    <w:rsid w:val="0055783F"/>
    <w:rsid w:val="0056231A"/>
    <w:rsid w:val="0057188F"/>
    <w:rsid w:val="005831E4"/>
    <w:rsid w:val="00583497"/>
    <w:rsid w:val="00583700"/>
    <w:rsid w:val="00590773"/>
    <w:rsid w:val="0059609D"/>
    <w:rsid w:val="005A0D42"/>
    <w:rsid w:val="005A2B62"/>
    <w:rsid w:val="005B6D02"/>
    <w:rsid w:val="005B7008"/>
    <w:rsid w:val="005C6540"/>
    <w:rsid w:val="005D6635"/>
    <w:rsid w:val="005E3175"/>
    <w:rsid w:val="005F0407"/>
    <w:rsid w:val="005F1219"/>
    <w:rsid w:val="005F3A06"/>
    <w:rsid w:val="005F4B71"/>
    <w:rsid w:val="006056BE"/>
    <w:rsid w:val="006066A2"/>
    <w:rsid w:val="00612A0D"/>
    <w:rsid w:val="006171B3"/>
    <w:rsid w:val="0061729D"/>
    <w:rsid w:val="00617C9B"/>
    <w:rsid w:val="00635CBD"/>
    <w:rsid w:val="00667733"/>
    <w:rsid w:val="006709DA"/>
    <w:rsid w:val="006A33A6"/>
    <w:rsid w:val="006A4BBB"/>
    <w:rsid w:val="006A55F1"/>
    <w:rsid w:val="006B0E27"/>
    <w:rsid w:val="006B629D"/>
    <w:rsid w:val="006D6D19"/>
    <w:rsid w:val="006E3D96"/>
    <w:rsid w:val="006E54DF"/>
    <w:rsid w:val="00702F31"/>
    <w:rsid w:val="00706863"/>
    <w:rsid w:val="00710601"/>
    <w:rsid w:val="00712E82"/>
    <w:rsid w:val="00712FC7"/>
    <w:rsid w:val="007223D5"/>
    <w:rsid w:val="00724ED7"/>
    <w:rsid w:val="00731E10"/>
    <w:rsid w:val="00734DF0"/>
    <w:rsid w:val="00736793"/>
    <w:rsid w:val="00740307"/>
    <w:rsid w:val="007470EB"/>
    <w:rsid w:val="0075247C"/>
    <w:rsid w:val="00760A3E"/>
    <w:rsid w:val="00762A79"/>
    <w:rsid w:val="00762E81"/>
    <w:rsid w:val="00783ED1"/>
    <w:rsid w:val="00790192"/>
    <w:rsid w:val="007912A2"/>
    <w:rsid w:val="007A300F"/>
    <w:rsid w:val="007B417A"/>
    <w:rsid w:val="007B46BC"/>
    <w:rsid w:val="007C2346"/>
    <w:rsid w:val="007C3E3D"/>
    <w:rsid w:val="007D7EA1"/>
    <w:rsid w:val="007E2120"/>
    <w:rsid w:val="007E4252"/>
    <w:rsid w:val="007F0EE3"/>
    <w:rsid w:val="007F32D6"/>
    <w:rsid w:val="007F56FE"/>
    <w:rsid w:val="00811EEA"/>
    <w:rsid w:val="00815747"/>
    <w:rsid w:val="008267F9"/>
    <w:rsid w:val="008318D9"/>
    <w:rsid w:val="00870E3F"/>
    <w:rsid w:val="00872B5D"/>
    <w:rsid w:val="00875B1E"/>
    <w:rsid w:val="00893A3F"/>
    <w:rsid w:val="008957F8"/>
    <w:rsid w:val="008A106B"/>
    <w:rsid w:val="008A3CD3"/>
    <w:rsid w:val="008A7A9E"/>
    <w:rsid w:val="008B11D9"/>
    <w:rsid w:val="008B19CC"/>
    <w:rsid w:val="008B3067"/>
    <w:rsid w:val="008B5E8C"/>
    <w:rsid w:val="008D0AEE"/>
    <w:rsid w:val="008E3AAF"/>
    <w:rsid w:val="008E7571"/>
    <w:rsid w:val="008F2D2C"/>
    <w:rsid w:val="009079AB"/>
    <w:rsid w:val="00911BC6"/>
    <w:rsid w:val="00930B95"/>
    <w:rsid w:val="009378B9"/>
    <w:rsid w:val="009657B5"/>
    <w:rsid w:val="00983018"/>
    <w:rsid w:val="00983CFD"/>
    <w:rsid w:val="0098476B"/>
    <w:rsid w:val="0098710F"/>
    <w:rsid w:val="00996AA2"/>
    <w:rsid w:val="009A679D"/>
    <w:rsid w:val="009B1F3D"/>
    <w:rsid w:val="009B4398"/>
    <w:rsid w:val="009C0371"/>
    <w:rsid w:val="009C13E5"/>
    <w:rsid w:val="009C1962"/>
    <w:rsid w:val="009C4BE4"/>
    <w:rsid w:val="009D366C"/>
    <w:rsid w:val="009D6FB2"/>
    <w:rsid w:val="009E2646"/>
    <w:rsid w:val="00A03D71"/>
    <w:rsid w:val="00A214E1"/>
    <w:rsid w:val="00A37C6F"/>
    <w:rsid w:val="00A6121E"/>
    <w:rsid w:val="00A618F9"/>
    <w:rsid w:val="00A71D03"/>
    <w:rsid w:val="00A7430C"/>
    <w:rsid w:val="00A7534D"/>
    <w:rsid w:val="00AA4294"/>
    <w:rsid w:val="00AB34C5"/>
    <w:rsid w:val="00AC4EB1"/>
    <w:rsid w:val="00AC532E"/>
    <w:rsid w:val="00AC7448"/>
    <w:rsid w:val="00AD4086"/>
    <w:rsid w:val="00AF5ED5"/>
    <w:rsid w:val="00AF623A"/>
    <w:rsid w:val="00B03EFF"/>
    <w:rsid w:val="00B0553E"/>
    <w:rsid w:val="00B11FC2"/>
    <w:rsid w:val="00B249C9"/>
    <w:rsid w:val="00B25D11"/>
    <w:rsid w:val="00B3034B"/>
    <w:rsid w:val="00B329CF"/>
    <w:rsid w:val="00B4572E"/>
    <w:rsid w:val="00B47C4F"/>
    <w:rsid w:val="00B5153F"/>
    <w:rsid w:val="00B5159F"/>
    <w:rsid w:val="00B523CC"/>
    <w:rsid w:val="00B53B02"/>
    <w:rsid w:val="00B57E80"/>
    <w:rsid w:val="00B621A6"/>
    <w:rsid w:val="00B71E3A"/>
    <w:rsid w:val="00B803C4"/>
    <w:rsid w:val="00B81520"/>
    <w:rsid w:val="00B81A52"/>
    <w:rsid w:val="00B81D9E"/>
    <w:rsid w:val="00B83DC0"/>
    <w:rsid w:val="00B85B6D"/>
    <w:rsid w:val="00BA06EB"/>
    <w:rsid w:val="00BA15E4"/>
    <w:rsid w:val="00BA1FD2"/>
    <w:rsid w:val="00BB11B3"/>
    <w:rsid w:val="00BC2F62"/>
    <w:rsid w:val="00BC31E0"/>
    <w:rsid w:val="00BC75CA"/>
    <w:rsid w:val="00BD3DF2"/>
    <w:rsid w:val="00BE433F"/>
    <w:rsid w:val="00BE4C85"/>
    <w:rsid w:val="00BE7653"/>
    <w:rsid w:val="00C050E6"/>
    <w:rsid w:val="00C05853"/>
    <w:rsid w:val="00C07295"/>
    <w:rsid w:val="00C12717"/>
    <w:rsid w:val="00C23B5D"/>
    <w:rsid w:val="00C249E8"/>
    <w:rsid w:val="00C31ED1"/>
    <w:rsid w:val="00C35A97"/>
    <w:rsid w:val="00C400D0"/>
    <w:rsid w:val="00C44D35"/>
    <w:rsid w:val="00C4506E"/>
    <w:rsid w:val="00C475DF"/>
    <w:rsid w:val="00C63ADD"/>
    <w:rsid w:val="00C7149F"/>
    <w:rsid w:val="00C94422"/>
    <w:rsid w:val="00C958E2"/>
    <w:rsid w:val="00CB1532"/>
    <w:rsid w:val="00CB5385"/>
    <w:rsid w:val="00CC0689"/>
    <w:rsid w:val="00CC7E46"/>
    <w:rsid w:val="00CD2239"/>
    <w:rsid w:val="00CD310F"/>
    <w:rsid w:val="00CE1588"/>
    <w:rsid w:val="00D07C29"/>
    <w:rsid w:val="00D3241E"/>
    <w:rsid w:val="00D34407"/>
    <w:rsid w:val="00D4253C"/>
    <w:rsid w:val="00D54487"/>
    <w:rsid w:val="00D75783"/>
    <w:rsid w:val="00D816C8"/>
    <w:rsid w:val="00D934D6"/>
    <w:rsid w:val="00D93FD9"/>
    <w:rsid w:val="00DA5ACE"/>
    <w:rsid w:val="00DB194B"/>
    <w:rsid w:val="00DB5E65"/>
    <w:rsid w:val="00DB79BF"/>
    <w:rsid w:val="00DC624E"/>
    <w:rsid w:val="00DD12C8"/>
    <w:rsid w:val="00DF36B0"/>
    <w:rsid w:val="00DF4A78"/>
    <w:rsid w:val="00E07381"/>
    <w:rsid w:val="00E16BD4"/>
    <w:rsid w:val="00E20CEC"/>
    <w:rsid w:val="00E2165D"/>
    <w:rsid w:val="00E2535C"/>
    <w:rsid w:val="00E63677"/>
    <w:rsid w:val="00E75F8F"/>
    <w:rsid w:val="00E80032"/>
    <w:rsid w:val="00E82193"/>
    <w:rsid w:val="00EA19E5"/>
    <w:rsid w:val="00EA3E26"/>
    <w:rsid w:val="00EB1CF4"/>
    <w:rsid w:val="00EC0792"/>
    <w:rsid w:val="00EC5036"/>
    <w:rsid w:val="00ED1756"/>
    <w:rsid w:val="00EE0C78"/>
    <w:rsid w:val="00EF1263"/>
    <w:rsid w:val="00EF2D87"/>
    <w:rsid w:val="00EF2E8F"/>
    <w:rsid w:val="00EF2FF4"/>
    <w:rsid w:val="00EF55AB"/>
    <w:rsid w:val="00EF6CC1"/>
    <w:rsid w:val="00F13F36"/>
    <w:rsid w:val="00F228F8"/>
    <w:rsid w:val="00F33B95"/>
    <w:rsid w:val="00F356F5"/>
    <w:rsid w:val="00F37A36"/>
    <w:rsid w:val="00F40AAC"/>
    <w:rsid w:val="00F41387"/>
    <w:rsid w:val="00F4452A"/>
    <w:rsid w:val="00F527FD"/>
    <w:rsid w:val="00F5577B"/>
    <w:rsid w:val="00F5793F"/>
    <w:rsid w:val="00F6141E"/>
    <w:rsid w:val="00F63368"/>
    <w:rsid w:val="00F66ECB"/>
    <w:rsid w:val="00F679C1"/>
    <w:rsid w:val="00F72C13"/>
    <w:rsid w:val="00F85CF5"/>
    <w:rsid w:val="00F864BE"/>
    <w:rsid w:val="00F9096A"/>
    <w:rsid w:val="00FA032B"/>
    <w:rsid w:val="00FB54A4"/>
    <w:rsid w:val="00FE396F"/>
    <w:rsid w:val="00FF0CFB"/>
    <w:rsid w:val="02B674E1"/>
    <w:rsid w:val="316D47ED"/>
    <w:rsid w:val="7142413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chartTrackingRefBased/>
  <w15:docId w15:val="{051CC84B-D94F-4701-A175-E18B95142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ID" w:eastAsia="en-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id-ID" w:eastAsia="en-US"/>
    </w:rPr>
  </w:style>
  <w:style w:type="paragraph" w:styleId="Heading1">
    <w:name w:val="heading 1"/>
    <w:basedOn w:val="Normal"/>
    <w:next w:val="Normal"/>
    <w:link w:val="Heading1Char"/>
    <w:uiPriority w:val="9"/>
    <w:qFormat/>
    <w:rsid w:val="000C4333"/>
    <w:pPr>
      <w:keepNext/>
      <w:numPr>
        <w:numId w:val="1"/>
      </w:numPr>
      <w:suppressAutoHyphens/>
      <w:spacing w:after="115" w:line="240" w:lineRule="auto"/>
      <w:ind w:left="1080"/>
      <w:outlineLvl w:val="0"/>
    </w:pPr>
    <w:rPr>
      <w:rFonts w:ascii="Times New Roman" w:eastAsia="Times New Roman" w:hAnsi="Times New Roman"/>
      <w:b/>
      <w:smallCaps/>
      <w:szCs w:val="20"/>
      <w:lang w:eastAsia="zh-CN"/>
    </w:rPr>
  </w:style>
  <w:style w:type="paragraph" w:styleId="Heading2">
    <w:name w:val="heading 2"/>
    <w:basedOn w:val="Normal"/>
    <w:next w:val="Normal"/>
    <w:link w:val="Heading2Char"/>
    <w:uiPriority w:val="9"/>
    <w:unhideWhenUsed/>
    <w:qFormat/>
    <w:rsid w:val="000C4333"/>
    <w:pPr>
      <w:keepNext/>
      <w:spacing w:after="0"/>
      <w:outlineLvl w:val="1"/>
    </w:pPr>
    <w:rPr>
      <w:rFonts w:ascii="Times New Roman" w:eastAsia="Times New Roman" w:hAnsi="Times New Roman"/>
      <w:b/>
      <w:bCs/>
      <w:iCs/>
      <w:szCs w:val="28"/>
    </w:rPr>
  </w:style>
  <w:style w:type="paragraph" w:styleId="Heading3">
    <w:name w:val="heading 3"/>
    <w:basedOn w:val="Normal"/>
    <w:next w:val="Normal"/>
    <w:link w:val="Heading3Char"/>
    <w:uiPriority w:val="9"/>
    <w:semiHidden/>
    <w:unhideWhenUsed/>
    <w:qFormat/>
    <w:rsid w:val="0056231A"/>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56231A"/>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C4333"/>
    <w:rPr>
      <w:rFonts w:ascii="Times New Roman" w:eastAsia="Times New Roman" w:hAnsi="Times New Roman"/>
      <w:b/>
      <w:smallCaps/>
      <w:sz w:val="22"/>
      <w:lang w:val="id-ID" w:eastAsia="zh-CN"/>
    </w:rPr>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link w:val="CommentText"/>
    <w:uiPriority w:val="99"/>
    <w:rPr>
      <w:sz w:val="20"/>
      <w:szCs w:val="20"/>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link w:val="CommentSubject"/>
    <w:uiPriority w:val="99"/>
    <w:semiHidden/>
    <w:qFormat/>
    <w:rPr>
      <w:b/>
      <w:bCs/>
      <w:sz w:val="20"/>
      <w:szCs w:val="20"/>
    </w:rPr>
  </w:style>
  <w:style w:type="character" w:styleId="Emphasis">
    <w:name w:val="Emphasis"/>
    <w:uiPriority w:val="20"/>
    <w:qFormat/>
    <w:rPr>
      <w:i/>
      <w:iC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link w:val="Footer"/>
    <w:uiPriority w:val="99"/>
  </w:style>
  <w:style w:type="character" w:styleId="FootnoteReference">
    <w:name w:val="footnote reference"/>
    <w:uiPriority w:val="99"/>
    <w:unhideWhenUsed/>
    <w:rPr>
      <w:vertAlign w:val="superscript"/>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link w:val="FootnoteText"/>
    <w:uiPriority w:val="99"/>
    <w:semiHidden/>
    <w:qFormat/>
    <w:rPr>
      <w:sz w:val="20"/>
      <w:szCs w:val="20"/>
    </w:rPr>
  </w:style>
  <w:style w:type="paragraph" w:styleId="Header">
    <w:name w:val="header"/>
    <w:basedOn w:val="Normal"/>
    <w:link w:val="HeaderChar"/>
    <w:unhideWhenUsed/>
    <w:qFormat/>
    <w:pPr>
      <w:tabs>
        <w:tab w:val="center" w:pos="4513"/>
        <w:tab w:val="right" w:pos="9026"/>
      </w:tabs>
      <w:spacing w:after="0" w:line="240" w:lineRule="auto"/>
    </w:pPr>
  </w:style>
  <w:style w:type="character" w:customStyle="1" w:styleId="HeaderChar">
    <w:name w:val="Header Char"/>
    <w:link w:val="Header"/>
  </w:style>
  <w:style w:type="paragraph" w:styleId="HTMLPreformatted">
    <w:name w:val="HTML Preformatted"/>
    <w:basedOn w:val="Normal"/>
    <w:link w:val="HTMLPreformattedChar"/>
    <w:uiPriority w:val="99"/>
    <w:unhideWhenUsed/>
    <w:pPr>
      <w:spacing w:after="0" w:line="240" w:lineRule="auto"/>
    </w:pPr>
    <w:rPr>
      <w:rFonts w:ascii="Consolas" w:hAnsi="Consolas"/>
      <w:sz w:val="20"/>
      <w:szCs w:val="20"/>
    </w:rPr>
  </w:style>
  <w:style w:type="character" w:customStyle="1" w:styleId="HTMLPreformattedChar">
    <w:name w:val="HTML Preformatted Char"/>
    <w:link w:val="HTMLPreformatted"/>
    <w:uiPriority w:val="99"/>
    <w:semiHidden/>
    <w:rPr>
      <w:rFonts w:ascii="Consolas" w:hAnsi="Consolas"/>
      <w:sz w:val="20"/>
      <w:szCs w:val="20"/>
    </w:rPr>
  </w:style>
  <w:style w:type="character" w:styleId="Hyperlink">
    <w:name w:val="Hyperlink"/>
    <w:uiPriority w:val="99"/>
    <w:unhideWhenUsed/>
    <w:rPr>
      <w:color w:val="0000FF"/>
      <w:u w:val="single"/>
    </w:rPr>
  </w:style>
  <w:style w:type="table" w:styleId="TableGrid">
    <w:name w:val="Table Grid"/>
    <w:basedOn w:val="TableNormal"/>
    <w:rPr>
      <w:rFonts w:ascii="Times New Roman" w:eastAsia="Times New Roman" w:hAnsi="Times New Roman"/>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shorttext">
    <w:name w:val="short_text"/>
  </w:style>
  <w:style w:type="table" w:customStyle="1" w:styleId="PlainTable21">
    <w:name w:val="Plain Table 21"/>
    <w:basedOn w:val="TableNormal"/>
    <w:uiPriority w:val="42"/>
    <w:tblPr>
      <w:tblInd w:w="0" w:type="dxa"/>
      <w:tblBorders>
        <w:top w:val="single" w:sz="4" w:space="0" w:color="7E7E7E"/>
        <w:bottom w:val="single" w:sz="4" w:space="0" w:color="7E7E7E"/>
      </w:tblBorders>
      <w:tblCellMar>
        <w:top w:w="0" w:type="dxa"/>
        <w:left w:w="108" w:type="dxa"/>
        <w:bottom w:w="0" w:type="dxa"/>
        <w:right w:w="108" w:type="dxa"/>
      </w:tblCellMar>
    </w:tblPr>
    <w:tblStylePr w:type="firstRow">
      <w:rPr>
        <w:b/>
        <w:bCs/>
      </w:rPr>
      <w:tblPr/>
      <w:tcPr>
        <w:tcBorders>
          <w:top w:val="nil"/>
          <w:left w:val="single" w:sz="4" w:space="0" w:color="7E7E7E"/>
          <w:bottom w:val="nil"/>
          <w:right w:val="nil"/>
          <w:insideH w:val="nil"/>
          <w:insideV w:val="nil"/>
          <w:tl2br w:val="nil"/>
          <w:tr2bl w:val="nil"/>
        </w:tcBorders>
      </w:tcPr>
    </w:tblStylePr>
    <w:tblStylePr w:type="lastRow">
      <w:rPr>
        <w:b/>
        <w:bCs/>
      </w:rPr>
      <w:tblPr/>
      <w:tcPr>
        <w:tcBorders>
          <w:top w:val="single" w:sz="4" w:space="0" w:color="7E7E7E"/>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single" w:sz="4" w:space="0" w:color="7E7E7E"/>
          <w:right w:val="single" w:sz="4" w:space="0" w:color="7E7E7E"/>
          <w:insideH w:val="nil"/>
          <w:insideV w:val="nil"/>
          <w:tl2br w:val="nil"/>
          <w:tr2bl w:val="nil"/>
        </w:tcBorders>
      </w:tcPr>
    </w:tblStylePr>
    <w:tblStylePr w:type="band2Vert">
      <w:tblPr/>
      <w:tcPr>
        <w:tcBorders>
          <w:top w:val="nil"/>
          <w:left w:val="nil"/>
          <w:bottom w:val="single" w:sz="4" w:space="0" w:color="7E7E7E"/>
          <w:right w:val="single" w:sz="4" w:space="0" w:color="7E7E7E"/>
          <w:insideH w:val="nil"/>
          <w:insideV w:val="nil"/>
          <w:tl2br w:val="nil"/>
          <w:tr2bl w:val="nil"/>
        </w:tcBorders>
      </w:tcPr>
    </w:tblStylePr>
    <w:tblStylePr w:type="band1Horz">
      <w:tblPr/>
      <w:tcPr>
        <w:tcBorders>
          <w:top w:val="single" w:sz="4" w:space="0" w:color="7E7E7E"/>
          <w:left w:val="single" w:sz="4" w:space="0" w:color="7E7E7E"/>
          <w:bottom w:val="nil"/>
          <w:right w:val="nil"/>
          <w:insideH w:val="nil"/>
          <w:insideV w:val="nil"/>
          <w:tl2br w:val="nil"/>
          <w:tr2bl w:val="nil"/>
        </w:tcBorders>
      </w:tcPr>
    </w:tblStylePr>
  </w:style>
  <w:style w:type="character" w:customStyle="1" w:styleId="Mention1">
    <w:name w:val="Mention1"/>
    <w:uiPriority w:val="99"/>
    <w:unhideWhenUsed/>
    <w:qFormat/>
    <w:rPr>
      <w:color w:val="2B579A"/>
      <w:shd w:val="clear" w:color="auto" w:fill="E6E6E6"/>
    </w:rPr>
  </w:style>
  <w:style w:type="character" w:styleId="PlaceholderText">
    <w:name w:val="Placeholder Text"/>
    <w:uiPriority w:val="99"/>
    <w:semiHidden/>
    <w:rPr>
      <w:color w:val="808080"/>
    </w:rPr>
  </w:style>
  <w:style w:type="paragraph" w:customStyle="1" w:styleId="JSKReferenceItem">
    <w:name w:val="JSK Reference Item"/>
    <w:basedOn w:val="Normal"/>
    <w:pPr>
      <w:numPr>
        <w:numId w:val="2"/>
      </w:numPr>
      <w:tabs>
        <w:tab w:val="left" w:pos="432"/>
      </w:tabs>
      <w:suppressAutoHyphens/>
      <w:snapToGrid w:val="0"/>
      <w:spacing w:after="0" w:line="240" w:lineRule="auto"/>
      <w:jc w:val="both"/>
    </w:pPr>
    <w:rPr>
      <w:rFonts w:ascii="Times New Roman" w:eastAsia="Times New Roman" w:hAnsi="Times New Roman"/>
      <w:sz w:val="16"/>
      <w:szCs w:val="24"/>
      <w:lang w:eastAsia="zh-CN"/>
    </w:rPr>
  </w:style>
  <w:style w:type="paragraph" w:styleId="Bibliography">
    <w:name w:val="Bibliography"/>
    <w:basedOn w:val="Normal"/>
    <w:next w:val="Normal"/>
    <w:uiPriority w:val="37"/>
    <w:unhideWhenUsed/>
    <w:pPr>
      <w:spacing w:after="160" w:line="256" w:lineRule="auto"/>
    </w:pPr>
    <w:rPr>
      <w:lang w:val="en-US"/>
    </w:rPr>
  </w:style>
  <w:style w:type="table" w:styleId="GridTable1Light">
    <w:name w:val="Grid Table 1 Light"/>
    <w:basedOn w:val="TableNormal"/>
    <w:uiPriority w:val="46"/>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top w:val="nil"/>
          <w:left w:val="single" w:sz="12" w:space="0" w:color="666666"/>
          <w:bottom w:val="nil"/>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styleId="ListTable6Colorful">
    <w:name w:val="List Table 6 Colorful"/>
    <w:basedOn w:val="TableNormal"/>
    <w:uiPriority w:val="51"/>
    <w:rPr>
      <w:color w:val="000000"/>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top w:val="nil"/>
          <w:left w:val="single" w:sz="4" w:space="0" w:color="000000"/>
          <w:bottom w:val="nil"/>
          <w:right w:val="nil"/>
          <w:insideH w:val="nil"/>
          <w:insideV w:val="nil"/>
          <w:tl2br w:val="nil"/>
          <w:tr2bl w:val="nil"/>
        </w:tcBorders>
      </w:tcPr>
    </w:tblStylePr>
    <w:tblStylePr w:type="lastRow">
      <w:rPr>
        <w:b/>
        <w:bCs/>
      </w:rPr>
      <w:tblPr/>
      <w:tcPr>
        <w:tcBorders>
          <w:top w:val="double" w:sz="4" w:space="0" w:color="00000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NoSpacing">
    <w:name w:val="No Spacing"/>
    <w:uiPriority w:val="1"/>
    <w:qFormat/>
    <w:rPr>
      <w:sz w:val="22"/>
      <w:szCs w:val="22"/>
      <w:lang w:val="id-ID" w:eastAsia="en-US"/>
    </w:rPr>
  </w:style>
  <w:style w:type="character" w:customStyle="1" w:styleId="Heading2Char">
    <w:name w:val="Heading 2 Char"/>
    <w:link w:val="Heading2"/>
    <w:uiPriority w:val="9"/>
    <w:rsid w:val="000C4333"/>
    <w:rPr>
      <w:rFonts w:ascii="Times New Roman" w:eastAsia="Times New Roman" w:hAnsi="Times New Roman" w:cs="Times New Roman"/>
      <w:b/>
      <w:bCs/>
      <w:iCs/>
      <w:sz w:val="22"/>
      <w:szCs w:val="28"/>
      <w:lang w:val="id-ID" w:eastAsia="en-US"/>
    </w:rPr>
  </w:style>
  <w:style w:type="character" w:customStyle="1" w:styleId="Heading3Char">
    <w:name w:val="Heading 3 Char"/>
    <w:basedOn w:val="DefaultParagraphFont"/>
    <w:link w:val="Heading3"/>
    <w:uiPriority w:val="9"/>
    <w:semiHidden/>
    <w:rsid w:val="0056231A"/>
    <w:rPr>
      <w:rFonts w:asciiTheme="majorHAnsi" w:eastAsiaTheme="majorEastAsia" w:hAnsiTheme="majorHAnsi" w:cstheme="majorBidi"/>
      <w:b/>
      <w:bCs/>
      <w:sz w:val="26"/>
      <w:szCs w:val="26"/>
      <w:lang w:val="id-ID" w:eastAsia="en-US"/>
    </w:rPr>
  </w:style>
  <w:style w:type="character" w:customStyle="1" w:styleId="Heading4Char">
    <w:name w:val="Heading 4 Char"/>
    <w:basedOn w:val="DefaultParagraphFont"/>
    <w:link w:val="Heading4"/>
    <w:uiPriority w:val="9"/>
    <w:semiHidden/>
    <w:rsid w:val="0056231A"/>
    <w:rPr>
      <w:rFonts w:asciiTheme="minorHAnsi" w:eastAsiaTheme="minorEastAsia" w:hAnsiTheme="minorHAnsi" w:cstheme="minorBidi"/>
      <w:b/>
      <w:bCs/>
      <w:sz w:val="28"/>
      <w:szCs w:val="28"/>
      <w:lang w:val="id-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266598">
      <w:bodyDiv w:val="1"/>
      <w:marLeft w:val="0"/>
      <w:marRight w:val="0"/>
      <w:marTop w:val="0"/>
      <w:marBottom w:val="0"/>
      <w:divBdr>
        <w:top w:val="none" w:sz="0" w:space="0" w:color="auto"/>
        <w:left w:val="none" w:sz="0" w:space="0" w:color="auto"/>
        <w:bottom w:val="none" w:sz="0" w:space="0" w:color="auto"/>
        <w:right w:val="none" w:sz="0" w:space="0" w:color="auto"/>
      </w:divBdr>
    </w:div>
    <w:div w:id="746342195">
      <w:bodyDiv w:val="1"/>
      <w:marLeft w:val="0"/>
      <w:marRight w:val="0"/>
      <w:marTop w:val="0"/>
      <w:marBottom w:val="0"/>
      <w:divBdr>
        <w:top w:val="none" w:sz="0" w:space="0" w:color="auto"/>
        <w:left w:val="none" w:sz="0" w:space="0" w:color="auto"/>
        <w:bottom w:val="none" w:sz="0" w:space="0" w:color="auto"/>
        <w:right w:val="none" w:sz="0" w:space="0" w:color="auto"/>
      </w:divBdr>
    </w:div>
    <w:div w:id="1001160058">
      <w:bodyDiv w:val="1"/>
      <w:marLeft w:val="0"/>
      <w:marRight w:val="0"/>
      <w:marTop w:val="0"/>
      <w:marBottom w:val="0"/>
      <w:divBdr>
        <w:top w:val="none" w:sz="0" w:space="0" w:color="auto"/>
        <w:left w:val="none" w:sz="0" w:space="0" w:color="auto"/>
        <w:bottom w:val="none" w:sz="0" w:space="0" w:color="auto"/>
        <w:right w:val="none" w:sz="0" w:space="0" w:color="auto"/>
      </w:divBdr>
    </w:div>
    <w:div w:id="1416823057">
      <w:bodyDiv w:val="1"/>
      <w:marLeft w:val="0"/>
      <w:marRight w:val="0"/>
      <w:marTop w:val="0"/>
      <w:marBottom w:val="0"/>
      <w:divBdr>
        <w:top w:val="none" w:sz="0" w:space="0" w:color="auto"/>
        <w:left w:val="none" w:sz="0" w:space="0" w:color="auto"/>
        <w:bottom w:val="none" w:sz="0" w:space="0" w:color="auto"/>
        <w:right w:val="none" w:sz="0" w:space="0" w:color="auto"/>
      </w:divBdr>
      <w:divsChild>
        <w:div w:id="1691829862">
          <w:marLeft w:val="0"/>
          <w:marRight w:val="0"/>
          <w:marTop w:val="0"/>
          <w:marBottom w:val="0"/>
          <w:divBdr>
            <w:top w:val="none" w:sz="0" w:space="0" w:color="auto"/>
            <w:left w:val="none" w:sz="0" w:space="0" w:color="auto"/>
            <w:bottom w:val="none" w:sz="0" w:space="0" w:color="auto"/>
            <w:right w:val="none" w:sz="0" w:space="0" w:color="auto"/>
          </w:divBdr>
          <w:divsChild>
            <w:div w:id="1477990846">
              <w:marLeft w:val="0"/>
              <w:marRight w:val="0"/>
              <w:marTop w:val="0"/>
              <w:marBottom w:val="0"/>
              <w:divBdr>
                <w:top w:val="none" w:sz="0" w:space="0" w:color="auto"/>
                <w:left w:val="none" w:sz="0" w:space="0" w:color="auto"/>
                <w:bottom w:val="none" w:sz="0" w:space="0" w:color="auto"/>
                <w:right w:val="none" w:sz="0" w:space="0" w:color="auto"/>
              </w:divBdr>
              <w:divsChild>
                <w:div w:id="1625622838">
                  <w:marLeft w:val="0"/>
                  <w:marRight w:val="0"/>
                  <w:marTop w:val="0"/>
                  <w:marBottom w:val="0"/>
                  <w:divBdr>
                    <w:top w:val="none" w:sz="0" w:space="0" w:color="auto"/>
                    <w:left w:val="none" w:sz="0" w:space="0" w:color="auto"/>
                    <w:bottom w:val="none" w:sz="0" w:space="0" w:color="auto"/>
                    <w:right w:val="none" w:sz="0" w:space="0" w:color="auto"/>
                  </w:divBdr>
                  <w:divsChild>
                    <w:div w:id="1162814412">
                      <w:marLeft w:val="0"/>
                      <w:marRight w:val="0"/>
                      <w:marTop w:val="0"/>
                      <w:marBottom w:val="0"/>
                      <w:divBdr>
                        <w:top w:val="none" w:sz="0" w:space="0" w:color="auto"/>
                        <w:left w:val="none" w:sz="0" w:space="0" w:color="auto"/>
                        <w:bottom w:val="none" w:sz="0" w:space="0" w:color="auto"/>
                        <w:right w:val="none" w:sz="0" w:space="0" w:color="auto"/>
                      </w:divBdr>
                      <w:divsChild>
                        <w:div w:id="1166095749">
                          <w:marLeft w:val="0"/>
                          <w:marRight w:val="0"/>
                          <w:marTop w:val="0"/>
                          <w:marBottom w:val="0"/>
                          <w:divBdr>
                            <w:top w:val="none" w:sz="0" w:space="0" w:color="auto"/>
                            <w:left w:val="none" w:sz="0" w:space="0" w:color="auto"/>
                            <w:bottom w:val="none" w:sz="0" w:space="0" w:color="auto"/>
                            <w:right w:val="none" w:sz="0" w:space="0" w:color="auto"/>
                          </w:divBdr>
                          <w:divsChild>
                            <w:div w:id="314996242">
                              <w:marLeft w:val="0"/>
                              <w:marRight w:val="0"/>
                              <w:marTop w:val="0"/>
                              <w:marBottom w:val="0"/>
                              <w:divBdr>
                                <w:top w:val="none" w:sz="0" w:space="0" w:color="auto"/>
                                <w:left w:val="none" w:sz="0" w:space="0" w:color="auto"/>
                                <w:bottom w:val="none" w:sz="0" w:space="0" w:color="auto"/>
                                <w:right w:val="none" w:sz="0" w:space="0" w:color="auto"/>
                              </w:divBdr>
                              <w:divsChild>
                                <w:div w:id="1307205362">
                                  <w:marLeft w:val="0"/>
                                  <w:marRight w:val="0"/>
                                  <w:marTop w:val="0"/>
                                  <w:marBottom w:val="0"/>
                                  <w:divBdr>
                                    <w:top w:val="none" w:sz="0" w:space="0" w:color="auto"/>
                                    <w:left w:val="none" w:sz="0" w:space="0" w:color="auto"/>
                                    <w:bottom w:val="none" w:sz="0" w:space="0" w:color="auto"/>
                                    <w:right w:val="none" w:sz="0" w:space="0" w:color="auto"/>
                                  </w:divBdr>
                                  <w:divsChild>
                                    <w:div w:id="1690983826">
                                      <w:marLeft w:val="0"/>
                                      <w:marRight w:val="0"/>
                                      <w:marTop w:val="0"/>
                                      <w:marBottom w:val="0"/>
                                      <w:divBdr>
                                        <w:top w:val="none" w:sz="0" w:space="0" w:color="auto"/>
                                        <w:left w:val="none" w:sz="0" w:space="0" w:color="auto"/>
                                        <w:bottom w:val="none" w:sz="0" w:space="0" w:color="auto"/>
                                        <w:right w:val="none" w:sz="0" w:space="0" w:color="auto"/>
                                      </w:divBdr>
                                      <w:divsChild>
                                        <w:div w:id="1731422458">
                                          <w:marLeft w:val="0"/>
                                          <w:marRight w:val="0"/>
                                          <w:marTop w:val="0"/>
                                          <w:marBottom w:val="0"/>
                                          <w:divBdr>
                                            <w:top w:val="none" w:sz="0" w:space="0" w:color="auto"/>
                                            <w:left w:val="none" w:sz="0" w:space="0" w:color="auto"/>
                                            <w:bottom w:val="none" w:sz="0" w:space="0" w:color="auto"/>
                                            <w:right w:val="none" w:sz="0" w:space="0" w:color="auto"/>
                                          </w:divBdr>
                                          <w:divsChild>
                                            <w:div w:id="956525558">
                                              <w:marLeft w:val="0"/>
                                              <w:marRight w:val="0"/>
                                              <w:marTop w:val="0"/>
                                              <w:marBottom w:val="0"/>
                                              <w:divBdr>
                                                <w:top w:val="none" w:sz="0" w:space="0" w:color="auto"/>
                                                <w:left w:val="none" w:sz="0" w:space="0" w:color="auto"/>
                                                <w:bottom w:val="none" w:sz="0" w:space="0" w:color="auto"/>
                                                <w:right w:val="none" w:sz="0" w:space="0" w:color="auto"/>
                                              </w:divBdr>
                                              <w:divsChild>
                                                <w:div w:id="1950157633">
                                                  <w:marLeft w:val="0"/>
                                                  <w:marRight w:val="0"/>
                                                  <w:marTop w:val="0"/>
                                                  <w:marBottom w:val="0"/>
                                                  <w:divBdr>
                                                    <w:top w:val="none" w:sz="0" w:space="0" w:color="auto"/>
                                                    <w:left w:val="none" w:sz="0" w:space="0" w:color="auto"/>
                                                    <w:bottom w:val="none" w:sz="0" w:space="0" w:color="auto"/>
                                                    <w:right w:val="none" w:sz="0" w:space="0" w:color="auto"/>
                                                  </w:divBdr>
                                                  <w:divsChild>
                                                    <w:div w:id="1318458079">
                                                      <w:marLeft w:val="0"/>
                                                      <w:marRight w:val="0"/>
                                                      <w:marTop w:val="0"/>
                                                      <w:marBottom w:val="0"/>
                                                      <w:divBdr>
                                                        <w:top w:val="none" w:sz="0" w:space="0" w:color="auto"/>
                                                        <w:left w:val="none" w:sz="0" w:space="0" w:color="auto"/>
                                                        <w:bottom w:val="none" w:sz="0" w:space="0" w:color="auto"/>
                                                        <w:right w:val="none" w:sz="0" w:space="0" w:color="auto"/>
                                                      </w:divBdr>
                                                      <w:divsChild>
                                                        <w:div w:id="59404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46354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itisariwibowo3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9813B40D-FCDB-4F6B-887C-4CDDF7AC3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7245</Words>
  <Characters>41299</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48448</CharactersWithSpaces>
  <SharedDoc>false</SharedDoc>
  <HLinks>
    <vt:vector size="6" baseType="variant">
      <vt:variant>
        <vt:i4>2031675</vt:i4>
      </vt:variant>
      <vt:variant>
        <vt:i4>0</vt:i4>
      </vt:variant>
      <vt:variant>
        <vt:i4>0</vt:i4>
      </vt:variant>
      <vt:variant>
        <vt:i4>5</vt:i4>
      </vt:variant>
      <vt:variant>
        <vt:lpwstr>mailto:xxxxxx@gmail.com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marssy</dc:creator>
  <cp:keywords/>
  <cp:lastModifiedBy>Microsoft account</cp:lastModifiedBy>
  <cp:revision>7</cp:revision>
  <cp:lastPrinted>2024-06-10T07:48:00Z</cp:lastPrinted>
  <dcterms:created xsi:type="dcterms:W3CDTF">2024-12-20T04:40:00Z</dcterms:created>
  <dcterms:modified xsi:type="dcterms:W3CDTF">2024-12-20T12:28:00Z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4fd11741-805f-3139-9a7a-e2cb9630876f</vt:lpwstr>
  </property>
  <property fmtid="{D5CDD505-2E9C-101B-9397-08002B2CF9AE}" pid="4" name="Mendeley Citation Style_1">
    <vt:lpwstr>http://www.zotero.org/styles/ieee</vt:lpwstr>
  </property>
  <property fmtid="{D5CDD505-2E9C-101B-9397-08002B2CF9AE}" pid="5" name="Mendeley Recent Style Id 0_1">
    <vt:lpwstr>http://www.zotero.org/styles/aip-advances</vt:lpwstr>
  </property>
  <property fmtid="{D5CDD505-2E9C-101B-9397-08002B2CF9AE}" pid="6" name="Mendeley Recent Style Name 0_1">
    <vt:lpwstr>AIP Advances</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17th edition (full note)</vt:lpwstr>
  </property>
  <property fmtid="{D5CDD505-2E9C-101B-9397-08002B2CF9AE}" pid="13" name="Mendeley Recent Style Id 4_1">
    <vt:lpwstr>http://www.zotero.org/styles/chicago-note-bibliography</vt:lpwstr>
  </property>
  <property fmtid="{D5CDD505-2E9C-101B-9397-08002B2CF9AE}" pid="14" name="Mendeley Recent Style Name 4_1">
    <vt:lpwstr>Chicago Manual of Style 17th edition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http://www.zotero.org/styles/e3s-web-of-conferences</vt:lpwstr>
  </property>
  <property fmtid="{D5CDD505-2E9C-101B-9397-08002B2CF9AE}" pid="18" name="Mendeley Recent Style Name 6_1">
    <vt:lpwstr>E3S Web of Conferences</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http://www.zotero.org/styles/taylor-and-francis-aip</vt:lpwstr>
  </property>
  <property fmtid="{D5CDD505-2E9C-101B-9397-08002B2CF9AE}" pid="22" name="Mendeley Recent Style Name 8_1">
    <vt:lpwstr>Taylor &amp; Francis - American Institute of Physics</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KSOProductBuildVer">
    <vt:lpwstr>1033-12.2.0.16909</vt:lpwstr>
  </property>
  <property fmtid="{D5CDD505-2E9C-101B-9397-08002B2CF9AE}" pid="26" name="ICV">
    <vt:lpwstr>FE3DFFE95B7849FF85A402C19E429C84_13</vt:lpwstr>
  </property>
</Properties>
</file>