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47C" w:rsidRDefault="0075247C">
      <w:pPr>
        <w:spacing w:after="0" w:line="240" w:lineRule="auto"/>
        <w:jc w:val="center"/>
        <w:rPr>
          <w:rFonts w:ascii="Times New Roman" w:hAnsi="Times New Roman"/>
          <w:color w:val="FF0000"/>
          <w:lang w:val="en-US"/>
        </w:rPr>
      </w:pPr>
      <w:r>
        <w:rPr>
          <w:rFonts w:ascii="Times New Roman" w:hAnsi="Times New Roman"/>
          <w:color w:val="FF0000"/>
          <w:lang w:val="en-US"/>
        </w:rPr>
        <w:t>http://ejournal.stipjakarta.ac.id</w:t>
      </w:r>
    </w:p>
    <w:tbl>
      <w:tblPr>
        <w:tblW w:w="9639" w:type="dxa"/>
        <w:jc w:val="center"/>
        <w:tblLook w:val="0000" w:firstRow="0" w:lastRow="0" w:firstColumn="0" w:lastColumn="0" w:noHBand="0" w:noVBand="0"/>
      </w:tblPr>
      <w:tblGrid>
        <w:gridCol w:w="1968"/>
        <w:gridCol w:w="7671"/>
      </w:tblGrid>
      <w:tr w:rsidR="0075247C" w:rsidRPr="00B621A6" w:rsidTr="00B621A6">
        <w:trPr>
          <w:trHeight w:val="1321"/>
          <w:jc w:val="center"/>
        </w:trPr>
        <w:tc>
          <w:tcPr>
            <w:tcW w:w="1560" w:type="dxa"/>
            <w:tcBorders>
              <w:bottom w:val="single" w:sz="4" w:space="0" w:color="7E7E7E"/>
            </w:tcBorders>
            <w:shd w:val="clear" w:color="auto" w:fill="D8D8D8"/>
            <w:vAlign w:val="center"/>
          </w:tcPr>
          <w:p w:rsidR="0075247C" w:rsidRPr="00B621A6" w:rsidRDefault="0067472B" w:rsidP="00B621A6">
            <w:pPr>
              <w:autoSpaceDE w:val="0"/>
              <w:autoSpaceDN w:val="0"/>
              <w:adjustRightInd w:val="0"/>
              <w:spacing w:after="0" w:line="240" w:lineRule="auto"/>
              <w:jc w:val="center"/>
              <w:rPr>
                <w:rFonts w:ascii="Times New Roman" w:hAnsi="Times New Roman"/>
                <w:b/>
                <w:bCs/>
                <w:lang w:eastAsia="id-ID"/>
              </w:rPr>
            </w:pPr>
            <w:bookmarkStart w:id="0" w:name="_Hlk480318415"/>
            <w:r w:rsidRPr="00B621A6">
              <w:rPr>
                <w:rFonts w:ascii="Times New Roman" w:hAnsi="Times New Roman"/>
                <w:b/>
                <w:bCs/>
                <w:noProof/>
                <w:lang w:val="en-ID" w:eastAsia="en-ID"/>
              </w:rPr>
              <w:drawing>
                <wp:inline distT="0" distB="0" distL="0" distR="0">
                  <wp:extent cx="1112520" cy="887095"/>
                  <wp:effectExtent l="0" t="0" r="0" b="825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520" cy="887095"/>
                          </a:xfrm>
                          <a:prstGeom prst="rect">
                            <a:avLst/>
                          </a:prstGeom>
                          <a:noFill/>
                          <a:ln>
                            <a:noFill/>
                          </a:ln>
                        </pic:spPr>
                      </pic:pic>
                    </a:graphicData>
                  </a:graphic>
                </wp:inline>
              </w:drawing>
            </w:r>
          </w:p>
        </w:tc>
        <w:tc>
          <w:tcPr>
            <w:tcW w:w="8079" w:type="dxa"/>
            <w:tcBorders>
              <w:bottom w:val="single" w:sz="4" w:space="0" w:color="7E7E7E"/>
            </w:tcBorders>
            <w:shd w:val="clear" w:color="auto" w:fill="D8D8D8"/>
            <w:vAlign w:val="center"/>
          </w:tcPr>
          <w:p w:rsidR="0075247C" w:rsidRPr="00B621A6" w:rsidRDefault="0075247C" w:rsidP="00B621A6">
            <w:pPr>
              <w:autoSpaceDE w:val="0"/>
              <w:autoSpaceDN w:val="0"/>
              <w:adjustRightInd w:val="0"/>
              <w:spacing w:after="0" w:line="240" w:lineRule="auto"/>
              <w:ind w:left="-90"/>
              <w:jc w:val="center"/>
              <w:rPr>
                <w:rFonts w:ascii="Times New Roman" w:eastAsia="Calibri" w:hAnsi="Times New Roman"/>
                <w:bCs/>
                <w:i/>
                <w:color w:val="1F497D"/>
                <w:sz w:val="66"/>
                <w:szCs w:val="66"/>
                <w:lang w:val="en-US"/>
              </w:rPr>
            </w:pPr>
            <w:r w:rsidRPr="00B621A6">
              <w:rPr>
                <w:rFonts w:ascii="Times New Roman" w:eastAsia="Calibri" w:hAnsi="Times New Roman"/>
                <w:bCs/>
                <w:i/>
                <w:color w:val="1F497D"/>
                <w:sz w:val="66"/>
                <w:szCs w:val="66"/>
                <w:lang w:val="en-US"/>
              </w:rPr>
              <w:t>METEOR STIP MARUNDA</w:t>
            </w:r>
          </w:p>
        </w:tc>
      </w:tr>
      <w:tr w:rsidR="0075247C" w:rsidRPr="00B621A6" w:rsidTr="00B621A6">
        <w:trPr>
          <w:trHeight w:val="273"/>
          <w:jc w:val="center"/>
        </w:trPr>
        <w:tc>
          <w:tcPr>
            <w:tcW w:w="1560" w:type="dxa"/>
            <w:tcBorders>
              <w:top w:val="single" w:sz="4" w:space="0" w:color="7E7E7E"/>
              <w:bottom w:val="single" w:sz="4" w:space="0" w:color="7E7E7E"/>
            </w:tcBorders>
            <w:shd w:val="clear" w:color="auto" w:fill="D8D8D8"/>
          </w:tcPr>
          <w:p w:rsidR="0075247C" w:rsidRPr="00B621A6"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B621A6">
              <w:rPr>
                <w:rFonts w:ascii="Times New Roman" w:hAnsi="Times New Roman"/>
                <w:bCs/>
                <w:sz w:val="16"/>
                <w:szCs w:val="16"/>
                <w:lang w:val="en-US" w:eastAsia="id-ID"/>
              </w:rPr>
              <w:t>p</w:t>
            </w:r>
            <w:r w:rsidRPr="00B621A6">
              <w:rPr>
                <w:rFonts w:ascii="Times New Roman" w:hAnsi="Times New Roman"/>
                <w:bCs/>
                <w:sz w:val="16"/>
                <w:szCs w:val="16"/>
                <w:lang w:eastAsia="id-ID"/>
              </w:rPr>
              <w:t>ISSN</w:t>
            </w:r>
            <w:r w:rsidRPr="00B621A6">
              <w:rPr>
                <w:rFonts w:ascii="Times New Roman" w:hAnsi="Times New Roman"/>
                <w:bCs/>
                <w:sz w:val="16"/>
                <w:szCs w:val="16"/>
                <w:lang w:val="en-US" w:eastAsia="id-ID"/>
              </w:rPr>
              <w:t xml:space="preserve">  </w:t>
            </w:r>
            <w:r w:rsidRPr="00B621A6">
              <w:rPr>
                <w:rFonts w:ascii="Times New Roman" w:hAnsi="Times New Roman"/>
                <w:bCs/>
                <w:sz w:val="16"/>
                <w:szCs w:val="16"/>
                <w:lang w:eastAsia="id-ID"/>
              </w:rPr>
              <w:t xml:space="preserve"> </w:t>
            </w:r>
            <w:r w:rsidRPr="00B621A6">
              <w:rPr>
                <w:rFonts w:ascii="Times New Roman" w:hAnsi="Times New Roman"/>
                <w:bCs/>
                <w:sz w:val="16"/>
                <w:szCs w:val="16"/>
                <w:lang w:val="en-US" w:eastAsia="id-ID"/>
              </w:rPr>
              <w:t xml:space="preserve"> </w:t>
            </w:r>
            <w:r w:rsidRPr="00B621A6">
              <w:rPr>
                <w:rFonts w:ascii="Times New Roman" w:hAnsi="Times New Roman"/>
                <w:bCs/>
                <w:sz w:val="16"/>
                <w:szCs w:val="16"/>
                <w:lang w:eastAsia="id-ID"/>
              </w:rPr>
              <w:t>: 1</w:t>
            </w:r>
            <w:r w:rsidRPr="00B621A6">
              <w:rPr>
                <w:rFonts w:ascii="Times New Roman" w:hAnsi="Times New Roman"/>
                <w:bCs/>
                <w:sz w:val="16"/>
                <w:szCs w:val="16"/>
                <w:lang w:val="en-US" w:eastAsia="id-ID"/>
              </w:rPr>
              <w:t>979 – 4746</w:t>
            </w:r>
          </w:p>
          <w:p w:rsidR="0075247C" w:rsidRPr="00B621A6"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B621A6">
              <w:rPr>
                <w:rFonts w:ascii="Times New Roman" w:hAnsi="Times New Roman"/>
                <w:bCs/>
                <w:sz w:val="16"/>
                <w:szCs w:val="16"/>
                <w:lang w:val="en-US" w:eastAsia="id-ID"/>
              </w:rPr>
              <w:t>eISSN    :  2685 - 4775</w:t>
            </w:r>
          </w:p>
        </w:tc>
        <w:tc>
          <w:tcPr>
            <w:tcW w:w="8079" w:type="dxa"/>
            <w:tcBorders>
              <w:top w:val="single" w:sz="4" w:space="0" w:color="7E7E7E"/>
              <w:bottom w:val="single" w:sz="4" w:space="0" w:color="7E7E7E"/>
            </w:tcBorders>
            <w:shd w:val="clear" w:color="auto" w:fill="D8D8D8"/>
            <w:vAlign w:val="center"/>
          </w:tcPr>
          <w:p w:rsidR="0075247C" w:rsidRPr="00B621A6" w:rsidRDefault="0075247C" w:rsidP="00B621A6">
            <w:pPr>
              <w:autoSpaceDE w:val="0"/>
              <w:autoSpaceDN w:val="0"/>
              <w:adjustRightInd w:val="0"/>
              <w:spacing w:after="0" w:line="240" w:lineRule="auto"/>
              <w:jc w:val="center"/>
              <w:rPr>
                <w:rFonts w:ascii="Times New Roman" w:hAnsi="Times New Roman"/>
                <w:i/>
                <w:color w:val="000080"/>
                <w:sz w:val="160"/>
                <w:szCs w:val="160"/>
                <w:lang w:val="sv-SE"/>
              </w:rPr>
            </w:pPr>
            <w:r w:rsidRPr="00B621A6">
              <w:rPr>
                <w:rFonts w:ascii="Times New Roman" w:eastAsia="Calibri" w:hAnsi="Times New Roman"/>
                <w:b/>
                <w:i/>
                <w:color w:val="1F497D"/>
                <w:sz w:val="24"/>
                <w:szCs w:val="24"/>
                <w:lang w:val="en-US"/>
              </w:rPr>
              <w:t>Maritime Institute of Jakarta</w:t>
            </w:r>
          </w:p>
        </w:tc>
      </w:tr>
      <w:bookmarkEnd w:id="0"/>
    </w:tbl>
    <w:p w:rsidR="0075247C" w:rsidRDefault="0075247C">
      <w:pPr>
        <w:autoSpaceDE w:val="0"/>
        <w:autoSpaceDN w:val="0"/>
        <w:adjustRightInd w:val="0"/>
        <w:spacing w:after="0" w:line="240" w:lineRule="auto"/>
        <w:rPr>
          <w:rFonts w:ascii="Times New Roman" w:hAnsi="Times New Roman"/>
          <w:b/>
          <w:color w:val="000000"/>
        </w:rPr>
      </w:pPr>
    </w:p>
    <w:tbl>
      <w:tblPr>
        <w:tblW w:w="9390" w:type="dxa"/>
        <w:tblInd w:w="108" w:type="dxa"/>
        <w:tblBorders>
          <w:top w:val="single" w:sz="4" w:space="0" w:color="auto"/>
          <w:bottom w:val="single" w:sz="4" w:space="0" w:color="7E7E7E"/>
          <w:insideH w:val="single" w:sz="4" w:space="0" w:color="7E7E7E"/>
          <w:insideV w:val="single" w:sz="4" w:space="0" w:color="7E7E7E"/>
        </w:tblBorders>
        <w:tblLook w:val="0000" w:firstRow="0" w:lastRow="0" w:firstColumn="0" w:lastColumn="0" w:noHBand="0" w:noVBand="0"/>
      </w:tblPr>
      <w:tblGrid>
        <w:gridCol w:w="9390"/>
      </w:tblGrid>
      <w:tr w:rsidR="0075247C" w:rsidRPr="00B621A6" w:rsidTr="00AE4FB9">
        <w:tc>
          <w:tcPr>
            <w:tcW w:w="9390" w:type="dxa"/>
            <w:tcBorders>
              <w:top w:val="single" w:sz="24" w:space="0" w:color="auto"/>
              <w:bottom w:val="single" w:sz="8" w:space="0" w:color="auto"/>
            </w:tcBorders>
            <w:shd w:val="clear" w:color="auto" w:fill="auto"/>
          </w:tcPr>
          <w:p w:rsidR="0075247C" w:rsidRPr="00B621A6" w:rsidRDefault="0075247C" w:rsidP="00B621A6">
            <w:pPr>
              <w:autoSpaceDE w:val="0"/>
              <w:autoSpaceDN w:val="0"/>
              <w:adjustRightInd w:val="0"/>
              <w:spacing w:after="0" w:line="240" w:lineRule="auto"/>
              <w:jc w:val="center"/>
              <w:rPr>
                <w:rFonts w:ascii="Times New Roman" w:eastAsia="Calibri" w:hAnsi="Times New Roman"/>
                <w:bCs/>
              </w:rPr>
            </w:pPr>
          </w:p>
          <w:p w:rsidR="0067472B" w:rsidRPr="0067472B" w:rsidRDefault="0067472B" w:rsidP="0067472B">
            <w:pPr>
              <w:spacing w:after="0" w:line="240" w:lineRule="auto"/>
              <w:jc w:val="center"/>
              <w:rPr>
                <w:rFonts w:ascii="Times New Roman" w:eastAsia="Calibri" w:hAnsi="Times New Roman"/>
                <w:b/>
                <w:bCs/>
                <w:sz w:val="28"/>
                <w:szCs w:val="28"/>
                <w:lang w:val="en-US"/>
              </w:rPr>
            </w:pPr>
            <w:r w:rsidRPr="0067472B">
              <w:rPr>
                <w:rFonts w:ascii="Times New Roman" w:eastAsia="Calibri" w:hAnsi="Times New Roman"/>
                <w:b/>
                <w:bCs/>
                <w:sz w:val="28"/>
                <w:szCs w:val="28"/>
                <w:lang w:val="en-US"/>
              </w:rPr>
              <w:t xml:space="preserve">Transportation Efficiency Based </w:t>
            </w:r>
            <w:r>
              <w:rPr>
                <w:rFonts w:ascii="Times New Roman" w:eastAsia="Calibri" w:hAnsi="Times New Roman"/>
                <w:b/>
                <w:bCs/>
                <w:sz w:val="28"/>
                <w:szCs w:val="28"/>
              </w:rPr>
              <w:t>o</w:t>
            </w:r>
            <w:r w:rsidRPr="0067472B">
              <w:rPr>
                <w:rFonts w:ascii="Times New Roman" w:eastAsia="Calibri" w:hAnsi="Times New Roman"/>
                <w:b/>
                <w:bCs/>
                <w:sz w:val="28"/>
                <w:szCs w:val="28"/>
                <w:lang w:val="en-US"/>
              </w:rPr>
              <w:t xml:space="preserve">n Empowerment </w:t>
            </w:r>
            <w:r>
              <w:rPr>
                <w:rFonts w:ascii="Times New Roman" w:eastAsia="Calibri" w:hAnsi="Times New Roman"/>
                <w:b/>
                <w:bCs/>
                <w:sz w:val="28"/>
                <w:szCs w:val="28"/>
                <w:lang w:val="en-US"/>
              </w:rPr>
              <w:t>o</w:t>
            </w:r>
            <w:r w:rsidRPr="0067472B">
              <w:rPr>
                <w:rFonts w:ascii="Times New Roman" w:eastAsia="Calibri" w:hAnsi="Times New Roman"/>
                <w:b/>
                <w:bCs/>
                <w:sz w:val="28"/>
                <w:szCs w:val="28"/>
                <w:lang w:val="en-US"/>
              </w:rPr>
              <w:t xml:space="preserve">f Private </w:t>
            </w:r>
            <w:r>
              <w:rPr>
                <w:rFonts w:ascii="Times New Roman" w:eastAsia="Calibri" w:hAnsi="Times New Roman"/>
                <w:b/>
                <w:bCs/>
                <w:sz w:val="28"/>
                <w:szCs w:val="28"/>
              </w:rPr>
              <w:t>a</w:t>
            </w:r>
            <w:proofErr w:type="spellStart"/>
            <w:r w:rsidRPr="0067472B">
              <w:rPr>
                <w:rFonts w:ascii="Times New Roman" w:eastAsia="Calibri" w:hAnsi="Times New Roman"/>
                <w:b/>
                <w:bCs/>
                <w:sz w:val="28"/>
                <w:szCs w:val="28"/>
                <w:lang w:val="en-US"/>
              </w:rPr>
              <w:t>nd</w:t>
            </w:r>
            <w:proofErr w:type="spellEnd"/>
            <w:r w:rsidRPr="0067472B">
              <w:rPr>
                <w:rFonts w:ascii="Times New Roman" w:eastAsia="Calibri" w:hAnsi="Times New Roman"/>
                <w:b/>
                <w:bCs/>
                <w:sz w:val="28"/>
                <w:szCs w:val="28"/>
                <w:lang w:val="en-US"/>
              </w:rPr>
              <w:t xml:space="preserve"> Government Businesses With The Concept </w:t>
            </w:r>
            <w:r w:rsidR="004664FE">
              <w:rPr>
                <w:rFonts w:ascii="Times New Roman" w:eastAsia="Calibri" w:hAnsi="Times New Roman"/>
                <w:b/>
                <w:bCs/>
                <w:sz w:val="28"/>
                <w:szCs w:val="28"/>
              </w:rPr>
              <w:t>o</w:t>
            </w:r>
            <w:r w:rsidRPr="0067472B">
              <w:rPr>
                <w:rFonts w:ascii="Times New Roman" w:eastAsia="Calibri" w:hAnsi="Times New Roman"/>
                <w:b/>
                <w:bCs/>
                <w:sz w:val="28"/>
                <w:szCs w:val="28"/>
                <w:lang w:val="en-US"/>
              </w:rPr>
              <w:t>f Collaboration</w:t>
            </w:r>
          </w:p>
          <w:p w:rsidR="0075247C" w:rsidRPr="00B621A6" w:rsidRDefault="0075247C" w:rsidP="00B621A6">
            <w:pPr>
              <w:autoSpaceDE w:val="0"/>
              <w:autoSpaceDN w:val="0"/>
              <w:adjustRightInd w:val="0"/>
              <w:spacing w:after="0" w:line="240" w:lineRule="auto"/>
              <w:jc w:val="center"/>
              <w:rPr>
                <w:rFonts w:ascii="Times New Roman" w:eastAsia="Calibri" w:hAnsi="Times New Roman"/>
                <w:b/>
                <w:i/>
                <w:iCs/>
              </w:rPr>
            </w:pPr>
          </w:p>
          <w:p w:rsidR="00495A7A" w:rsidRPr="000E2DF9" w:rsidRDefault="0075247C" w:rsidP="00D441B9">
            <w:pPr>
              <w:autoSpaceDE w:val="0"/>
              <w:autoSpaceDN w:val="0"/>
              <w:adjustRightInd w:val="0"/>
              <w:spacing w:after="0" w:line="240" w:lineRule="auto"/>
              <w:jc w:val="center"/>
              <w:rPr>
                <w:rFonts w:ascii="Times New Roman" w:eastAsia="Calibri" w:hAnsi="Times New Roman"/>
                <w:i/>
                <w:lang w:val="en-US"/>
              </w:rPr>
            </w:pPr>
            <w:r w:rsidRPr="000E2DF9">
              <w:rPr>
                <w:rFonts w:ascii="Times New Roman" w:eastAsia="Calibri" w:hAnsi="Times New Roman"/>
                <w:i/>
                <w:vertAlign w:val="superscript"/>
                <w:lang w:val="en-US"/>
              </w:rPr>
              <w:t xml:space="preserve">1 </w:t>
            </w:r>
            <w:proofErr w:type="spellStart"/>
            <w:r w:rsidR="00495A7A" w:rsidRPr="000E2DF9">
              <w:rPr>
                <w:rFonts w:ascii="Times New Roman" w:eastAsia="Calibri" w:hAnsi="Times New Roman"/>
                <w:i/>
                <w:lang w:val="en-US"/>
              </w:rPr>
              <w:t>Romanda</w:t>
            </w:r>
            <w:proofErr w:type="spellEnd"/>
            <w:r w:rsidR="00495A7A" w:rsidRPr="000E2DF9">
              <w:rPr>
                <w:rFonts w:ascii="Times New Roman" w:eastAsia="Calibri" w:hAnsi="Times New Roman"/>
                <w:i/>
                <w:lang w:val="en-US"/>
              </w:rPr>
              <w:t xml:space="preserve"> </w:t>
            </w:r>
            <w:proofErr w:type="spellStart"/>
            <w:r w:rsidR="00495A7A" w:rsidRPr="000E2DF9">
              <w:rPr>
                <w:rFonts w:ascii="Times New Roman" w:eastAsia="Calibri" w:hAnsi="Times New Roman"/>
                <w:i/>
                <w:lang w:val="en-US"/>
              </w:rPr>
              <w:t>Annas</w:t>
            </w:r>
            <w:proofErr w:type="spellEnd"/>
            <w:r w:rsidR="00495A7A" w:rsidRPr="000E2DF9">
              <w:rPr>
                <w:rFonts w:ascii="Times New Roman" w:eastAsia="Calibri" w:hAnsi="Times New Roman"/>
                <w:i/>
                <w:lang w:val="en-US"/>
              </w:rPr>
              <w:t xml:space="preserve"> </w:t>
            </w:r>
            <w:proofErr w:type="spellStart"/>
            <w:r w:rsidR="00495A7A" w:rsidRPr="000E2DF9">
              <w:rPr>
                <w:rFonts w:ascii="Times New Roman" w:eastAsia="Calibri" w:hAnsi="Times New Roman"/>
                <w:i/>
                <w:lang w:val="en-US"/>
              </w:rPr>
              <w:t>Amrullah</w:t>
            </w:r>
            <w:proofErr w:type="spellEnd"/>
            <w:r w:rsidRPr="000E2DF9">
              <w:rPr>
                <w:rFonts w:ascii="Times New Roman" w:eastAsia="Calibri" w:hAnsi="Times New Roman"/>
                <w:i/>
                <w:lang w:val="en-US"/>
              </w:rPr>
              <w:t>,</w:t>
            </w:r>
            <w:r w:rsidR="00D441B9" w:rsidRPr="000E2DF9">
              <w:rPr>
                <w:rFonts w:ascii="Times New Roman" w:eastAsia="Calibri" w:hAnsi="Times New Roman"/>
                <w:i/>
              </w:rPr>
              <w:t xml:space="preserve"> </w:t>
            </w:r>
            <w:r w:rsidR="00D441B9" w:rsidRPr="000E2DF9">
              <w:rPr>
                <w:rFonts w:ascii="Times New Roman" w:eastAsia="Calibri" w:hAnsi="Times New Roman"/>
                <w:i/>
                <w:vertAlign w:val="superscript"/>
                <w:lang w:val="en-US"/>
              </w:rPr>
              <w:t xml:space="preserve">1 </w:t>
            </w:r>
            <w:proofErr w:type="spellStart"/>
            <w:r w:rsidR="00495A7A" w:rsidRPr="000E2DF9">
              <w:rPr>
                <w:rFonts w:ascii="Times New Roman" w:eastAsia="Calibri" w:hAnsi="Times New Roman"/>
                <w:i/>
                <w:lang w:val="en-US"/>
              </w:rPr>
              <w:t>Faris</w:t>
            </w:r>
            <w:proofErr w:type="spellEnd"/>
            <w:r w:rsidR="00495A7A" w:rsidRPr="000E2DF9">
              <w:rPr>
                <w:rFonts w:ascii="Times New Roman" w:eastAsia="Calibri" w:hAnsi="Times New Roman"/>
                <w:i/>
                <w:lang w:val="en-US"/>
              </w:rPr>
              <w:t xml:space="preserve"> Nofandi</w:t>
            </w:r>
            <w:r w:rsidR="00D441B9" w:rsidRPr="000E2DF9">
              <w:rPr>
                <w:rFonts w:ascii="Times New Roman" w:eastAsia="Calibri" w:hAnsi="Times New Roman"/>
                <w:i/>
                <w:lang w:val="en-US"/>
              </w:rPr>
              <w:t>,</w:t>
            </w:r>
            <w:r w:rsidR="00D441B9" w:rsidRPr="000E2DF9">
              <w:rPr>
                <w:rFonts w:ascii="Times New Roman" w:eastAsia="Calibri" w:hAnsi="Times New Roman"/>
                <w:i/>
                <w:vertAlign w:val="superscript"/>
                <w:lang w:val="en-US"/>
              </w:rPr>
              <w:t xml:space="preserve">1 </w:t>
            </w:r>
            <w:proofErr w:type="spellStart"/>
            <w:r w:rsidR="00495A7A" w:rsidRPr="000E2DF9">
              <w:rPr>
                <w:rFonts w:ascii="Times New Roman" w:eastAsia="Calibri" w:hAnsi="Times New Roman"/>
                <w:i/>
                <w:lang w:val="en-US"/>
              </w:rPr>
              <w:t>Agus</w:t>
            </w:r>
            <w:proofErr w:type="spellEnd"/>
            <w:r w:rsidR="00495A7A" w:rsidRPr="000E2DF9">
              <w:rPr>
                <w:rFonts w:ascii="Times New Roman" w:eastAsia="Calibri" w:hAnsi="Times New Roman"/>
                <w:i/>
                <w:lang w:val="en-US"/>
              </w:rPr>
              <w:t xml:space="preserve"> </w:t>
            </w:r>
            <w:proofErr w:type="spellStart"/>
            <w:r w:rsidR="00495A7A" w:rsidRPr="000E2DF9">
              <w:rPr>
                <w:rFonts w:ascii="Times New Roman" w:eastAsia="Calibri" w:hAnsi="Times New Roman"/>
                <w:i/>
                <w:lang w:val="en-US"/>
              </w:rPr>
              <w:t>Dwi</w:t>
            </w:r>
            <w:proofErr w:type="spellEnd"/>
            <w:r w:rsidR="00495A7A" w:rsidRPr="000E2DF9">
              <w:rPr>
                <w:rFonts w:ascii="Times New Roman" w:eastAsia="Calibri" w:hAnsi="Times New Roman"/>
                <w:i/>
                <w:lang w:val="en-US"/>
              </w:rPr>
              <w:t xml:space="preserve"> Santoso</w:t>
            </w:r>
            <w:r w:rsidR="00D441B9" w:rsidRPr="000E2DF9">
              <w:rPr>
                <w:rFonts w:ascii="Times New Roman" w:eastAsia="Calibri" w:hAnsi="Times New Roman"/>
                <w:i/>
                <w:lang w:val="en-US"/>
              </w:rPr>
              <w:t>,</w:t>
            </w:r>
            <w:r w:rsidR="00D441B9" w:rsidRPr="000E2DF9">
              <w:rPr>
                <w:rFonts w:ascii="Times New Roman" w:eastAsia="Calibri" w:hAnsi="Times New Roman"/>
                <w:i/>
                <w:vertAlign w:val="superscript"/>
                <w:lang w:val="en-US"/>
              </w:rPr>
              <w:t>1</w:t>
            </w:r>
            <w:r w:rsidR="00495A7A" w:rsidRPr="000E2DF9">
              <w:rPr>
                <w:rFonts w:ascii="Times New Roman" w:hAnsi="Times New Roman"/>
                <w:i/>
                <w:sz w:val="18"/>
                <w:szCs w:val="18"/>
                <w:lang w:val="en-US"/>
              </w:rPr>
              <w:t xml:space="preserve"> </w:t>
            </w:r>
            <w:proofErr w:type="spellStart"/>
            <w:r w:rsidR="00495A7A" w:rsidRPr="000E2DF9">
              <w:rPr>
                <w:rFonts w:ascii="Times New Roman" w:eastAsia="Calibri" w:hAnsi="Times New Roman"/>
                <w:i/>
                <w:lang w:val="en-US"/>
              </w:rPr>
              <w:t>Arleiny</w:t>
            </w:r>
            <w:proofErr w:type="spellEnd"/>
            <w:r w:rsidR="00D441B9" w:rsidRPr="000E2DF9">
              <w:rPr>
                <w:rFonts w:ascii="Times New Roman" w:eastAsia="Calibri" w:hAnsi="Times New Roman"/>
                <w:i/>
                <w:lang w:val="en-US"/>
              </w:rPr>
              <w:t>,</w:t>
            </w:r>
          </w:p>
          <w:p w:rsidR="00D441B9" w:rsidRPr="000E2DF9" w:rsidRDefault="00D441B9" w:rsidP="00D441B9">
            <w:pPr>
              <w:autoSpaceDE w:val="0"/>
              <w:autoSpaceDN w:val="0"/>
              <w:adjustRightInd w:val="0"/>
              <w:spacing w:after="0" w:line="240" w:lineRule="auto"/>
              <w:jc w:val="center"/>
              <w:rPr>
                <w:rFonts w:ascii="Times New Roman" w:eastAsia="Calibri" w:hAnsi="Times New Roman"/>
                <w:i/>
                <w:lang w:val="en-US"/>
              </w:rPr>
            </w:pPr>
            <w:r w:rsidRPr="000E2DF9">
              <w:rPr>
                <w:rFonts w:ascii="Times New Roman" w:eastAsia="Calibri" w:hAnsi="Times New Roman"/>
                <w:i/>
              </w:rPr>
              <w:t xml:space="preserve"> </w:t>
            </w:r>
            <w:r w:rsidRPr="000E2DF9">
              <w:rPr>
                <w:rFonts w:ascii="Times New Roman" w:eastAsia="Calibri" w:hAnsi="Times New Roman"/>
                <w:i/>
                <w:vertAlign w:val="superscript"/>
                <w:lang w:val="en-US"/>
              </w:rPr>
              <w:t xml:space="preserve">1 </w:t>
            </w:r>
            <w:proofErr w:type="spellStart"/>
            <w:r w:rsidR="00495A7A" w:rsidRPr="000E2DF9">
              <w:rPr>
                <w:rFonts w:ascii="Times New Roman" w:eastAsia="Calibri" w:hAnsi="Times New Roman"/>
                <w:i/>
                <w:lang w:val="en-US"/>
              </w:rPr>
              <w:t>Saipul</w:t>
            </w:r>
            <w:proofErr w:type="spellEnd"/>
            <w:r w:rsidR="00495A7A" w:rsidRPr="000E2DF9">
              <w:rPr>
                <w:rFonts w:ascii="Times New Roman" w:eastAsia="Calibri" w:hAnsi="Times New Roman"/>
                <w:i/>
                <w:lang w:val="en-US"/>
              </w:rPr>
              <w:t xml:space="preserve"> Imam </w:t>
            </w:r>
            <w:proofErr w:type="spellStart"/>
            <w:r w:rsidR="00495A7A" w:rsidRPr="000E2DF9">
              <w:rPr>
                <w:rFonts w:ascii="Times New Roman" w:eastAsia="Calibri" w:hAnsi="Times New Roman"/>
                <w:i/>
                <w:lang w:val="en-US"/>
              </w:rPr>
              <w:t>Subakti</w:t>
            </w:r>
            <w:proofErr w:type="spellEnd"/>
            <w:r w:rsidRPr="000E2DF9">
              <w:rPr>
                <w:rFonts w:ascii="Times New Roman" w:eastAsia="Calibri" w:hAnsi="Times New Roman"/>
                <w:i/>
                <w:lang w:val="en-US"/>
              </w:rPr>
              <w:t>,</w:t>
            </w:r>
            <w:r w:rsidRPr="000E2DF9">
              <w:rPr>
                <w:rFonts w:ascii="Times New Roman" w:eastAsia="Calibri" w:hAnsi="Times New Roman"/>
                <w:i/>
              </w:rPr>
              <w:t xml:space="preserve"> </w:t>
            </w:r>
            <w:r w:rsidRPr="000E2DF9">
              <w:rPr>
                <w:rFonts w:ascii="Times New Roman" w:eastAsia="Calibri" w:hAnsi="Times New Roman"/>
                <w:i/>
                <w:vertAlign w:val="superscript"/>
                <w:lang w:val="en-US"/>
              </w:rPr>
              <w:t xml:space="preserve">1 </w:t>
            </w:r>
            <w:proofErr w:type="spellStart"/>
            <w:r w:rsidR="00495A7A" w:rsidRPr="000E2DF9">
              <w:rPr>
                <w:rFonts w:ascii="Times New Roman" w:eastAsia="Calibri" w:hAnsi="Times New Roman"/>
                <w:i/>
                <w:lang w:val="en-US"/>
              </w:rPr>
              <w:t>Rizki</w:t>
            </w:r>
            <w:proofErr w:type="spellEnd"/>
            <w:r w:rsidR="00495A7A" w:rsidRPr="000E2DF9">
              <w:rPr>
                <w:rFonts w:ascii="Times New Roman" w:eastAsia="Calibri" w:hAnsi="Times New Roman"/>
                <w:i/>
                <w:lang w:val="en-US"/>
              </w:rPr>
              <w:t xml:space="preserve"> </w:t>
            </w:r>
            <w:proofErr w:type="spellStart"/>
            <w:r w:rsidR="00495A7A" w:rsidRPr="000E2DF9">
              <w:rPr>
                <w:rFonts w:ascii="Times New Roman" w:eastAsia="Calibri" w:hAnsi="Times New Roman"/>
                <w:i/>
                <w:lang w:val="en-US"/>
              </w:rPr>
              <w:t>Adi</w:t>
            </w:r>
            <w:proofErr w:type="spellEnd"/>
            <w:r w:rsidR="00495A7A" w:rsidRPr="000E2DF9">
              <w:rPr>
                <w:rFonts w:ascii="Times New Roman" w:eastAsia="Calibri" w:hAnsi="Times New Roman"/>
                <w:i/>
                <w:lang w:val="en-US"/>
              </w:rPr>
              <w:t xml:space="preserve"> </w:t>
            </w:r>
            <w:proofErr w:type="spellStart"/>
            <w:r w:rsidR="00495A7A" w:rsidRPr="000E2DF9">
              <w:rPr>
                <w:rFonts w:ascii="Times New Roman" w:eastAsia="Calibri" w:hAnsi="Times New Roman"/>
                <w:i/>
                <w:lang w:val="en-US"/>
              </w:rPr>
              <w:t>Pratama</w:t>
            </w:r>
            <w:proofErr w:type="spellEnd"/>
          </w:p>
          <w:p w:rsidR="00D441B9" w:rsidRPr="000E2DF9" w:rsidRDefault="00D441B9" w:rsidP="00D441B9">
            <w:pPr>
              <w:autoSpaceDE w:val="0"/>
              <w:autoSpaceDN w:val="0"/>
              <w:adjustRightInd w:val="0"/>
              <w:spacing w:after="0" w:line="240" w:lineRule="auto"/>
              <w:jc w:val="center"/>
              <w:rPr>
                <w:rFonts w:ascii="Times New Roman" w:eastAsia="Calibri" w:hAnsi="Times New Roman"/>
                <w:i/>
              </w:rPr>
            </w:pPr>
          </w:p>
          <w:p w:rsidR="0075247C" w:rsidRPr="00B621A6" w:rsidRDefault="0075247C" w:rsidP="00B621A6">
            <w:pPr>
              <w:autoSpaceDE w:val="0"/>
              <w:autoSpaceDN w:val="0"/>
              <w:adjustRightInd w:val="0"/>
              <w:spacing w:after="0" w:line="240" w:lineRule="auto"/>
              <w:jc w:val="center"/>
              <w:rPr>
                <w:rFonts w:ascii="TimesNewRomanPS-ItalicMT" w:hAnsi="TimesNewRomanPS-ItalicMT" w:cs="TimesNewRomanPS-ItalicMT"/>
                <w:i/>
                <w:iCs/>
                <w:lang w:val="en-US"/>
              </w:rPr>
            </w:pPr>
            <w:r w:rsidRPr="000E2DF9">
              <w:rPr>
                <w:rFonts w:ascii="Times New Roman" w:eastAsia="Calibri" w:hAnsi="Times New Roman"/>
                <w:i/>
                <w:vertAlign w:val="superscript"/>
                <w:lang w:val="en-US"/>
              </w:rPr>
              <w:t>1</w:t>
            </w:r>
            <w:r w:rsidR="000C4333" w:rsidRPr="000E2DF9">
              <w:rPr>
                <w:i/>
              </w:rPr>
              <w:t xml:space="preserve"> </w:t>
            </w:r>
            <w:r w:rsidR="00986BB7" w:rsidRPr="00986BB7">
              <w:rPr>
                <w:rFonts w:ascii="Times New Roman" w:eastAsia="Calibri" w:hAnsi="Times New Roman"/>
                <w:i/>
                <w:lang w:val="en-US"/>
              </w:rPr>
              <w:t>Maritime Polytechnic of Surabaya, Surabaya, Indonesia</w:t>
            </w:r>
            <w:r w:rsidR="00986BB7" w:rsidRPr="00986BB7">
              <w:rPr>
                <w:rFonts w:ascii="Times New Roman" w:eastAsia="Calibri" w:hAnsi="Times New Roman"/>
                <w:i/>
                <w:lang w:val="en-US"/>
              </w:rPr>
              <w:cr/>
            </w:r>
          </w:p>
          <w:p w:rsidR="0075247C" w:rsidRPr="00CE6C33" w:rsidRDefault="0075247C" w:rsidP="00B621A6">
            <w:pPr>
              <w:autoSpaceDE w:val="0"/>
              <w:autoSpaceDN w:val="0"/>
              <w:adjustRightInd w:val="0"/>
              <w:spacing w:after="0" w:line="240" w:lineRule="auto"/>
              <w:jc w:val="center"/>
              <w:rPr>
                <w:rFonts w:ascii="Times New Roman" w:eastAsia="Calibri" w:hAnsi="Times New Roman"/>
                <w:i/>
                <w:iCs/>
              </w:rPr>
            </w:pPr>
            <w:r w:rsidRPr="00CE6C33">
              <w:rPr>
                <w:rFonts w:ascii="Times New Roman" w:hAnsi="Times New Roman"/>
                <w:bCs/>
                <w:i/>
                <w:iCs/>
                <w:lang w:val="en-US"/>
              </w:rPr>
              <w:t xml:space="preserve">email: </w:t>
            </w:r>
            <w:hyperlink r:id="rId9" w:history="1">
              <w:r w:rsidR="00CE6C33" w:rsidRPr="00CE6C33">
                <w:rPr>
                  <w:rStyle w:val="Hyperlink"/>
                  <w:rFonts w:ascii="Times New Roman" w:hAnsi="Times New Roman"/>
                </w:rPr>
                <w:t>romanda.annas@poltekpel-sby.ac.id</w:t>
              </w:r>
            </w:hyperlink>
            <w:r w:rsidR="00CE6C33" w:rsidRPr="00CE6C33">
              <w:rPr>
                <w:rFonts w:ascii="Times New Roman" w:hAnsi="Times New Roman"/>
              </w:rPr>
              <w:t xml:space="preserve"> </w:t>
            </w:r>
          </w:p>
          <w:p w:rsidR="0075247C" w:rsidRPr="00B621A6" w:rsidRDefault="0075247C" w:rsidP="00B621A6">
            <w:pPr>
              <w:autoSpaceDE w:val="0"/>
              <w:autoSpaceDN w:val="0"/>
              <w:adjustRightInd w:val="0"/>
              <w:spacing w:after="0" w:line="240" w:lineRule="auto"/>
              <w:jc w:val="center"/>
              <w:rPr>
                <w:rFonts w:ascii="Times New Roman" w:hAnsi="Times New Roman"/>
                <w:bCs/>
                <w:i/>
                <w:iCs/>
                <w:color w:val="000000"/>
              </w:rPr>
            </w:pPr>
          </w:p>
        </w:tc>
      </w:tr>
      <w:tr w:rsidR="0075247C" w:rsidRPr="00B621A6" w:rsidTr="00AE4FB9">
        <w:tc>
          <w:tcPr>
            <w:tcW w:w="9390" w:type="dxa"/>
            <w:tcBorders>
              <w:top w:val="single" w:sz="8" w:space="0" w:color="auto"/>
              <w:bottom w:val="single" w:sz="8" w:space="0" w:color="auto"/>
            </w:tcBorders>
            <w:shd w:val="clear" w:color="auto" w:fill="auto"/>
          </w:tcPr>
          <w:p w:rsidR="0075247C" w:rsidRPr="00B621A6" w:rsidRDefault="0075247C" w:rsidP="00B621A6">
            <w:pPr>
              <w:autoSpaceDE w:val="0"/>
              <w:autoSpaceDN w:val="0"/>
              <w:adjustRightInd w:val="0"/>
              <w:spacing w:after="0" w:line="240" w:lineRule="auto"/>
              <w:jc w:val="center"/>
              <w:rPr>
                <w:rFonts w:ascii="Times New Roman" w:eastAsia="Calibri" w:hAnsi="Times New Roman"/>
                <w:bCs/>
              </w:rPr>
            </w:pPr>
          </w:p>
          <w:p w:rsidR="0075247C" w:rsidRPr="00B621A6" w:rsidRDefault="0075247C" w:rsidP="001941B4">
            <w:pPr>
              <w:jc w:val="center"/>
              <w:rPr>
                <w:rFonts w:ascii="Times New Roman" w:hAnsi="Times New Roman"/>
                <w:bCs/>
                <w:color w:val="000000"/>
                <w:sz w:val="20"/>
                <w:szCs w:val="20"/>
              </w:rPr>
            </w:pPr>
            <w:r w:rsidRPr="00B621A6">
              <w:rPr>
                <w:rFonts w:ascii="Times New Roman" w:hAnsi="Times New Roman"/>
                <w:bCs/>
                <w:color w:val="000000"/>
                <w:lang w:val="en-US"/>
              </w:rPr>
              <w:t xml:space="preserve">Submitted on : </w:t>
            </w:r>
            <w:r w:rsidR="001941B4">
              <w:rPr>
                <w:rFonts w:ascii="Times New Roman" w:hAnsi="Times New Roman"/>
                <w:bCs/>
                <w:color w:val="000000"/>
              </w:rPr>
              <w:t>07</w:t>
            </w:r>
            <w:r w:rsidR="00B621A6" w:rsidRPr="00B621A6">
              <w:rPr>
                <w:rFonts w:ascii="Times New Roman" w:hAnsi="Times New Roman"/>
                <w:bCs/>
                <w:color w:val="000000"/>
                <w:lang w:val="en-US"/>
              </w:rPr>
              <w:t>/</w:t>
            </w:r>
            <w:r w:rsidR="001941B4">
              <w:rPr>
                <w:rFonts w:ascii="Times New Roman" w:hAnsi="Times New Roman"/>
                <w:bCs/>
                <w:color w:val="000000"/>
              </w:rPr>
              <w:t>10</w:t>
            </w:r>
            <w:r w:rsidR="00B621A6" w:rsidRPr="00B621A6">
              <w:rPr>
                <w:rFonts w:ascii="Times New Roman" w:hAnsi="Times New Roman"/>
                <w:bCs/>
                <w:color w:val="000000"/>
                <w:lang w:val="en-US"/>
              </w:rPr>
              <w:t>/2024</w:t>
            </w:r>
            <w:r w:rsidRPr="00B621A6">
              <w:rPr>
                <w:rFonts w:ascii="Times New Roman" w:hAnsi="Times New Roman"/>
                <w:bCs/>
                <w:color w:val="000000"/>
                <w:lang w:val="en-US"/>
              </w:rPr>
              <w:t xml:space="preserve">    </w:t>
            </w:r>
            <w:r w:rsidR="00B621A6" w:rsidRPr="00B621A6">
              <w:rPr>
                <w:rFonts w:ascii="Times New Roman" w:hAnsi="Times New Roman"/>
                <w:bCs/>
                <w:color w:val="000000"/>
                <w:lang w:val="en-US"/>
              </w:rPr>
              <w:t>R</w:t>
            </w:r>
            <w:r w:rsidRPr="00B621A6">
              <w:rPr>
                <w:rFonts w:ascii="Times New Roman" w:hAnsi="Times New Roman"/>
                <w:bCs/>
                <w:color w:val="000000"/>
                <w:lang w:val="en-US"/>
              </w:rPr>
              <w:t>evised :</w:t>
            </w:r>
            <w:r w:rsidR="00B621A6" w:rsidRPr="00B621A6">
              <w:rPr>
                <w:rFonts w:ascii="Times New Roman" w:hAnsi="Times New Roman"/>
                <w:bCs/>
                <w:color w:val="000000"/>
                <w:lang w:val="en-US"/>
              </w:rPr>
              <w:t xml:space="preserve"> </w:t>
            </w:r>
            <w:r w:rsidR="001941B4">
              <w:rPr>
                <w:rFonts w:ascii="Times New Roman" w:hAnsi="Times New Roman"/>
                <w:bCs/>
                <w:color w:val="000000"/>
              </w:rPr>
              <w:t>11</w:t>
            </w:r>
            <w:r w:rsidR="00B621A6" w:rsidRPr="00B621A6">
              <w:rPr>
                <w:rFonts w:ascii="Times New Roman" w:hAnsi="Times New Roman"/>
                <w:bCs/>
                <w:color w:val="000000"/>
                <w:lang w:val="en-US"/>
              </w:rPr>
              <w:t>/</w:t>
            </w:r>
            <w:r w:rsidR="001941B4">
              <w:rPr>
                <w:rFonts w:ascii="Times New Roman" w:hAnsi="Times New Roman"/>
                <w:bCs/>
                <w:color w:val="000000"/>
              </w:rPr>
              <w:t>11</w:t>
            </w:r>
            <w:bookmarkStart w:id="1" w:name="_GoBack"/>
            <w:bookmarkEnd w:id="1"/>
            <w:r w:rsidR="00B621A6" w:rsidRPr="00B621A6">
              <w:rPr>
                <w:rFonts w:ascii="Times New Roman" w:hAnsi="Times New Roman"/>
                <w:bCs/>
                <w:color w:val="000000"/>
                <w:lang w:val="en-US"/>
              </w:rPr>
              <w:t>/2024</w:t>
            </w:r>
            <w:r w:rsidRPr="00B621A6">
              <w:rPr>
                <w:rFonts w:ascii="Times New Roman" w:hAnsi="Times New Roman"/>
                <w:bCs/>
                <w:color w:val="000000"/>
                <w:lang w:val="en-US"/>
              </w:rPr>
              <w:t xml:space="preserve">    Accepted</w:t>
            </w:r>
            <w:r w:rsidR="00B621A6" w:rsidRPr="00B621A6">
              <w:rPr>
                <w:rFonts w:ascii="Times New Roman" w:hAnsi="Times New Roman"/>
                <w:bCs/>
                <w:color w:val="000000"/>
                <w:lang w:val="en-US"/>
              </w:rPr>
              <w:t xml:space="preserve"> </w:t>
            </w:r>
            <w:r w:rsidRPr="00B621A6">
              <w:rPr>
                <w:rFonts w:ascii="Times New Roman" w:hAnsi="Times New Roman"/>
                <w:bCs/>
                <w:color w:val="000000"/>
                <w:lang w:val="en-US"/>
              </w:rPr>
              <w:t xml:space="preserve">: </w:t>
            </w:r>
            <w:r w:rsidR="000C4333">
              <w:rPr>
                <w:rFonts w:ascii="Times New Roman" w:hAnsi="Times New Roman"/>
                <w:bCs/>
                <w:color w:val="000000"/>
              </w:rPr>
              <w:t>20</w:t>
            </w:r>
            <w:r w:rsidR="00B621A6" w:rsidRPr="00B621A6">
              <w:rPr>
                <w:rFonts w:ascii="Times New Roman" w:hAnsi="Times New Roman"/>
                <w:bCs/>
                <w:color w:val="000000"/>
                <w:lang w:val="en-US"/>
              </w:rPr>
              <w:t>/</w:t>
            </w:r>
            <w:r w:rsidR="000C4333">
              <w:rPr>
                <w:rFonts w:ascii="Times New Roman" w:hAnsi="Times New Roman"/>
                <w:bCs/>
                <w:color w:val="000000"/>
              </w:rPr>
              <w:t>12</w:t>
            </w:r>
            <w:r w:rsidR="00B621A6" w:rsidRPr="00B621A6">
              <w:rPr>
                <w:rFonts w:ascii="Times New Roman" w:hAnsi="Times New Roman"/>
                <w:bCs/>
                <w:color w:val="000000"/>
                <w:lang w:val="en-US"/>
              </w:rPr>
              <w:t>/2024</w:t>
            </w:r>
          </w:p>
        </w:tc>
      </w:tr>
    </w:tbl>
    <w:p w:rsidR="0075247C" w:rsidRDefault="0075247C">
      <w:pPr>
        <w:autoSpaceDE w:val="0"/>
        <w:autoSpaceDN w:val="0"/>
        <w:adjustRightInd w:val="0"/>
        <w:spacing w:after="0" w:line="240" w:lineRule="auto"/>
        <w:jc w:val="center"/>
        <w:rPr>
          <w:rFonts w:ascii="Times New Roman" w:hAnsi="Times New Roman"/>
          <w:color w:val="000000"/>
        </w:rPr>
      </w:pPr>
    </w:p>
    <w:p w:rsidR="0075247C" w:rsidRPr="000C4333" w:rsidRDefault="0075247C" w:rsidP="000C4333">
      <w:pPr>
        <w:pStyle w:val="Heading1"/>
        <w:numPr>
          <w:ilvl w:val="0"/>
          <w:numId w:val="0"/>
        </w:numPr>
        <w:jc w:val="center"/>
        <w:rPr>
          <w:i/>
          <w:lang w:val="en-US"/>
        </w:rPr>
      </w:pPr>
      <w:r w:rsidRPr="000C4333">
        <w:rPr>
          <w:i/>
        </w:rPr>
        <w:t>Abstra</w:t>
      </w:r>
      <w:proofErr w:type="spellStart"/>
      <w:r w:rsidRPr="000C4333">
        <w:rPr>
          <w:i/>
          <w:lang w:val="en-US"/>
        </w:rPr>
        <w:t>ct</w:t>
      </w:r>
      <w:proofErr w:type="spellEnd"/>
    </w:p>
    <w:p w:rsidR="0075247C" w:rsidRDefault="0067472B">
      <w:pPr>
        <w:jc w:val="both"/>
        <w:rPr>
          <w:rFonts w:ascii="Times New Roman" w:eastAsia="Times New Roman" w:hAnsi="Times New Roman"/>
          <w:i/>
          <w:iCs/>
          <w:lang w:val="zh-CN" w:eastAsia="zh-CN"/>
        </w:rPr>
      </w:pPr>
      <w:r w:rsidRPr="0067472B">
        <w:rPr>
          <w:rFonts w:ascii="Times New Roman" w:eastAsia="Times New Roman" w:hAnsi="Times New Roman"/>
          <w:i/>
          <w:iCs/>
          <w:lang w:val="en-US" w:eastAsia="zh-CN"/>
        </w:rPr>
        <w:t xml:space="preserve">The disproportionate growth between the transportation fleet and the infrastructure causes congestion, pollution, inconvenience and poor service. However, the high growth in transportation fleets managed by the private sector more than those managed by the government is not effective, on the other hand the government does not have enough funds to provide adequate public transportation facilities, so the concept of Allocation Cheap Sourcing is needed which is a collaboration between fleets managed by the private sector and the government. The method used in this study is Evidence based </w:t>
      </w:r>
      <w:proofErr w:type="gramStart"/>
      <w:r w:rsidRPr="0067472B">
        <w:rPr>
          <w:rFonts w:ascii="Times New Roman" w:eastAsia="Times New Roman" w:hAnsi="Times New Roman"/>
          <w:i/>
          <w:iCs/>
          <w:lang w:val="en-US" w:eastAsia="zh-CN"/>
        </w:rPr>
        <w:t>policy .</w:t>
      </w:r>
      <w:proofErr w:type="gramEnd"/>
      <w:r w:rsidRPr="0067472B">
        <w:rPr>
          <w:rFonts w:ascii="Times New Roman" w:eastAsia="Times New Roman" w:hAnsi="Times New Roman"/>
          <w:i/>
          <w:iCs/>
          <w:lang w:val="en-US" w:eastAsia="zh-CN"/>
        </w:rPr>
        <w:t xml:space="preserve"> The results of the study show that the effectiveness of collaboration can be in the form of partnerships and new forms of organization (NFO).</w:t>
      </w:r>
    </w:p>
    <w:tbl>
      <w:tblPr>
        <w:tblW w:w="9639" w:type="dxa"/>
        <w:tblInd w:w="108" w:type="dxa"/>
        <w:tblBorders>
          <w:bottom w:val="single" w:sz="8" w:space="0" w:color="auto"/>
          <w:insideH w:val="single" w:sz="8" w:space="0" w:color="auto"/>
          <w:insideV w:val="single" w:sz="8" w:space="0" w:color="auto"/>
        </w:tblBorders>
        <w:tblLook w:val="0000" w:firstRow="0" w:lastRow="0" w:firstColumn="0" w:lastColumn="0" w:noHBand="0" w:noVBand="0"/>
      </w:tblPr>
      <w:tblGrid>
        <w:gridCol w:w="9639"/>
      </w:tblGrid>
      <w:tr w:rsidR="0075247C">
        <w:tc>
          <w:tcPr>
            <w:tcW w:w="9639" w:type="dxa"/>
            <w:tcBorders>
              <w:bottom w:val="nil"/>
            </w:tcBorders>
          </w:tcPr>
          <w:p w:rsidR="0075247C" w:rsidRDefault="0075247C">
            <w:pPr>
              <w:autoSpaceDE w:val="0"/>
              <w:autoSpaceDN w:val="0"/>
              <w:adjustRightInd w:val="0"/>
              <w:jc w:val="center"/>
              <w:rPr>
                <w:rFonts w:ascii="Times New Roman" w:eastAsia="Calibri" w:hAnsi="Times New Roman"/>
                <w:i/>
                <w:iCs/>
              </w:rPr>
            </w:pPr>
            <w:r>
              <w:rPr>
                <w:rFonts w:ascii="Times New Roman" w:eastAsia="Calibri" w:hAnsi="Times New Roman"/>
                <w:i/>
                <w:lang w:val="en-US"/>
              </w:rPr>
              <w:t xml:space="preserve">Copyright </w:t>
            </w:r>
            <w:r>
              <w:rPr>
                <w:rFonts w:ascii="Times New Roman" w:eastAsia="Calibri" w:hAnsi="Times New Roman"/>
                <w:i/>
              </w:rPr>
              <w:t>©202</w:t>
            </w:r>
            <w:r>
              <w:rPr>
                <w:rFonts w:ascii="Times New Roman" w:eastAsia="Calibri" w:hAnsi="Times New Roman"/>
                <w:i/>
                <w:lang w:val="en-US"/>
              </w:rPr>
              <w:t xml:space="preserve">4, </w:t>
            </w:r>
            <w:r>
              <w:rPr>
                <w:rFonts w:ascii="Times New Roman" w:eastAsia="Calibri" w:hAnsi="Times New Roman"/>
                <w:b/>
                <w:bCs/>
                <w:i/>
                <w:lang w:val="en-US"/>
              </w:rPr>
              <w:t>METEOR STIP MARUNDA</w:t>
            </w:r>
            <w:r>
              <w:rPr>
                <w:rFonts w:ascii="Times New Roman" w:eastAsia="Calibri" w:hAnsi="Times New Roman"/>
                <w:lang w:val="en-US"/>
              </w:rPr>
              <w:t xml:space="preserve">, </w:t>
            </w:r>
            <w:proofErr w:type="spellStart"/>
            <w:r>
              <w:rPr>
                <w:rFonts w:ascii="Times New Roman" w:eastAsia="Calibri" w:hAnsi="Times New Roman"/>
                <w:i/>
                <w:iCs/>
                <w:lang w:val="en-US"/>
              </w:rPr>
              <w:t>pISSN</w:t>
            </w:r>
            <w:proofErr w:type="spellEnd"/>
            <w:r>
              <w:rPr>
                <w:rFonts w:ascii="Times New Roman" w:eastAsia="Calibri" w:hAnsi="Times New Roman"/>
                <w:i/>
                <w:iCs/>
                <w:lang w:val="en-US"/>
              </w:rPr>
              <w:t>: 1979-4746</w:t>
            </w:r>
            <w:r>
              <w:rPr>
                <w:rFonts w:ascii="Times New Roman" w:eastAsia="Calibri" w:hAnsi="Times New Roman"/>
                <w:i/>
                <w:iCs/>
              </w:rPr>
              <w:t>, eISSN: 2685-4775</w:t>
            </w:r>
          </w:p>
        </w:tc>
      </w:tr>
      <w:tr w:rsidR="0075247C">
        <w:tc>
          <w:tcPr>
            <w:tcW w:w="9639" w:type="dxa"/>
            <w:tcBorders>
              <w:top w:val="nil"/>
              <w:bottom w:val="nil"/>
            </w:tcBorders>
          </w:tcPr>
          <w:p w:rsidR="0075247C" w:rsidRDefault="0075247C" w:rsidP="00B621A6">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Pr>
                <w:rFonts w:ascii="Times New Roman" w:eastAsia="Calibri" w:hAnsi="Times New Roman"/>
                <w:b/>
                <w:i/>
              </w:rPr>
              <w:t xml:space="preserve">Keywords: </w:t>
            </w:r>
            <w:r w:rsidR="0067472B" w:rsidRPr="0067472B">
              <w:rPr>
                <w:rFonts w:ascii="Times New Roman" w:eastAsia="Calibri" w:hAnsi="Times New Roman"/>
                <w:bCs/>
                <w:i/>
              </w:rPr>
              <w:t>allocation cheap sourcing, government, policy, private, transportation fleet</w:t>
            </w:r>
          </w:p>
          <w:p w:rsidR="0075247C" w:rsidRDefault="0075247C">
            <w:pPr>
              <w:autoSpaceDE w:val="0"/>
              <w:autoSpaceDN w:val="0"/>
              <w:adjustRightInd w:val="0"/>
              <w:spacing w:after="0" w:line="240" w:lineRule="auto"/>
              <w:ind w:left="-108"/>
              <w:jc w:val="center"/>
              <w:rPr>
                <w:rFonts w:ascii="Times New Roman" w:eastAsia="Calibri" w:hAnsi="Times New Roman"/>
                <w:bCs/>
                <w:i/>
                <w:lang w:val="en-US"/>
              </w:rPr>
            </w:pPr>
          </w:p>
        </w:tc>
      </w:tr>
    </w:tbl>
    <w:p w:rsidR="0075247C" w:rsidRDefault="0075247C">
      <w:pPr>
        <w:autoSpaceDE w:val="0"/>
        <w:autoSpaceDN w:val="0"/>
        <w:adjustRightInd w:val="0"/>
        <w:spacing w:after="0" w:line="240" w:lineRule="auto"/>
        <w:jc w:val="center"/>
        <w:rPr>
          <w:rFonts w:ascii="Times New Roman" w:hAnsi="Times New Roman"/>
          <w:color w:val="000000"/>
          <w:sz w:val="20"/>
          <w:szCs w:val="20"/>
        </w:rPr>
      </w:pPr>
      <w:r>
        <w:rPr>
          <w:rFonts w:ascii="Times New Roman" w:eastAsia="Calibri" w:hAnsi="Times New Roman"/>
          <w:i/>
          <w:sz w:val="20"/>
          <w:szCs w:val="20"/>
          <w:lang w:val="en-US"/>
        </w:rPr>
        <w:t xml:space="preserve">           </w:t>
      </w:r>
      <w:r>
        <w:rPr>
          <w:rFonts w:ascii="Times New Roman" w:eastAsia="Calibri" w:hAnsi="Times New Roman"/>
          <w:i/>
          <w:sz w:val="20"/>
          <w:szCs w:val="20"/>
          <w:lang w:val="en-US"/>
        </w:rPr>
        <w:tab/>
      </w:r>
      <w:r>
        <w:rPr>
          <w:rFonts w:ascii="Times New Roman" w:eastAsia="Calibri" w:hAnsi="Times New Roman"/>
          <w:i/>
          <w:sz w:val="20"/>
          <w:szCs w:val="20"/>
          <w:lang w:val="en-US"/>
        </w:rPr>
        <w:tab/>
      </w:r>
    </w:p>
    <w:p w:rsidR="0075247C" w:rsidRDefault="0075247C">
      <w:pPr>
        <w:autoSpaceDE w:val="0"/>
        <w:autoSpaceDN w:val="0"/>
        <w:adjustRightInd w:val="0"/>
        <w:spacing w:after="0" w:line="240" w:lineRule="auto"/>
        <w:rPr>
          <w:rFonts w:ascii="Times New Roman" w:eastAsia="Calibri" w:hAnsi="Times New Roman"/>
          <w:bCs/>
          <w:sz w:val="20"/>
          <w:szCs w:val="20"/>
        </w:rPr>
        <w:sectPr w:rsidR="0075247C" w:rsidSect="00DF1D4C">
          <w:footerReference w:type="default" r:id="rId10"/>
          <w:type w:val="continuous"/>
          <w:pgSz w:w="11906" w:h="16838"/>
          <w:pgMar w:top="1134" w:right="1134" w:bottom="1134" w:left="1134" w:header="709" w:footer="709" w:gutter="0"/>
          <w:pgNumType w:start="31"/>
          <w:cols w:space="720"/>
          <w:docGrid w:linePitch="360"/>
        </w:sectPr>
      </w:pPr>
    </w:p>
    <w:p w:rsidR="0075247C" w:rsidRDefault="0075247C" w:rsidP="000C4333">
      <w:pPr>
        <w:pStyle w:val="Heading1"/>
        <w:numPr>
          <w:ilvl w:val="0"/>
          <w:numId w:val="0"/>
        </w:numPr>
        <w:ind w:left="426"/>
        <w:rPr>
          <w:rFonts w:eastAsia="Calibri"/>
          <w:lang w:val="en-US"/>
        </w:rPr>
      </w:pPr>
      <w:r>
        <w:rPr>
          <w:rFonts w:eastAsia="Calibri"/>
          <w:lang w:val="en-US"/>
        </w:rPr>
        <w:lastRenderedPageBreak/>
        <w:t>INTRODUCTION</w:t>
      </w:r>
    </w:p>
    <w:p w:rsidR="0067472B" w:rsidRPr="0067472B" w:rsidRDefault="0067472B" w:rsidP="0067472B">
      <w:pPr>
        <w:autoSpaceDE w:val="0"/>
        <w:autoSpaceDN w:val="0"/>
        <w:adjustRightInd w:val="0"/>
        <w:spacing w:after="0" w:line="240" w:lineRule="auto"/>
        <w:ind w:firstLine="426"/>
        <w:jc w:val="both"/>
        <w:rPr>
          <w:rFonts w:ascii="Times New Roman" w:eastAsia="Times New Roman" w:hAnsi="Times New Roman"/>
          <w:iCs/>
          <w:lang w:val="x-none" w:eastAsia="zh-CN"/>
        </w:rPr>
      </w:pPr>
      <w:r w:rsidRPr="0067472B">
        <w:rPr>
          <w:rFonts w:ascii="Times New Roman" w:eastAsia="Times New Roman" w:hAnsi="Times New Roman"/>
          <w:iCs/>
          <w:lang w:val="x-none" w:eastAsia="zh-CN"/>
        </w:rPr>
        <w:t xml:space="preserve">The competitive advantage proposed by </w:t>
      </w:r>
      <w:proofErr w:type="spellStart"/>
      <w:r w:rsidRPr="0067472B">
        <w:rPr>
          <w:rFonts w:ascii="Times New Roman" w:eastAsia="Times New Roman" w:hAnsi="Times New Roman"/>
          <w:iCs/>
          <w:lang w:val="x-none" w:eastAsia="zh-CN"/>
        </w:rPr>
        <w:t>Poter's</w:t>
      </w:r>
      <w:proofErr w:type="spellEnd"/>
      <w:r w:rsidRPr="0067472B">
        <w:rPr>
          <w:rFonts w:ascii="Times New Roman" w:eastAsia="Times New Roman" w:hAnsi="Times New Roman"/>
          <w:iCs/>
          <w:lang w:val="x-none" w:eastAsia="zh-CN"/>
        </w:rPr>
        <w:t xml:space="preserve"> is a strategy that emphasizes two things, first cost leadership and second product differentiation </w:t>
      </w:r>
      <w:r w:rsidRPr="0067472B">
        <w:rPr>
          <w:rFonts w:ascii="Times New Roman" w:eastAsia="Times New Roman" w:hAnsi="Times New Roman"/>
          <w:iCs/>
          <w:lang w:val="x-none" w:eastAsia="zh-CN"/>
        </w:rPr>
        <w:fldChar w:fldCharType="begin" w:fldLock="1"/>
      </w:r>
      <w:r w:rsidRPr="0067472B">
        <w:rPr>
          <w:rFonts w:ascii="Times New Roman" w:eastAsia="Times New Roman" w:hAnsi="Times New Roman"/>
          <w:iCs/>
          <w:lang w:val="x-none" w:eastAsia="zh-CN"/>
        </w:rPr>
        <w:instrText>ADDIN CSL_CITATION {"citationItems":[{"id":"ITEM-1","itemData":{"DOI":"10.1016/j.rtbm.2011.06.005","author":[{"dropping-particle":"","family":"Tchouamou Njoya","given":"Eric","non-dropping-particle":"","parse-names":false,"suffix":""},{"dropping-particle":"","family":"Niemeier","given":"Hans-Martin","non-dropping-particle":"","parse-names":false,"suffix":""}],"container-title":"Cancer Letters - CANCER LETT","id":"ITEM-1","issued":{"date-parts":[["2011","8","1"]]},"page":"55-61","title":"Do dedicated low-cost passenger terminals create competitive advantages for airports?","type":"article-journal","volume":"1"},"uris":["http://www.mendeley.com/documents/?uuid=76483206-8b94-4cc6-b7f1-c9e9e0f5b8c6"]}],"mendeley":{"formattedCitation":"[1]","plainTextFormattedCitation":"[1]","previouslyFormattedCitation":"[1]"},"properties":{"noteIndex":0},"schema":"https://github.com/citation-style-language/schema/raw/master/csl-citation.json"}</w:instrText>
      </w:r>
      <w:r w:rsidRPr="0067472B">
        <w:rPr>
          <w:rFonts w:ascii="Times New Roman" w:eastAsia="Times New Roman" w:hAnsi="Times New Roman"/>
          <w:iCs/>
          <w:lang w:val="x-none" w:eastAsia="zh-CN"/>
        </w:rPr>
        <w:fldChar w:fldCharType="separate"/>
      </w:r>
      <w:r w:rsidRPr="0067472B">
        <w:rPr>
          <w:rFonts w:ascii="Times New Roman" w:eastAsia="Times New Roman" w:hAnsi="Times New Roman"/>
          <w:iCs/>
          <w:lang w:val="x-none" w:eastAsia="zh-CN"/>
        </w:rPr>
        <w:t>[1]</w:t>
      </w:r>
      <w:r w:rsidRPr="0067472B">
        <w:rPr>
          <w:rFonts w:ascii="Times New Roman" w:eastAsia="Times New Roman" w:hAnsi="Times New Roman"/>
          <w:iCs/>
          <w:lang w:eastAsia="zh-CN"/>
        </w:rPr>
        <w:fldChar w:fldCharType="end"/>
      </w:r>
      <w:r w:rsidRPr="0067472B">
        <w:rPr>
          <w:rFonts w:ascii="Times New Roman" w:eastAsia="Times New Roman" w:hAnsi="Times New Roman"/>
          <w:iCs/>
          <w:lang w:val="x-none" w:eastAsia="zh-CN"/>
        </w:rPr>
        <w:t xml:space="preserve"> Cost leadership is put forward Focus on minimize costs, cheap sources and modern technology </w:t>
      </w:r>
      <w:r w:rsidRPr="0067472B">
        <w:rPr>
          <w:rFonts w:ascii="Times New Roman" w:eastAsia="Times New Roman" w:hAnsi="Times New Roman"/>
          <w:iCs/>
          <w:lang w:val="x-none" w:eastAsia="zh-CN"/>
        </w:rPr>
        <w:fldChar w:fldCharType="begin" w:fldLock="1"/>
      </w:r>
      <w:r w:rsidRPr="0067472B">
        <w:rPr>
          <w:rFonts w:ascii="Times New Roman" w:eastAsia="Times New Roman" w:hAnsi="Times New Roman"/>
          <w:iCs/>
          <w:lang w:val="x-none" w:eastAsia="zh-CN"/>
        </w:rPr>
        <w:instrText>ADDIN CSL_CITATION {"citationItems":[{"id":"ITEM-1","itemData":{"author":[{"dropping-particle":"","family":"Marangu","given":"Wilfred N","non-dropping-particle":"","parse-names":false,"suffix":""},{"dropping-particle":"","family":"Mwiti","given":"Evans","non-dropping-particle":"","parse-names":false,"suffix":""},{"dropping-particle":"","family":"Thoronjo","given":"Erastus","non-dropping-particle":"","parse-names":false,"suffix":""}],"container-title":"European Journal of Business and Management","id":"ITEM-1","issued":{"date-parts":[["2017"]]},"page":"38-49","title":"Analysis of Cost Leadership Strategy Influence on Organizations’ Competitiveness of Sugar Firms in Kenya","type":"article-journal","volume":"9"},"uris":["http://www.mendeley.com/documents/?uuid=75ba227d-41af-4b45-b616-c361da129a8a"]}],"mendeley":{"formattedCitation":"[2]","plainTextFormattedCitation":"[2]","previouslyFormattedCitation":"[2]"},"properties":{"noteIndex":0},"schema":"https://github.com/citation-style-language/schema/raw/master/csl-citation.json"}</w:instrText>
      </w:r>
      <w:r w:rsidRPr="0067472B">
        <w:rPr>
          <w:rFonts w:ascii="Times New Roman" w:eastAsia="Times New Roman" w:hAnsi="Times New Roman"/>
          <w:iCs/>
          <w:lang w:val="x-none" w:eastAsia="zh-CN"/>
        </w:rPr>
        <w:fldChar w:fldCharType="separate"/>
      </w:r>
      <w:r w:rsidRPr="0067472B">
        <w:rPr>
          <w:rFonts w:ascii="Times New Roman" w:eastAsia="Times New Roman" w:hAnsi="Times New Roman"/>
          <w:iCs/>
          <w:lang w:val="x-none" w:eastAsia="zh-CN"/>
        </w:rPr>
        <w:t>[2]</w:t>
      </w:r>
      <w:r w:rsidRPr="0067472B">
        <w:rPr>
          <w:rFonts w:ascii="Times New Roman" w:eastAsia="Times New Roman" w:hAnsi="Times New Roman"/>
          <w:iCs/>
          <w:lang w:eastAsia="zh-CN"/>
        </w:rPr>
        <w:fldChar w:fldCharType="end"/>
      </w:r>
      <w:r w:rsidRPr="0067472B">
        <w:rPr>
          <w:rFonts w:ascii="Times New Roman" w:eastAsia="Times New Roman" w:hAnsi="Times New Roman"/>
          <w:iCs/>
          <w:lang w:val="x-none" w:eastAsia="zh-CN"/>
        </w:rPr>
        <w:t xml:space="preserve"> . Facts show that logistics costs in Indonesia are more expensive than ASEAN countries, Indonesia is 23.2% while ASEAN is 4% - 5%. This is due to the absence of goods being transported back at the time of transportation to the starting point. Changing means of transportation, there is no one goal yet. The Indonesian Chamber of Commerce (KADIN) emphasized that there must be an alternative to the problem of expensive logistics transportation </w:t>
      </w:r>
      <w:r w:rsidRPr="0067472B">
        <w:rPr>
          <w:rFonts w:ascii="Times New Roman" w:eastAsia="Times New Roman" w:hAnsi="Times New Roman"/>
          <w:iCs/>
          <w:lang w:val="x-none" w:eastAsia="zh-CN"/>
        </w:rPr>
        <w:fldChar w:fldCharType="begin" w:fldLock="1"/>
      </w:r>
      <w:r w:rsidRPr="0067472B">
        <w:rPr>
          <w:rFonts w:ascii="Times New Roman" w:eastAsia="Times New Roman" w:hAnsi="Times New Roman"/>
          <w:iCs/>
          <w:lang w:val="x-none" w:eastAsia="zh-CN"/>
        </w:rPr>
        <w:instrText>ADDIN CSL_CITATION {"citationItems":[{"id":"ITEM-1","itemData":{"author":[{"dropping-particle":"","family":"Handoyo","given":"R.U","non-dropping-particle":"","parse-names":false,"suffix":""}],"container-title":"VOA ID","id":"ITEM-1","issued":{"date-parts":[["2021"]]},"title":"Sea cargo costs are expensive, Kadin encourages export routes by air","type":"webpage"},"uris":["http://www.mendeley.com/documents/?uuid=54d2fcb2-5a07-46a1-8732-9230ee8c23e1"]}],"mendeley":{"formattedCitation":"[3]","plainTextFormattedCitation":"[3]","previouslyFormattedCitation":"[3]"},"properties":{"noteIndex":0},"schema":"https://github.com/citation-style-language/schema/raw/master/csl-citation.json"}</w:instrText>
      </w:r>
      <w:r w:rsidRPr="0067472B">
        <w:rPr>
          <w:rFonts w:ascii="Times New Roman" w:eastAsia="Times New Roman" w:hAnsi="Times New Roman"/>
          <w:iCs/>
          <w:lang w:val="x-none" w:eastAsia="zh-CN"/>
        </w:rPr>
        <w:fldChar w:fldCharType="separate"/>
      </w:r>
      <w:r w:rsidRPr="0067472B">
        <w:rPr>
          <w:rFonts w:ascii="Times New Roman" w:eastAsia="Times New Roman" w:hAnsi="Times New Roman"/>
          <w:iCs/>
          <w:lang w:val="x-none" w:eastAsia="zh-CN"/>
        </w:rPr>
        <w:t>[3]</w:t>
      </w:r>
      <w:r w:rsidRPr="0067472B">
        <w:rPr>
          <w:rFonts w:ascii="Times New Roman" w:eastAsia="Times New Roman" w:hAnsi="Times New Roman"/>
          <w:iCs/>
          <w:lang w:eastAsia="zh-CN"/>
        </w:rPr>
        <w:fldChar w:fldCharType="end"/>
      </w:r>
    </w:p>
    <w:p w:rsidR="0067472B" w:rsidRPr="0067472B" w:rsidRDefault="0067472B" w:rsidP="0067472B">
      <w:pPr>
        <w:autoSpaceDE w:val="0"/>
        <w:autoSpaceDN w:val="0"/>
        <w:adjustRightInd w:val="0"/>
        <w:spacing w:after="0" w:line="240" w:lineRule="auto"/>
        <w:ind w:firstLine="426"/>
        <w:jc w:val="both"/>
        <w:rPr>
          <w:rFonts w:ascii="Times New Roman" w:eastAsia="Times New Roman" w:hAnsi="Times New Roman"/>
          <w:iCs/>
          <w:lang w:val="x-none" w:eastAsia="zh-CN"/>
        </w:rPr>
      </w:pPr>
      <w:r w:rsidRPr="0067472B">
        <w:rPr>
          <w:rFonts w:ascii="Times New Roman" w:eastAsia="Times New Roman" w:hAnsi="Times New Roman"/>
          <w:iCs/>
          <w:lang w:val="x-none" w:eastAsia="zh-CN"/>
        </w:rPr>
        <w:lastRenderedPageBreak/>
        <w:t xml:space="preserve">Cost Leadership Strategy, explores how organizations can effectively leverage these frameworks to optimize costs, improve operational efficiency, and secure a dominant position in the market </w:t>
      </w:r>
      <w:r w:rsidRPr="0067472B">
        <w:rPr>
          <w:rFonts w:ascii="Times New Roman" w:eastAsia="Times New Roman" w:hAnsi="Times New Roman"/>
          <w:iCs/>
          <w:lang w:val="x-none" w:eastAsia="zh-CN"/>
        </w:rPr>
        <w:fldChar w:fldCharType="begin" w:fldLock="1"/>
      </w:r>
      <w:r w:rsidRPr="0067472B">
        <w:rPr>
          <w:rFonts w:ascii="Times New Roman" w:eastAsia="Times New Roman" w:hAnsi="Times New Roman"/>
          <w:iCs/>
          <w:lang w:val="x-none" w:eastAsia="zh-CN"/>
        </w:rPr>
        <w:instrText>ADDIN CSL_CITATION {"citationItems":[{"id":"ITEM-1","itemData":{"DOI":"10.2139/ssrn.4574945","abstract":"In the ever-evolving world of business, attaining and maintaining a competitive advantage is paramount for organizational success. The Cost Leadership strategy has emerged as a potent approach for organizations to carve a niche and stand out amidst fierce competition. This article delves into the nuances of the Cost Leadership strategy, exploring how organizations can effectively leverage this framework to optimize costs, enhance operational efficiency, and secure a dominant position in the market. By analyzing real-world examples, case studies, and best practices, we uncover strategies that organizations can adopt to harness the full potential of the Cost Leadership strategy and ensure long-term success in the dynamic business landscape A desk review was followed in this article is show how achieve competitive advantage through cost leadership strategy in organization.","author":[{"dropping-particle":"","family":"Jerab","given":"Daoud Abdellatef","non-dropping-particle":"","parse-names":false,"suffix":""},{"dropping-particle":"","family":"Mabrouk","given":"Tarek","non-dropping-particle":"","parse-names":false,"suffix":""}],"container-title":"SSRN Electronic Journal","id":"ITEM-1","issued":{"date-parts":[["2023"]]},"page":"1-17","title":"Achieving Competitive Advantage through Cost Leadership Strategy: Strategies for Sustainable Success","type":"article-journal"},"uris":["http://www.mendeley.com/documents/?uuid=02dd1124-da99-4c76-9a36-6b38f0c2853e"]}],"mendeley":{"formattedCitation":"[4]","plainTextFormattedCitation":"[4]","previouslyFormattedCitation":"[4]"},"properties":{"noteIndex":0},"schema":"https://github.com/citation-style-language/schema/raw/master/csl-citation.json"}</w:instrText>
      </w:r>
      <w:r w:rsidRPr="0067472B">
        <w:rPr>
          <w:rFonts w:ascii="Times New Roman" w:eastAsia="Times New Roman" w:hAnsi="Times New Roman"/>
          <w:iCs/>
          <w:lang w:val="x-none" w:eastAsia="zh-CN"/>
        </w:rPr>
        <w:fldChar w:fldCharType="separate"/>
      </w:r>
      <w:r w:rsidRPr="0067472B">
        <w:rPr>
          <w:rFonts w:ascii="Times New Roman" w:eastAsia="Times New Roman" w:hAnsi="Times New Roman"/>
          <w:iCs/>
          <w:lang w:val="x-none" w:eastAsia="zh-CN"/>
        </w:rPr>
        <w:t>[4]</w:t>
      </w:r>
      <w:r w:rsidRPr="0067472B">
        <w:rPr>
          <w:rFonts w:ascii="Times New Roman" w:eastAsia="Times New Roman" w:hAnsi="Times New Roman"/>
          <w:iCs/>
          <w:lang w:eastAsia="zh-CN"/>
        </w:rPr>
        <w:fldChar w:fldCharType="end"/>
      </w:r>
      <w:r w:rsidRPr="0067472B">
        <w:rPr>
          <w:rFonts w:ascii="Times New Roman" w:eastAsia="Times New Roman" w:hAnsi="Times New Roman"/>
          <w:iCs/>
          <w:lang w:val="x-none" w:eastAsia="zh-CN"/>
        </w:rPr>
        <w:t xml:space="preserve">. Study </w:t>
      </w:r>
      <w:r w:rsidRPr="0067472B">
        <w:rPr>
          <w:rFonts w:ascii="Times New Roman" w:eastAsia="Times New Roman" w:hAnsi="Times New Roman"/>
          <w:iCs/>
          <w:lang w:val="x-none" w:eastAsia="zh-CN"/>
        </w:rPr>
        <w:fldChar w:fldCharType="begin" w:fldLock="1"/>
      </w:r>
      <w:r w:rsidRPr="0067472B">
        <w:rPr>
          <w:rFonts w:ascii="Times New Roman" w:eastAsia="Times New Roman" w:hAnsi="Times New Roman"/>
          <w:iCs/>
          <w:lang w:val="x-none" w:eastAsia="zh-CN"/>
        </w:rPr>
        <w:instrText>ADDIN CSL_CITATION {"citationItems":[{"id":"ITEM-1","itemData":{"DOI":"10.30958/ajbe.10-3-3","abstract":"Why most businesses cannot retain any would-be competitive advantage even if they are the chief actors in a market or markets that it is them that have made profitable? Should we contemplate a current competitive advantage as a formula for uninterrupted success, or all is a misconception of a dominant paradigm that has locked the corporation to the profitable bygone days not letting them to look at the future and accordingly leaving behind profit prospects? The purpose of this study is to challenge the myth of sustainable competitive advantage presumably obtained through Porter’s Generic Strategies framework by examining what really occurs in the fast-food market at present. This is done through an assessment of the Cost Leadership and Differentiation strategies seemingly applied in McDonalds and Starbucks respectively in relation to planning, accumulation and use of resources, and the generation of core competences (or internal dynamics), if any. And, to seek if it is possible, or not, to tie sustainability of any long-term earnings with these firms’ best usage of in-house competencies as well as their skill to anticipate key environmental blows (or external dynamics). The writers adopt an interrogative attitude to the classical strategic management theory and, based on the results of the study, they go on to maintain the opinion that there is not such a thing as an advantage that is for ever viable. At the end of the study, the authors, again based on the results, suggest ways to increase the possibility of sustaining any strategic advantage for the specific firms. It is expected that these reflections will encourage more research in the area. Keywords: strategy, globalization, competitive advantage","author":[{"dropping-particle":"","family":"Bhat","given":"Mehvish","non-dropping-particle":"","parse-names":false,"suffix":""},{"dropping-particle":"","family":"Agrawal","given":"Ankur","non-dropping-particle":"","parse-names":false,"suffix":""},{"dropping-particle":"V.","family":"Barmpas","given":"Michail","non-dropping-particle":"","parse-names":false,"suffix":""}],"container-title":"Athens Journal of Business &amp; Economics","id":"ITEM-1","issue":"3","issued":{"date-parts":[["2024"]]},"page":"217-238","title":"Differentiation, Cost Leadership, or Ending Up in the Middle? A Reflection on the Viability of Porter’s Generic Strategies through a Case Study Comparison of McDonalds and Starbucks","type":"article-journal","volume":"10"},"uris":["http://www.mendeley.com/documents/?uuid=ea8541bb-56d5-475e-93c8-08e2d3571f9b"]}],"mendeley":{"formattedCitation":"[5]","plainTextFormattedCitation":"[5]","previouslyFormattedCitation":"[5]"},"properties":{"noteIndex":0},"schema":"https://github.com/citation-style-language/schema/raw/master/csl-citation.json"}</w:instrText>
      </w:r>
      <w:r w:rsidRPr="0067472B">
        <w:rPr>
          <w:rFonts w:ascii="Times New Roman" w:eastAsia="Times New Roman" w:hAnsi="Times New Roman"/>
          <w:iCs/>
          <w:lang w:val="x-none" w:eastAsia="zh-CN"/>
        </w:rPr>
        <w:fldChar w:fldCharType="separate"/>
      </w:r>
      <w:r w:rsidRPr="0067472B">
        <w:rPr>
          <w:rFonts w:ascii="Times New Roman" w:eastAsia="Times New Roman" w:hAnsi="Times New Roman"/>
          <w:iCs/>
          <w:lang w:val="x-none" w:eastAsia="zh-CN"/>
        </w:rPr>
        <w:t>[5]</w:t>
      </w:r>
      <w:r w:rsidRPr="0067472B">
        <w:rPr>
          <w:rFonts w:ascii="Times New Roman" w:eastAsia="Times New Roman" w:hAnsi="Times New Roman"/>
          <w:iCs/>
          <w:lang w:eastAsia="zh-CN"/>
        </w:rPr>
        <w:fldChar w:fldCharType="end"/>
      </w:r>
      <w:r w:rsidRPr="0067472B">
        <w:rPr>
          <w:rFonts w:ascii="Times New Roman" w:eastAsia="Times New Roman" w:hAnsi="Times New Roman"/>
          <w:iCs/>
          <w:lang w:val="x-none" w:eastAsia="zh-CN"/>
        </w:rPr>
        <w:t xml:space="preserve"> concluded that cost leadership strategies have a very strong, positive and significant relationship with sustainability measures. This is done through an assessment of the Cost Leadership and Differentiation strategy in relation to planning, accumulation and use of resources, and the formation of core competencies (or internal dynamics).</w:t>
      </w:r>
    </w:p>
    <w:p w:rsidR="0067472B" w:rsidRPr="0067472B" w:rsidRDefault="0067472B" w:rsidP="0067472B">
      <w:pPr>
        <w:autoSpaceDE w:val="0"/>
        <w:autoSpaceDN w:val="0"/>
        <w:adjustRightInd w:val="0"/>
        <w:spacing w:after="0" w:line="240" w:lineRule="auto"/>
        <w:ind w:firstLine="426"/>
        <w:jc w:val="both"/>
        <w:rPr>
          <w:rFonts w:ascii="Times New Roman" w:eastAsia="Times New Roman" w:hAnsi="Times New Roman"/>
          <w:iCs/>
          <w:lang w:val="x-none" w:eastAsia="zh-CN"/>
        </w:rPr>
      </w:pPr>
      <w:r w:rsidRPr="0067472B">
        <w:rPr>
          <w:rFonts w:ascii="Times New Roman" w:eastAsia="Times New Roman" w:hAnsi="Times New Roman"/>
          <w:iCs/>
          <w:lang w:val="x-none" w:eastAsia="zh-CN"/>
        </w:rPr>
        <w:t xml:space="preserve">Cost leadership facilitates the sustainability of business operations. Unprecedented changes in business operations such as supply, demand, and transportation performance. Transportation systems and operations must adapt to accommodate and facilitate these changes </w:t>
      </w:r>
      <w:r w:rsidRPr="0067472B">
        <w:rPr>
          <w:rFonts w:ascii="Times New Roman" w:eastAsia="Times New Roman" w:hAnsi="Times New Roman"/>
          <w:iCs/>
          <w:lang w:val="x-none" w:eastAsia="zh-CN"/>
        </w:rPr>
        <w:fldChar w:fldCharType="begin" w:fldLock="1"/>
      </w:r>
      <w:r w:rsidRPr="0067472B">
        <w:rPr>
          <w:rFonts w:ascii="Times New Roman" w:eastAsia="Times New Roman" w:hAnsi="Times New Roman"/>
          <w:iCs/>
          <w:lang w:val="x-none" w:eastAsia="zh-CN"/>
        </w:rPr>
        <w:instrText>ADDIN CSL_CITATION {"citationItems":[{"id":"ITEM-1","itemData":{"ISBN":"0788175084","abstract":"Reports on the state of U.S. transportation system at two levels. Provides a statistical &amp; interpretive survey of the system -- its physical characteristics, economic attributes, aspects of its use &amp; performance, &amp; the scale &amp; severity of unintended consequences of transportation, such as fatalities &amp; injuries, oil import dependency, &amp; environment impacts. Explores in detail the performance of the system from the perspective. Charts &amp; tables. References. List of acronyms.","author":[{"dropping-particle":"","family":"Bureau of Transportation Statistics: US Department of Transportation","given":"","non-dropping-particle":"","parse-names":false,"suffix":""}],"container-title":"Transportation Statistics Annual Report","id":"ITEM-1","issue":"1 - 222","issued":{"date-parts":[["2010"]]},"page":"226","title":"Transportation Statistics Annual Report","type":"article-journal"},"uris":["http://www.mendeley.com/documents/?uuid=6114b42e-1b53-47e5-8c51-faf5140879d8"]}],"mendeley":{"formattedCitation":"[6]","plainTextFormattedCitation":"[6]","previouslyFormattedCitation":"[6]"},"properties":{"noteIndex":0},"schema":"https://github.com/citation-style-language/schema/raw/master/csl-citation.json"}</w:instrText>
      </w:r>
      <w:r w:rsidRPr="0067472B">
        <w:rPr>
          <w:rFonts w:ascii="Times New Roman" w:eastAsia="Times New Roman" w:hAnsi="Times New Roman"/>
          <w:iCs/>
          <w:lang w:val="x-none" w:eastAsia="zh-CN"/>
        </w:rPr>
        <w:fldChar w:fldCharType="separate"/>
      </w:r>
      <w:r w:rsidRPr="0067472B">
        <w:rPr>
          <w:rFonts w:ascii="Times New Roman" w:eastAsia="Times New Roman" w:hAnsi="Times New Roman"/>
          <w:iCs/>
          <w:lang w:val="x-none" w:eastAsia="zh-CN"/>
        </w:rPr>
        <w:t>[6]</w:t>
      </w:r>
      <w:r w:rsidRPr="0067472B">
        <w:rPr>
          <w:rFonts w:ascii="Times New Roman" w:eastAsia="Times New Roman" w:hAnsi="Times New Roman"/>
          <w:iCs/>
          <w:lang w:eastAsia="zh-CN"/>
        </w:rPr>
        <w:fldChar w:fldCharType="end"/>
      </w:r>
      <w:r w:rsidRPr="0067472B">
        <w:rPr>
          <w:rFonts w:ascii="Times New Roman" w:eastAsia="Times New Roman" w:hAnsi="Times New Roman"/>
          <w:iCs/>
          <w:lang w:val="x-none" w:eastAsia="zh-CN"/>
        </w:rPr>
        <w:t xml:space="preserve">. The transportation sector plays a </w:t>
      </w:r>
      <w:r w:rsidRPr="0067472B">
        <w:rPr>
          <w:rFonts w:ascii="Times New Roman" w:eastAsia="Times New Roman" w:hAnsi="Times New Roman"/>
          <w:iCs/>
          <w:lang w:val="x-none" w:eastAsia="zh-CN"/>
        </w:rPr>
        <w:lastRenderedPageBreak/>
        <w:t xml:space="preserve">crucial role in improving access to opportunities and influencing individual economic and social outcomes. It also contributes to sustainable development around the world and is an important global actor in the 2030 Agenda for Sustainable Development </w:t>
      </w:r>
      <w:r w:rsidRPr="0067472B">
        <w:rPr>
          <w:rFonts w:ascii="Times New Roman" w:eastAsia="Times New Roman" w:hAnsi="Times New Roman"/>
          <w:iCs/>
          <w:lang w:val="x-none" w:eastAsia="zh-CN"/>
        </w:rPr>
        <w:fldChar w:fldCharType="begin" w:fldLock="1"/>
      </w:r>
      <w:r w:rsidRPr="0067472B">
        <w:rPr>
          <w:rFonts w:ascii="Times New Roman" w:eastAsia="Times New Roman" w:hAnsi="Times New Roman"/>
          <w:iCs/>
          <w:lang w:val="x-none" w:eastAsia="zh-CN"/>
        </w:rPr>
        <w:instrText>ADDIN CSL_CITATION {"citationItems":[{"id":"ITEM-1","itemData":{"DOI":"10.1787/b6cc9ad5-en","ISBN":"9789282144817","collection-title":"ITF Transport Outlook","id":"ITEM-1","issued":{"date-parts":[["2023","5","24"]]},"publisher":"OECD","title":"ITF Transport Outlook 2023","type":"book"},"uris":["http://www.mendeley.com/documents/?uuid=9c485261-0a77-4c6b-98df-8402fe08e1d2"]}],"mendeley":{"formattedCitation":"[7]","plainTextFormattedCitation":"[7]","previouslyFormattedCitation":"[7]"},"properties":{"noteIndex":0},"schema":"https://github.com/citation-style-language/schema/raw/master/csl-citation.json"}</w:instrText>
      </w:r>
      <w:r w:rsidRPr="0067472B">
        <w:rPr>
          <w:rFonts w:ascii="Times New Roman" w:eastAsia="Times New Roman" w:hAnsi="Times New Roman"/>
          <w:iCs/>
          <w:lang w:val="x-none" w:eastAsia="zh-CN"/>
        </w:rPr>
        <w:fldChar w:fldCharType="separate"/>
      </w:r>
      <w:r w:rsidRPr="0067472B">
        <w:rPr>
          <w:rFonts w:ascii="Times New Roman" w:eastAsia="Times New Roman" w:hAnsi="Times New Roman"/>
          <w:iCs/>
          <w:lang w:val="x-none" w:eastAsia="zh-CN"/>
        </w:rPr>
        <w:t>[7]</w:t>
      </w:r>
      <w:r w:rsidRPr="0067472B">
        <w:rPr>
          <w:rFonts w:ascii="Times New Roman" w:eastAsia="Times New Roman" w:hAnsi="Times New Roman"/>
          <w:iCs/>
          <w:lang w:eastAsia="zh-CN"/>
        </w:rPr>
        <w:fldChar w:fldCharType="end"/>
      </w:r>
      <w:r w:rsidRPr="0067472B">
        <w:rPr>
          <w:rFonts w:ascii="Times New Roman" w:eastAsia="Times New Roman" w:hAnsi="Times New Roman"/>
          <w:iCs/>
          <w:lang w:val="x-none" w:eastAsia="zh-CN"/>
        </w:rPr>
        <w:t xml:space="preserve">. Vehicle allocation is the main challenge for sustainable transportation. The Vehicle Allocation Problem (VAP) consists of repositioning empty vehicles in a set of terminals at a specific planning period to maximize the profits generated from serving the demand for freight transportation between a pair of terminals </w:t>
      </w:r>
      <w:r w:rsidRPr="0067472B">
        <w:rPr>
          <w:rFonts w:ascii="Times New Roman" w:eastAsia="Times New Roman" w:hAnsi="Times New Roman"/>
          <w:iCs/>
          <w:lang w:val="x-none" w:eastAsia="zh-CN"/>
        </w:rPr>
        <w:fldChar w:fldCharType="begin" w:fldLock="1"/>
      </w:r>
      <w:r w:rsidRPr="0067472B">
        <w:rPr>
          <w:rFonts w:ascii="Times New Roman" w:eastAsia="Times New Roman" w:hAnsi="Times New Roman"/>
          <w:iCs/>
          <w:lang w:val="x-none" w:eastAsia="zh-CN"/>
        </w:rPr>
        <w:instrText>ADDIN CSL_CITATION {"citationItems":[{"id":"ITEM-1","itemData":{"author":[{"dropping-particle":"","family":"European Commission","given":"","non-dropping-particle":"","parse-names":false,"suffix":""}],"id":"ITEM-1","issue":"December","issued":{"date-parts":[["2023"]]},"title":"Proposal for a Regulation on circularity requirements for vehicle design and on management of end-of-life vehicles","type":"article-journal"},"uris":["http://www.mendeley.com/documents/?uuid=2c1cd4fe-c019-4e31-907c-13fb1d42166d"]}],"mendeley":{"formattedCitation":"[8]","plainTextFormattedCitation":"[8]","previouslyFormattedCitation":"[8]"},"properties":{"noteIndex":0},"schema":"https://github.com/citation-style-language/schema/raw/master/csl-citation.json"}</w:instrText>
      </w:r>
      <w:r w:rsidRPr="0067472B">
        <w:rPr>
          <w:rFonts w:ascii="Times New Roman" w:eastAsia="Times New Roman" w:hAnsi="Times New Roman"/>
          <w:iCs/>
          <w:lang w:val="x-none" w:eastAsia="zh-CN"/>
        </w:rPr>
        <w:fldChar w:fldCharType="separate"/>
      </w:r>
      <w:r w:rsidRPr="0067472B">
        <w:rPr>
          <w:rFonts w:ascii="Times New Roman" w:eastAsia="Times New Roman" w:hAnsi="Times New Roman"/>
          <w:iCs/>
          <w:lang w:val="x-none" w:eastAsia="zh-CN"/>
        </w:rPr>
        <w:t>[8]</w:t>
      </w:r>
      <w:r w:rsidRPr="0067472B">
        <w:rPr>
          <w:rFonts w:ascii="Times New Roman" w:eastAsia="Times New Roman" w:hAnsi="Times New Roman"/>
          <w:iCs/>
          <w:lang w:eastAsia="zh-CN"/>
        </w:rPr>
        <w:fldChar w:fldCharType="end"/>
      </w:r>
      <w:r w:rsidRPr="0067472B">
        <w:rPr>
          <w:rFonts w:ascii="Times New Roman" w:eastAsia="Times New Roman" w:hAnsi="Times New Roman"/>
          <w:iCs/>
          <w:lang w:val="x-none" w:eastAsia="zh-CN"/>
        </w:rPr>
        <w:t>. Some of the problems faced in logistics at Indonesia among others, infrastructure transportation which is inadequate in some areas, complicated bureaucracy in the process of shipping goods and services, as well as technological limitations in data and information processing. The problems of transportation management and business in Indonesia are high costs, lack of transportation equipment provided by the government, poor infrastructure and lack of coordination between institutions. Based on these problems, Cheap resource allocation (Allocation Cheap Sourcing) is a very urgent need. This research is important because it determines the sustainability of the transportation business managed by the private sector and the smooth running of public transportation and the efficiency of the government in the field of transportation management.</w:t>
      </w:r>
    </w:p>
    <w:p w:rsidR="000C4333" w:rsidRDefault="000C4333">
      <w:pPr>
        <w:autoSpaceDE w:val="0"/>
        <w:autoSpaceDN w:val="0"/>
        <w:adjustRightInd w:val="0"/>
        <w:spacing w:after="0" w:line="240" w:lineRule="auto"/>
        <w:ind w:firstLine="426"/>
        <w:jc w:val="both"/>
        <w:rPr>
          <w:rFonts w:ascii="Times New Roman" w:eastAsia="Times New Roman" w:hAnsi="Times New Roman"/>
          <w:iCs/>
          <w:lang w:eastAsia="zh-CN"/>
        </w:rPr>
      </w:pPr>
    </w:p>
    <w:p w:rsidR="0075247C" w:rsidRDefault="000C4333" w:rsidP="000C4333">
      <w:pPr>
        <w:pStyle w:val="Heading1"/>
        <w:numPr>
          <w:ilvl w:val="0"/>
          <w:numId w:val="0"/>
        </w:numPr>
        <w:ind w:left="426"/>
        <w:rPr>
          <w:rFonts w:eastAsia="Calibri"/>
        </w:rPr>
      </w:pPr>
      <w:r>
        <w:rPr>
          <w:rFonts w:eastAsia="Calibri"/>
          <w:lang w:val="en-US"/>
        </w:rPr>
        <w:t>METHOD</w:t>
      </w:r>
    </w:p>
    <w:p w:rsidR="0067472B" w:rsidRPr="0067472B" w:rsidRDefault="0067472B" w:rsidP="0067472B">
      <w:pPr>
        <w:spacing w:after="0" w:line="240" w:lineRule="auto"/>
        <w:ind w:firstLine="426"/>
        <w:jc w:val="both"/>
        <w:rPr>
          <w:rFonts w:ascii="Times New Roman" w:hAnsi="Times New Roman"/>
          <w:color w:val="111111"/>
          <w:shd w:val="clear" w:color="auto" w:fill="FFFFFF"/>
          <w:lang w:val="x-none"/>
        </w:rPr>
      </w:pPr>
      <w:r w:rsidRPr="0067472B">
        <w:rPr>
          <w:rFonts w:ascii="Times New Roman" w:hAnsi="Times New Roman"/>
          <w:color w:val="111111"/>
          <w:shd w:val="clear" w:color="auto" w:fill="FFFFFF"/>
          <w:lang w:val="x-none"/>
        </w:rPr>
        <w:t>The method used in this study is Evidence based policy . The time required for policy research is relatively short and addresses public attention at any given moment. The data collected in the research can be in the form of primary and secondary data. The data used in policy analysis is in the form of numbers or words (narratives or descriptions of a condition). The results of the data analysis will be able to assist policy analysts in making conclusions about a problem and in providing recommendations to solve policy problems.</w:t>
      </w:r>
    </w:p>
    <w:p w:rsidR="000C4333" w:rsidRDefault="000C4333">
      <w:pPr>
        <w:spacing w:after="0" w:line="240" w:lineRule="auto"/>
        <w:ind w:firstLine="426"/>
        <w:jc w:val="both"/>
        <w:rPr>
          <w:rFonts w:ascii="Times New Roman" w:hAnsi="Times New Roman"/>
          <w:color w:val="111111"/>
          <w:shd w:val="clear" w:color="auto" w:fill="FFFFFF"/>
        </w:rPr>
      </w:pPr>
    </w:p>
    <w:p w:rsidR="0075247C" w:rsidRDefault="0075247C" w:rsidP="000C4333">
      <w:pPr>
        <w:pStyle w:val="Heading1"/>
        <w:numPr>
          <w:ilvl w:val="0"/>
          <w:numId w:val="0"/>
        </w:numPr>
        <w:ind w:left="426"/>
        <w:rPr>
          <w:rFonts w:eastAsia="Calibri"/>
        </w:rPr>
      </w:pPr>
      <w:r>
        <w:rPr>
          <w:rFonts w:eastAsia="Calibri"/>
          <w:lang w:val="en-US"/>
        </w:rPr>
        <w:t>RESULTS AND DISCUSSION</w:t>
      </w:r>
    </w:p>
    <w:p w:rsidR="0067472B" w:rsidRPr="0067472B" w:rsidRDefault="0067472B" w:rsidP="0067472B">
      <w:pPr>
        <w:autoSpaceDE w:val="0"/>
        <w:autoSpaceDN w:val="0"/>
        <w:adjustRightInd w:val="0"/>
        <w:spacing w:after="0" w:line="240" w:lineRule="auto"/>
        <w:ind w:firstLine="426"/>
        <w:jc w:val="both"/>
        <w:rPr>
          <w:rFonts w:ascii="Times New Roman" w:eastAsia="Calibri" w:hAnsi="Times New Roman"/>
          <w:bCs/>
          <w:lang w:val="x-none"/>
        </w:rPr>
      </w:pPr>
      <w:r w:rsidRPr="0067472B">
        <w:rPr>
          <w:rFonts w:ascii="Times New Roman" w:eastAsia="Calibri" w:hAnsi="Times New Roman"/>
          <w:bCs/>
          <w:lang w:val="x-none"/>
        </w:rPr>
        <w:t>PELNI operates 26 passenger ships which serves 1,058 sections and stops at 71 ports. Meanwhile, in 2022, the number of ships carrying out activities in Indonesian waters reached 10.534, and as many as 9,458 of them are foreign ships. Based on a report by the Ministry of Transportation (</w:t>
      </w:r>
      <w:proofErr w:type="spellStart"/>
      <w:r w:rsidRPr="0067472B">
        <w:rPr>
          <w:rFonts w:ascii="Times New Roman" w:eastAsia="Calibri" w:hAnsi="Times New Roman"/>
          <w:bCs/>
          <w:lang w:val="x-none"/>
        </w:rPr>
        <w:t>Kemenhub</w:t>
      </w:r>
      <w:proofErr w:type="spellEnd"/>
      <w:r w:rsidRPr="0067472B">
        <w:rPr>
          <w:rFonts w:ascii="Times New Roman" w:eastAsia="Calibri" w:hAnsi="Times New Roman"/>
          <w:bCs/>
          <w:lang w:val="x-none"/>
        </w:rPr>
        <w:t xml:space="preserve">), the number of ocean fleets in Indonesia is as many as 72.313 units in 2021 </w:t>
      </w:r>
      <w:r w:rsidRPr="0067472B">
        <w:rPr>
          <w:rFonts w:ascii="Times New Roman" w:eastAsia="Calibri" w:hAnsi="Times New Roman"/>
          <w:bCs/>
          <w:lang w:val="x-none"/>
        </w:rPr>
        <w:fldChar w:fldCharType="begin" w:fldLock="1"/>
      </w:r>
      <w:r w:rsidRPr="0067472B">
        <w:rPr>
          <w:rFonts w:ascii="Times New Roman" w:eastAsia="Calibri" w:hAnsi="Times New Roman"/>
          <w:bCs/>
          <w:lang w:val="x-none"/>
        </w:rPr>
        <w:instrText>ADDIN CSL_CITATION {"citationItems":[{"id":"ITEM-1","itemData":{"URL":"https://dataindonesia.id/otomotif-transportasi/detail/ada-72313-kapal-laut-di-indonesia-pada-2021","author":[{"dropping-particle":"","family":"Riski","given":"M. Ayu","non-dropping-particle":"","parse-names":false,"suffix":""}],"container-title":"Dataindonesia.id","id":"ITEM-1","issued":{"date-parts":[["2022"]]},"title":"Kapal Laut di Indonesia Pada 2021","type":"webpage"},"uris":["http://www.mendeley.com/documents/?uuid=e8011c80-8e36-43f8-8a05-51b5e7484469"]}],"mendeley":{"formattedCitation":"[9]","plainTextFormattedCitation":"[9]","previouslyFormattedCitation":"[9]"},"properties":{"noteIndex":0},"schema":"https://github.com/citation-style-language/schema/raw/master/csl-citation.json"}</w:instrText>
      </w:r>
      <w:r w:rsidRPr="0067472B">
        <w:rPr>
          <w:rFonts w:ascii="Times New Roman" w:eastAsia="Calibri" w:hAnsi="Times New Roman"/>
          <w:bCs/>
          <w:lang w:val="x-none"/>
        </w:rPr>
        <w:fldChar w:fldCharType="separate"/>
      </w:r>
      <w:r w:rsidRPr="0067472B">
        <w:rPr>
          <w:rFonts w:ascii="Times New Roman" w:eastAsia="Calibri" w:hAnsi="Times New Roman"/>
          <w:bCs/>
          <w:lang w:val="x-none"/>
        </w:rPr>
        <w:t>[9]</w:t>
      </w:r>
      <w:r w:rsidRPr="0067472B">
        <w:rPr>
          <w:rFonts w:ascii="Times New Roman" w:eastAsia="Calibri" w:hAnsi="Times New Roman"/>
          <w:bCs/>
          <w:lang w:val="en-US"/>
        </w:rPr>
        <w:fldChar w:fldCharType="end"/>
      </w:r>
      <w:r w:rsidRPr="0067472B">
        <w:rPr>
          <w:rFonts w:ascii="Times New Roman" w:eastAsia="Calibri" w:hAnsi="Times New Roman"/>
          <w:bCs/>
          <w:lang w:val="x-none"/>
        </w:rPr>
        <w:t xml:space="preserve">. For land transportation owned by the government, </w:t>
      </w:r>
      <w:proofErr w:type="spellStart"/>
      <w:r w:rsidRPr="0067472B">
        <w:rPr>
          <w:rFonts w:ascii="Times New Roman" w:eastAsia="Calibri" w:hAnsi="Times New Roman"/>
          <w:bCs/>
          <w:lang w:val="x-none"/>
        </w:rPr>
        <w:t>Perum</w:t>
      </w:r>
      <w:proofErr w:type="spellEnd"/>
      <w:r w:rsidRPr="0067472B">
        <w:rPr>
          <w:rFonts w:ascii="Times New Roman" w:eastAsia="Calibri" w:hAnsi="Times New Roman"/>
          <w:bCs/>
          <w:lang w:val="x-none"/>
        </w:rPr>
        <w:t xml:space="preserve"> </w:t>
      </w:r>
      <w:proofErr w:type="spellStart"/>
      <w:r w:rsidRPr="0067472B">
        <w:rPr>
          <w:rFonts w:ascii="Times New Roman" w:eastAsia="Calibri" w:hAnsi="Times New Roman"/>
          <w:bCs/>
          <w:lang w:val="x-none"/>
        </w:rPr>
        <w:t>Damri</w:t>
      </w:r>
      <w:proofErr w:type="spellEnd"/>
      <w:r w:rsidRPr="0067472B">
        <w:rPr>
          <w:rFonts w:ascii="Times New Roman" w:eastAsia="Calibri" w:hAnsi="Times New Roman"/>
          <w:bCs/>
          <w:lang w:val="x-none"/>
        </w:rPr>
        <w:t xml:space="preserve"> has a total fleet of 2,000 units, with 200 units being electric buses while the total bus fleet in Indonesia is as much as 30,780 units, 420 aircraft but Garuda Indonesia group only has  202 Aircraft Fleet </w:t>
      </w:r>
      <w:r w:rsidRPr="0067472B">
        <w:rPr>
          <w:rFonts w:ascii="Times New Roman" w:eastAsia="Calibri" w:hAnsi="Times New Roman"/>
          <w:bCs/>
          <w:lang w:val="x-none"/>
        </w:rPr>
        <w:fldChar w:fldCharType="begin" w:fldLock="1"/>
      </w:r>
      <w:r w:rsidRPr="0067472B">
        <w:rPr>
          <w:rFonts w:ascii="Times New Roman" w:eastAsia="Calibri" w:hAnsi="Times New Roman"/>
          <w:bCs/>
          <w:lang w:val="x-none"/>
        </w:rPr>
        <w:instrText>ADDIN CSL_CITATION {"citationItems":[{"id":"ITEM-1","itemData":{"author":[{"dropping-particle":"","family":"Fery","given":"","non-dropping-particle":"","parse-names":false,"suffix":""}],"container-title":"Republika","id":"ITEM-1","issued":{"date-parts":[["2024"]]},"title":"ini-jumlah-armada-angkutan-mudik-2024-untuk-layani-1936-juta-pemudik","type":"webpage"},"uris":["http://www.mendeley.com/documents/?uuid=4b12530c-1766-456d-a1b2-6156a1b6daf8"]}],"mendeley":{"formattedCitation":"[10]","plainTextFormattedCitation":"[10]","previouslyFormattedCitation":"[10]"},"properties":{"noteIndex":0},"schema":"https://github.com/citation-style-language/schema/raw/master/csl-citation.json"}</w:instrText>
      </w:r>
      <w:r w:rsidRPr="0067472B">
        <w:rPr>
          <w:rFonts w:ascii="Times New Roman" w:eastAsia="Calibri" w:hAnsi="Times New Roman"/>
          <w:bCs/>
          <w:lang w:val="x-none"/>
        </w:rPr>
        <w:fldChar w:fldCharType="separate"/>
      </w:r>
      <w:r w:rsidRPr="0067472B">
        <w:rPr>
          <w:rFonts w:ascii="Times New Roman" w:eastAsia="Calibri" w:hAnsi="Times New Roman"/>
          <w:bCs/>
          <w:lang w:val="x-none"/>
        </w:rPr>
        <w:t>[10]</w:t>
      </w:r>
      <w:r w:rsidRPr="0067472B">
        <w:rPr>
          <w:rFonts w:ascii="Times New Roman" w:eastAsia="Calibri" w:hAnsi="Times New Roman"/>
          <w:bCs/>
          <w:lang w:val="en-US"/>
        </w:rPr>
        <w:fldChar w:fldCharType="end"/>
      </w:r>
      <w:r w:rsidRPr="0067472B">
        <w:rPr>
          <w:rFonts w:ascii="Times New Roman" w:eastAsia="Calibri" w:hAnsi="Times New Roman"/>
          <w:bCs/>
          <w:lang w:val="x-none"/>
        </w:rPr>
        <w:t>.</w:t>
      </w:r>
    </w:p>
    <w:p w:rsidR="0067472B" w:rsidRPr="0067472B" w:rsidRDefault="0067472B" w:rsidP="0067472B">
      <w:pPr>
        <w:autoSpaceDE w:val="0"/>
        <w:autoSpaceDN w:val="0"/>
        <w:adjustRightInd w:val="0"/>
        <w:spacing w:after="0" w:line="240" w:lineRule="auto"/>
        <w:ind w:firstLine="426"/>
        <w:jc w:val="both"/>
        <w:rPr>
          <w:rFonts w:ascii="Times New Roman" w:eastAsia="Calibri" w:hAnsi="Times New Roman"/>
          <w:bCs/>
          <w:lang w:val="x-none"/>
        </w:rPr>
      </w:pPr>
      <w:r w:rsidRPr="0067472B">
        <w:rPr>
          <w:rFonts w:ascii="Times New Roman" w:eastAsia="Calibri" w:hAnsi="Times New Roman"/>
          <w:bCs/>
          <w:lang w:val="x-none"/>
        </w:rPr>
        <w:lastRenderedPageBreak/>
        <w:t xml:space="preserve">Data shows that the comparison between transportation fleets managed by the Government and the private sector is much more owned and managed by the private sector. The large number of fleets has an impact on congestion, is ineffective and causes air pollution </w:t>
      </w:r>
      <w:r w:rsidRPr="0067472B">
        <w:rPr>
          <w:rFonts w:ascii="Times New Roman" w:eastAsia="Calibri" w:hAnsi="Times New Roman"/>
          <w:bCs/>
          <w:lang w:val="x-none"/>
        </w:rPr>
        <w:fldChar w:fldCharType="begin" w:fldLock="1"/>
      </w:r>
      <w:r w:rsidRPr="0067472B">
        <w:rPr>
          <w:rFonts w:ascii="Times New Roman" w:eastAsia="Calibri" w:hAnsi="Times New Roman"/>
          <w:bCs/>
          <w:lang w:val="x-none"/>
        </w:rPr>
        <w:instrText>ADDIN CSL_CITATION {"citationItems":[{"id":"ITEM-1","itemData":{"author":[{"dropping-particle":"","family":"Dutta","given":"Pranav","non-dropping-particle":"","parse-names":false,"suffix":""}],"id":"ITEM-1","issued":{"date-parts":[["2023","3","24"]]},"title":"THE ENVIRONMENTAL IMPACTS OF VEHICLE POLLUTION","type":"article-journal"},"uris":["http://www.mendeley.com/documents/?uuid=6ab43fbc-39d9-4233-8fb8-335721a0527f"]}],"mendeley":{"formattedCitation":"[11]","plainTextFormattedCitation":"[11]","previouslyFormattedCitation":"[11]"},"properties":{"noteIndex":0},"schema":"https://github.com/citation-style-language/schema/raw/master/csl-citation.json"}</w:instrText>
      </w:r>
      <w:r w:rsidRPr="0067472B">
        <w:rPr>
          <w:rFonts w:ascii="Times New Roman" w:eastAsia="Calibri" w:hAnsi="Times New Roman"/>
          <w:bCs/>
          <w:lang w:val="x-none"/>
        </w:rPr>
        <w:fldChar w:fldCharType="separate"/>
      </w:r>
      <w:r w:rsidRPr="0067472B">
        <w:rPr>
          <w:rFonts w:ascii="Times New Roman" w:eastAsia="Calibri" w:hAnsi="Times New Roman"/>
          <w:bCs/>
          <w:lang w:val="x-none"/>
        </w:rPr>
        <w:t>[11]</w:t>
      </w:r>
      <w:r w:rsidRPr="0067472B">
        <w:rPr>
          <w:rFonts w:ascii="Times New Roman" w:eastAsia="Calibri" w:hAnsi="Times New Roman"/>
          <w:bCs/>
          <w:lang w:val="en-US"/>
        </w:rPr>
        <w:fldChar w:fldCharType="end"/>
      </w:r>
      <w:r w:rsidRPr="0067472B">
        <w:rPr>
          <w:rFonts w:ascii="Times New Roman" w:eastAsia="Calibri" w:hAnsi="Times New Roman"/>
          <w:bCs/>
          <w:lang w:val="x-none"/>
        </w:rPr>
        <w:t xml:space="preserve">. Congestion </w:t>
      </w:r>
      <w:r w:rsidRPr="0067472B">
        <w:rPr>
          <w:rFonts w:ascii="Times New Roman" w:eastAsia="Calibri" w:hAnsi="Times New Roman"/>
          <w:bCs/>
          <w:lang w:val="x-none"/>
        </w:rPr>
        <w:fldChar w:fldCharType="begin" w:fldLock="1"/>
      </w:r>
      <w:r w:rsidRPr="0067472B">
        <w:rPr>
          <w:rFonts w:ascii="Times New Roman" w:eastAsia="Calibri" w:hAnsi="Times New Roman"/>
          <w:bCs/>
          <w:lang w:val="x-none"/>
        </w:rPr>
        <w:instrText>ADDIN CSL_CITATION {"citationItems":[{"id":"ITEM-1","itemData":{"DOI":"10.59110/aplikatif.v2i1.123","ISSN":"2962-7222","abstract":"Traffic Jam is a problem that is quite complicated in the community. The volume of transportation passing by on the highway is a trigger for traffic jam. This unresolved traffic jam is causing stress to road users. So that, this study aims to see how far the impact of traffic jams has on student life and the level of student stress in dealing with traffic jams. This study uses a quantitative research method with an explanatory approach. The population in this study were 293 students of the Communication Studies Program, Mercu Buana University Yogyakarta batch 2021, while the sample was taken using probability sampling technique, namely Simple Random Sampling so that a sample of 101 students was obtained. The data collection technique used was a questionnaire on the influence of media use and a questionnaire on fulfilling information needs. The data obtained was analyzed using SPSS Version 20 software. The results showed that there was a strong relationship between student stress levels and traffic jams in the city of Yogyakarta. Furthermore, there is an influence of 53.2% between the effect of traffic jams on the high level of student stress. So that the other 46.8% is influenced by other variables not examined. Furthermore, the results of the independent sample t-test showed no difference in the effect of traffic jams between male and female students.","author":[{"dropping-particle":"","family":"Amelia","given":"Alfara Dhita","non-dropping-particle":"","parse-names":false,"suffix":""},{"dropping-particle":"","family":"Arib","given":"Muhammad Irfan","non-dropping-particle":"","parse-names":false,"suffix":""},{"dropping-particle":"","family":"Renaldi","given":"Yohanes Soreth","non-dropping-particle":"","parse-names":false,"suffix":""},{"dropping-particle":"","family":"Hartono","given":"Tania Sunilah","non-dropping-particle":"","parse-names":false,"suffix":""},{"dropping-particle":"","family":"Ramos","given":"Sarah Vega","non-dropping-particle":"","parse-names":false,"suffix":""}],"container-title":"APLIKATIF: Journal of Research Trends in Social Sciences and Humanities","id":"ITEM-1","issue":"1","issued":{"date-parts":[["2023","6","30"]]},"page":"46-50","title":"The Effect of Traffic Jam on High Levels of Student Stress","type":"article-journal","volume":"2"},"uris":["http://www.mendeley.com/documents/?uuid=d4ffc911-d8a1-4916-a2b4-f9bf1f36b480"]}],"mendeley":{"formattedCitation":"[12]","plainTextFormattedCitation":"[12]","previouslyFormattedCitation":"[12]"},"properties":{"noteIndex":0},"schema":"https://github.com/citation-style-language/schema/raw/master/csl-citation.json"}</w:instrText>
      </w:r>
      <w:r w:rsidRPr="0067472B">
        <w:rPr>
          <w:rFonts w:ascii="Times New Roman" w:eastAsia="Calibri" w:hAnsi="Times New Roman"/>
          <w:bCs/>
          <w:lang w:val="x-none"/>
        </w:rPr>
        <w:fldChar w:fldCharType="separate"/>
      </w:r>
      <w:r w:rsidRPr="0067472B">
        <w:rPr>
          <w:rFonts w:ascii="Times New Roman" w:eastAsia="Calibri" w:hAnsi="Times New Roman"/>
          <w:bCs/>
          <w:lang w:val="x-none"/>
        </w:rPr>
        <w:t>[12]</w:t>
      </w:r>
      <w:r w:rsidRPr="0067472B">
        <w:rPr>
          <w:rFonts w:ascii="Times New Roman" w:eastAsia="Calibri" w:hAnsi="Times New Roman"/>
          <w:bCs/>
          <w:lang w:val="en-US"/>
        </w:rPr>
        <w:fldChar w:fldCharType="end"/>
      </w:r>
      <w:r w:rsidRPr="0067472B">
        <w:rPr>
          <w:rFonts w:ascii="Times New Roman" w:eastAsia="Calibri" w:hAnsi="Times New Roman"/>
          <w:bCs/>
          <w:lang w:val="x-none"/>
        </w:rPr>
        <w:t xml:space="preserve"> Socioeconomic losses and fuel waste </w:t>
      </w:r>
      <w:r w:rsidRPr="0067472B">
        <w:rPr>
          <w:rFonts w:ascii="Times New Roman" w:eastAsia="Calibri" w:hAnsi="Times New Roman"/>
          <w:bCs/>
          <w:lang w:val="x-none"/>
        </w:rPr>
        <w:fldChar w:fldCharType="begin" w:fldLock="1"/>
      </w:r>
      <w:r w:rsidRPr="0067472B">
        <w:rPr>
          <w:rFonts w:ascii="Times New Roman" w:eastAsia="Calibri" w:hAnsi="Times New Roman"/>
          <w:bCs/>
          <w:lang w:val="x-none"/>
        </w:rPr>
        <w:instrText>ADDIN CSL_CITATION {"citationItems":[{"id":"ITEM-1","itemData":{"DOI":"10.2991/978-2-38476-072-5_9","author":[{"dropping-particle":"","family":"Helmi","given":"Sulaiman","non-dropping-particle":"","parse-names":false,"suffix":""},{"dropping-particle":"","family":"Wahab","given":"Wahyuni","non-dropping-particle":"","parse-names":false,"suffix":""}],"id":"ITEM-1","issued":{"date-parts":[["2023"]]},"page":"80-90","title":"Traffic Congestion Effect on Socio-Economic of Road Users in Palembang City","type":"chapter"},"uris":["http://www.mendeley.com/documents/?uuid=b7f2e87f-a016-426c-be12-bee6a3aa3e08"]}],"mendeley":{"formattedCitation":"[13]","plainTextFormattedCitation":"[13]","previouslyFormattedCitation":"[13]"},"properties":{"noteIndex":0},"schema":"https://github.com/citation-style-language/schema/raw/master/csl-citation.json"}</w:instrText>
      </w:r>
      <w:r w:rsidRPr="0067472B">
        <w:rPr>
          <w:rFonts w:ascii="Times New Roman" w:eastAsia="Calibri" w:hAnsi="Times New Roman"/>
          <w:bCs/>
          <w:lang w:val="x-none"/>
        </w:rPr>
        <w:fldChar w:fldCharType="separate"/>
      </w:r>
      <w:r w:rsidRPr="0067472B">
        <w:rPr>
          <w:rFonts w:ascii="Times New Roman" w:eastAsia="Calibri" w:hAnsi="Times New Roman"/>
          <w:bCs/>
          <w:lang w:val="x-none"/>
        </w:rPr>
        <w:t>[13]</w:t>
      </w:r>
      <w:r w:rsidRPr="0067472B">
        <w:rPr>
          <w:rFonts w:ascii="Times New Roman" w:eastAsia="Calibri" w:hAnsi="Times New Roman"/>
          <w:bCs/>
          <w:lang w:val="en-US"/>
        </w:rPr>
        <w:fldChar w:fldCharType="end"/>
      </w:r>
      <w:r w:rsidRPr="0067472B">
        <w:rPr>
          <w:rFonts w:ascii="Times New Roman" w:eastAsia="Calibri" w:hAnsi="Times New Roman"/>
          <w:bCs/>
          <w:lang w:val="x-none"/>
        </w:rPr>
        <w:t xml:space="preserve">. Results </w:t>
      </w:r>
      <w:r w:rsidRPr="0067472B">
        <w:rPr>
          <w:rFonts w:ascii="Times New Roman" w:eastAsia="Calibri" w:hAnsi="Times New Roman"/>
          <w:bCs/>
          <w:lang w:val="x-none"/>
        </w:rPr>
        <w:fldChar w:fldCharType="begin" w:fldLock="1"/>
      </w:r>
      <w:r w:rsidRPr="0067472B">
        <w:rPr>
          <w:rFonts w:ascii="Times New Roman" w:eastAsia="Calibri" w:hAnsi="Times New Roman"/>
          <w:bCs/>
          <w:lang w:val="x-none"/>
        </w:rPr>
        <w:instrText>ADDIN CSL_CITATION {"citationItems":[{"id":"ITEM-1","itemData":{"author":[{"dropping-particle":"","family":"Benedikter","given":"Prof Niels","non-dropping-particle":"","parse-names":false,"suffix":""}],"id":"ITEM-1","issued":{"date-parts":[["2024"]]},"page":"1-7","title":"How to Reduce Congestion I : The Optimal Speed Limit for Urban Traffic","type":"article-journal"},"uris":["http://www.mendeley.com/documents/?uuid=75323841-c23e-4724-9461-f0c0de129a78"]}],"mendeley":{"formattedCitation":"[14]","plainTextFormattedCitation":"[14]","previouslyFormattedCitation":"[14]"},"properties":{"noteIndex":0},"schema":"https://github.com/citation-style-language/schema/raw/master/csl-citation.json"}</w:instrText>
      </w:r>
      <w:r w:rsidRPr="0067472B">
        <w:rPr>
          <w:rFonts w:ascii="Times New Roman" w:eastAsia="Calibri" w:hAnsi="Times New Roman"/>
          <w:bCs/>
          <w:lang w:val="x-none"/>
        </w:rPr>
        <w:fldChar w:fldCharType="separate"/>
      </w:r>
      <w:r w:rsidRPr="0067472B">
        <w:rPr>
          <w:rFonts w:ascii="Times New Roman" w:eastAsia="Calibri" w:hAnsi="Times New Roman"/>
          <w:bCs/>
          <w:lang w:val="x-none"/>
        </w:rPr>
        <w:t>[14]</w:t>
      </w:r>
      <w:r w:rsidRPr="0067472B">
        <w:rPr>
          <w:rFonts w:ascii="Times New Roman" w:eastAsia="Calibri" w:hAnsi="Times New Roman"/>
          <w:bCs/>
          <w:lang w:val="en-US"/>
        </w:rPr>
        <w:fldChar w:fldCharType="end"/>
      </w:r>
      <w:r w:rsidRPr="0067472B">
        <w:rPr>
          <w:rFonts w:ascii="Times New Roman" w:eastAsia="Calibri" w:hAnsi="Times New Roman"/>
          <w:bCs/>
          <w:lang w:val="x-none"/>
        </w:rPr>
        <w:t xml:space="preserve"> to reduce congestion and air pollution by means of an optimal speed of 31km/h. However, this will cause delays in the community reaching the goal.  Restrictions on vehicle fleets are almost impossible to do because they are related to freedom of business by the private sector and will interfere with investment Affects low-income households </w:t>
      </w:r>
      <w:r w:rsidRPr="0067472B">
        <w:rPr>
          <w:rFonts w:ascii="Times New Roman" w:eastAsia="Calibri" w:hAnsi="Times New Roman"/>
          <w:bCs/>
          <w:lang w:val="x-none"/>
        </w:rPr>
        <w:fldChar w:fldCharType="begin" w:fldLock="1"/>
      </w:r>
      <w:r w:rsidRPr="0067472B">
        <w:rPr>
          <w:rFonts w:ascii="Times New Roman" w:eastAsia="Calibri" w:hAnsi="Times New Roman"/>
          <w:bCs/>
          <w:lang w:val="x-none"/>
        </w:rPr>
        <w:instrText>ADDIN CSL_CITATION {"citationItems":[{"id":"ITEM-1","itemData":{"DOI":"10.2867/45894","ISBN":"9789286156502","id":"ITEM-1","issued":{"date-parts":[["2024"]]},"publisher":"European Investment Bank","title":"Investment barriers in the European Union 2023: a report by the European Investment Bank Group","type":"book"},"uris":["http://www.mendeley.com/documents/?uuid=ff5adcc5-7426-4d0a-ad1d-98541de0e3c9"]}],"mendeley":{"formattedCitation":"[15]","plainTextFormattedCitation":"[15]","previouslyFormattedCitation":"[15]"},"properties":{"noteIndex":0},"schema":"https://github.com/citation-style-language/schema/raw/master/csl-citation.json"}</w:instrText>
      </w:r>
      <w:r w:rsidRPr="0067472B">
        <w:rPr>
          <w:rFonts w:ascii="Times New Roman" w:eastAsia="Calibri" w:hAnsi="Times New Roman"/>
          <w:bCs/>
          <w:lang w:val="x-none"/>
        </w:rPr>
        <w:fldChar w:fldCharType="separate"/>
      </w:r>
      <w:r w:rsidRPr="0067472B">
        <w:rPr>
          <w:rFonts w:ascii="Times New Roman" w:eastAsia="Calibri" w:hAnsi="Times New Roman"/>
          <w:bCs/>
          <w:lang w:val="x-none"/>
        </w:rPr>
        <w:t>[15]</w:t>
      </w:r>
      <w:r w:rsidRPr="0067472B">
        <w:rPr>
          <w:rFonts w:ascii="Times New Roman" w:eastAsia="Calibri" w:hAnsi="Times New Roman"/>
          <w:bCs/>
          <w:lang w:val="en-US"/>
        </w:rPr>
        <w:fldChar w:fldCharType="end"/>
      </w:r>
      <w:r w:rsidRPr="0067472B">
        <w:rPr>
          <w:rFonts w:ascii="Times New Roman" w:eastAsia="Calibri" w:hAnsi="Times New Roman"/>
          <w:bCs/>
          <w:lang w:val="x-none"/>
        </w:rPr>
        <w:t>.</w:t>
      </w:r>
    </w:p>
    <w:p w:rsidR="0067472B" w:rsidRPr="0067472B" w:rsidRDefault="0067472B" w:rsidP="0067472B">
      <w:pPr>
        <w:autoSpaceDE w:val="0"/>
        <w:autoSpaceDN w:val="0"/>
        <w:adjustRightInd w:val="0"/>
        <w:spacing w:after="0" w:line="240" w:lineRule="auto"/>
        <w:ind w:firstLine="426"/>
        <w:jc w:val="both"/>
        <w:rPr>
          <w:rFonts w:ascii="Times New Roman" w:eastAsia="Calibri" w:hAnsi="Times New Roman"/>
          <w:bCs/>
          <w:lang w:val="x-none"/>
        </w:rPr>
      </w:pPr>
      <w:r w:rsidRPr="0067472B">
        <w:rPr>
          <w:rFonts w:ascii="Times New Roman" w:eastAsia="Calibri" w:hAnsi="Times New Roman"/>
          <w:bCs/>
          <w:lang w:val="x-none"/>
        </w:rPr>
        <w:t xml:space="preserve">Transportation operated by the private sector has suffered losses both on routes within the city and outside the city. </w:t>
      </w:r>
      <w:proofErr w:type="spellStart"/>
      <w:r w:rsidRPr="0067472B">
        <w:rPr>
          <w:rFonts w:ascii="Times New Roman" w:eastAsia="Calibri" w:hAnsi="Times New Roman"/>
          <w:bCs/>
          <w:lang w:val="x-none"/>
        </w:rPr>
        <w:t>Bantul</w:t>
      </w:r>
      <w:proofErr w:type="spellEnd"/>
      <w:r w:rsidRPr="0067472B">
        <w:rPr>
          <w:rFonts w:ascii="Times New Roman" w:eastAsia="Calibri" w:hAnsi="Times New Roman"/>
          <w:bCs/>
          <w:lang w:val="x-none"/>
        </w:rPr>
        <w:t xml:space="preserve"> intra-provincial intercity transportation routes (AKDP) and rural transportation (</w:t>
      </w:r>
      <w:proofErr w:type="spellStart"/>
      <w:r w:rsidRPr="0067472B">
        <w:rPr>
          <w:rFonts w:ascii="Times New Roman" w:eastAsia="Calibri" w:hAnsi="Times New Roman"/>
          <w:bCs/>
          <w:lang w:val="x-none"/>
        </w:rPr>
        <w:t>Angkudes</w:t>
      </w:r>
      <w:proofErr w:type="spellEnd"/>
      <w:r w:rsidRPr="0067472B">
        <w:rPr>
          <w:rFonts w:ascii="Times New Roman" w:eastAsia="Calibri" w:hAnsi="Times New Roman"/>
          <w:bCs/>
          <w:lang w:val="x-none"/>
        </w:rPr>
        <w:t xml:space="preserve">) are starting to be empty of passengers. Public bus companies have suffered extraordinary losses, many bus fleets are not operating due to the absence of passengers </w:t>
      </w:r>
      <w:r w:rsidRPr="0067472B">
        <w:rPr>
          <w:rFonts w:ascii="Times New Roman" w:eastAsia="Calibri" w:hAnsi="Times New Roman"/>
          <w:bCs/>
          <w:lang w:val="x-none"/>
        </w:rPr>
        <w:fldChar w:fldCharType="begin" w:fldLock="1"/>
      </w:r>
      <w:r w:rsidRPr="0067472B">
        <w:rPr>
          <w:rFonts w:ascii="Times New Roman" w:eastAsia="Calibri" w:hAnsi="Times New Roman"/>
          <w:bCs/>
          <w:lang w:val="x-none"/>
        </w:rPr>
        <w:instrText>ADDIN CSL_CITATION {"citationItems":[{"id":"ITEM-1","itemData":{"author":[{"dropping-particle":"","family":"Haryanto","given":"Adi","non-dropping-particle":"","parse-names":false,"suffix":""}],"container-title":"Sindonews","id":"ITEM-1","issued":{"date-parts":[["2021"]]},"title":"Armada Nganggur di Garasi, Perusahaan Bus di Cimahi Terancam Bangkrut","type":"webpage"},"uris":["http://www.mendeley.com/documents/?uuid=50e4fa4b-41b6-4010-a314-983e08fad974"]}],"mendeley":{"formattedCitation":"[16]","plainTextFormattedCitation":"[16]","previouslyFormattedCitation":"[16]"},"properties":{"noteIndex":0},"schema":"https://github.com/citation-style-language/schema/raw/master/csl-citation.json"}</w:instrText>
      </w:r>
      <w:r w:rsidRPr="0067472B">
        <w:rPr>
          <w:rFonts w:ascii="Times New Roman" w:eastAsia="Calibri" w:hAnsi="Times New Roman"/>
          <w:bCs/>
          <w:lang w:val="x-none"/>
        </w:rPr>
        <w:fldChar w:fldCharType="separate"/>
      </w:r>
      <w:r w:rsidRPr="0067472B">
        <w:rPr>
          <w:rFonts w:ascii="Times New Roman" w:eastAsia="Calibri" w:hAnsi="Times New Roman"/>
          <w:bCs/>
          <w:lang w:val="x-none"/>
        </w:rPr>
        <w:t>[16]</w:t>
      </w:r>
      <w:r w:rsidRPr="0067472B">
        <w:rPr>
          <w:rFonts w:ascii="Times New Roman" w:eastAsia="Calibri" w:hAnsi="Times New Roman"/>
          <w:bCs/>
          <w:lang w:val="en-US"/>
        </w:rPr>
        <w:fldChar w:fldCharType="end"/>
      </w:r>
      <w:r w:rsidRPr="0067472B">
        <w:rPr>
          <w:rFonts w:ascii="Times New Roman" w:eastAsia="Calibri" w:hAnsi="Times New Roman"/>
          <w:bCs/>
          <w:lang w:val="x-none"/>
        </w:rPr>
        <w:t xml:space="preserve"> Almost the same condition is also experienced by the government-managed fleet.  </w:t>
      </w:r>
      <w:proofErr w:type="spellStart"/>
      <w:r w:rsidRPr="0067472B">
        <w:rPr>
          <w:rFonts w:ascii="Times New Roman" w:eastAsia="Calibri" w:hAnsi="Times New Roman"/>
          <w:bCs/>
          <w:lang w:val="x-none"/>
        </w:rPr>
        <w:t>Batu</w:t>
      </w:r>
      <w:proofErr w:type="spellEnd"/>
      <w:r w:rsidRPr="0067472B">
        <w:rPr>
          <w:rFonts w:ascii="Times New Roman" w:eastAsia="Calibri" w:hAnsi="Times New Roman"/>
          <w:bCs/>
          <w:lang w:val="x-none"/>
        </w:rPr>
        <w:t xml:space="preserve"> City Terminal is Empty of Passengers, </w:t>
      </w:r>
      <w:proofErr w:type="spellStart"/>
      <w:r w:rsidRPr="0067472B">
        <w:rPr>
          <w:rFonts w:ascii="Times New Roman" w:eastAsia="Calibri" w:hAnsi="Times New Roman"/>
          <w:bCs/>
          <w:lang w:val="x-none"/>
        </w:rPr>
        <w:t>Angkot</w:t>
      </w:r>
      <w:proofErr w:type="spellEnd"/>
      <w:r w:rsidRPr="0067472B">
        <w:rPr>
          <w:rFonts w:ascii="Times New Roman" w:eastAsia="Calibri" w:hAnsi="Times New Roman"/>
          <w:bCs/>
          <w:lang w:val="x-none"/>
        </w:rPr>
        <w:t xml:space="preserve"> Reduces 50 Units, DAMRI Closes </w:t>
      </w:r>
      <w:r w:rsidRPr="0067472B">
        <w:rPr>
          <w:rFonts w:ascii="Times New Roman" w:eastAsia="Calibri" w:hAnsi="Times New Roman"/>
          <w:bCs/>
          <w:lang w:val="x-none"/>
        </w:rPr>
        <w:fldChar w:fldCharType="begin" w:fldLock="1"/>
      </w:r>
      <w:r w:rsidRPr="0067472B">
        <w:rPr>
          <w:rFonts w:ascii="Times New Roman" w:eastAsia="Calibri" w:hAnsi="Times New Roman"/>
          <w:bCs/>
          <w:lang w:val="x-none"/>
        </w:rPr>
        <w:instrText>ADDIN CSL_CITATION {"citationItems":[{"id":"ITEM-1","itemData":{"author":[{"dropping-particle":"","family":"Amrullah","given":"Kholid","non-dropping-particle":"","parse-names":false,"suffix":""}],"container-title":"Jawapos","id":"ITEM-1","issued":{"date-parts":[["2023"]]},"title":"Terminal Kota Batu yang Sepi Penumpang,Angkot Berkurang 50 Unit, DAMRI Tutup","type":"webpage"},"uris":["http://www.mendeley.com/documents/?uuid=43b359cd-0917-4bfe-bd43-e493b332a53a"]}],"mendeley":{"formattedCitation":"[17]","plainTextFormattedCitation":"[17]","previouslyFormattedCitation":"[17]"},"properties":{"noteIndex":0},"schema":"https://github.com/citation-style-language/schema/raw/master/csl-citation.json"}</w:instrText>
      </w:r>
      <w:r w:rsidRPr="0067472B">
        <w:rPr>
          <w:rFonts w:ascii="Times New Roman" w:eastAsia="Calibri" w:hAnsi="Times New Roman"/>
          <w:bCs/>
          <w:lang w:val="x-none"/>
        </w:rPr>
        <w:fldChar w:fldCharType="separate"/>
      </w:r>
      <w:r w:rsidRPr="0067472B">
        <w:rPr>
          <w:rFonts w:ascii="Times New Roman" w:eastAsia="Calibri" w:hAnsi="Times New Roman"/>
          <w:bCs/>
          <w:lang w:val="x-none"/>
        </w:rPr>
        <w:t>[17]</w:t>
      </w:r>
      <w:r w:rsidRPr="0067472B">
        <w:rPr>
          <w:rFonts w:ascii="Times New Roman" w:eastAsia="Calibri" w:hAnsi="Times New Roman"/>
          <w:bCs/>
          <w:lang w:val="en-US"/>
        </w:rPr>
        <w:fldChar w:fldCharType="end"/>
      </w:r>
      <w:r w:rsidRPr="0067472B">
        <w:rPr>
          <w:rFonts w:ascii="Times New Roman" w:eastAsia="Calibri" w:hAnsi="Times New Roman"/>
          <w:bCs/>
          <w:lang w:val="x-none"/>
        </w:rPr>
        <w:t xml:space="preserve">. The reason passengers do not want to use public transportation, both managed by the government and SWSTA, is because: longer travel time, congestion and juggling, uncontrolled schedule, limited operating time and more expensive </w:t>
      </w:r>
      <w:r w:rsidRPr="0067472B">
        <w:rPr>
          <w:rFonts w:ascii="Times New Roman" w:eastAsia="Calibri" w:hAnsi="Times New Roman"/>
          <w:bCs/>
          <w:lang w:val="x-none"/>
        </w:rPr>
        <w:fldChar w:fldCharType="begin" w:fldLock="1"/>
      </w:r>
      <w:r w:rsidRPr="0067472B">
        <w:rPr>
          <w:rFonts w:ascii="Times New Roman" w:eastAsia="Calibri" w:hAnsi="Times New Roman"/>
          <w:bCs/>
          <w:lang w:val="x-none"/>
        </w:rPr>
        <w:instrText>ADDIN CSL_CITATION {"citationItems":[{"id":"ITEM-1","itemData":{"author":[{"dropping-particle":"","family":"Fadli","given":"Ardiansyah","non-dropping-particle":"","parse-names":false,"suffix":""}],"container-title":"Kompas","id":"ITEM-1","issued":{"date-parts":[["2022"]]},"title":"Lima Alasan Orang Membenci Transportasi Umum","type":"webpage"},"uris":["http://www.mendeley.com/documents/?uuid=789b311f-2bc2-4c47-8980-b5a76a4934b0"]}],"mendeley":{"formattedCitation":"[18]","plainTextFormattedCitation":"[18]","previouslyFormattedCitation":"[18]"},"properties":{"noteIndex":0},"schema":"https://github.com/citation-style-language/schema/raw/master/csl-citation.json"}</w:instrText>
      </w:r>
      <w:r w:rsidRPr="0067472B">
        <w:rPr>
          <w:rFonts w:ascii="Times New Roman" w:eastAsia="Calibri" w:hAnsi="Times New Roman"/>
          <w:bCs/>
          <w:lang w:val="x-none"/>
        </w:rPr>
        <w:fldChar w:fldCharType="separate"/>
      </w:r>
      <w:r w:rsidRPr="0067472B">
        <w:rPr>
          <w:rFonts w:ascii="Times New Roman" w:eastAsia="Calibri" w:hAnsi="Times New Roman"/>
          <w:bCs/>
          <w:lang w:val="x-none"/>
        </w:rPr>
        <w:t>[18]</w:t>
      </w:r>
      <w:r w:rsidRPr="0067472B">
        <w:rPr>
          <w:rFonts w:ascii="Times New Roman" w:eastAsia="Calibri" w:hAnsi="Times New Roman"/>
          <w:bCs/>
          <w:lang w:val="en-US"/>
        </w:rPr>
        <w:fldChar w:fldCharType="end"/>
      </w:r>
      <w:r w:rsidRPr="0067472B">
        <w:rPr>
          <w:rFonts w:ascii="Times New Roman" w:eastAsia="Calibri" w:hAnsi="Times New Roman"/>
          <w:bCs/>
          <w:lang w:val="x-none"/>
        </w:rPr>
        <w:t>.</w:t>
      </w:r>
    </w:p>
    <w:p w:rsidR="0067472B" w:rsidRPr="0067472B" w:rsidRDefault="0067472B" w:rsidP="0067472B">
      <w:pPr>
        <w:autoSpaceDE w:val="0"/>
        <w:autoSpaceDN w:val="0"/>
        <w:adjustRightInd w:val="0"/>
        <w:spacing w:after="0" w:line="240" w:lineRule="auto"/>
        <w:ind w:firstLine="426"/>
        <w:jc w:val="both"/>
        <w:rPr>
          <w:rFonts w:ascii="Times New Roman" w:eastAsia="Calibri" w:hAnsi="Times New Roman"/>
          <w:bCs/>
          <w:lang w:val="x-none"/>
        </w:rPr>
      </w:pPr>
      <w:r w:rsidRPr="0067472B">
        <w:rPr>
          <w:rFonts w:ascii="Times New Roman" w:eastAsia="Calibri" w:hAnsi="Times New Roman"/>
          <w:bCs/>
          <w:lang w:val="x-none"/>
        </w:rPr>
        <w:t xml:space="preserve">Collaboration between transportation fleets managed by the government and the private sector is important. Collaboration has a transformative effect with a relatively lower initial productivity rate and a maintenance effect with a relatively higher initial productivity </w:t>
      </w:r>
      <w:r w:rsidRPr="0067472B">
        <w:rPr>
          <w:rFonts w:ascii="Times New Roman" w:eastAsia="Calibri" w:hAnsi="Times New Roman"/>
          <w:bCs/>
          <w:lang w:val="x-none"/>
        </w:rPr>
        <w:fldChar w:fldCharType="begin" w:fldLock="1"/>
      </w:r>
      <w:r w:rsidRPr="0067472B">
        <w:rPr>
          <w:rFonts w:ascii="Times New Roman" w:eastAsia="Calibri" w:hAnsi="Times New Roman"/>
          <w:bCs/>
          <w:lang w:val="x-none"/>
        </w:rPr>
        <w:instrText>ADDIN CSL_CITATION {"citationItems":[{"id":"ITEM-1","itemData":{"abstract":"Current debates around the nature of the innovation process increasingly stress its open character, whereby firms utilise knowledge and expertise from outside organisations. From the perspective of Small and Medium Enterprises (SMEs), open innovation allows the leveraging of additional resources which they would not necessarily be able to develop alone. In the context of open innovation universities are often cited as important sources of external knowledge and key nodes within innovation systems due to their ability to generate and transfer new, cutting edge, knowledge. The close relationship between firms’ innovation and productivity is often cited as evidence that performance and innovativeness are interdependent. Motivated by these observations, this paper this paper investigates whether the productivity of innovative SMEs, in terms of revenue per employee, influences either their propensity to collaborate with universities or their subsequent productivity levels following the collaboration. Authors","author":[{"dropping-particle":"","family":"Johnston","given":"Andrew","non-dropping-particle":"","parse-names":false,"suffix":""},{"dropping-particle":"","family":"Prokop","given":"Daniel","non-dropping-particle":"","parse-names":false,"suffix":""}],"container-title":"ERC Working Paper No. 78","id":"ITEM-1","issue":"September","issued":{"date-parts":[["2019"]]},"page":"available at https://www.enterpriseresearch.ac.uk/","title":"University Engagement and Productivity in Innovative SMEs: An Empirical Assessment","type":"article-journal"},"uris":["http://www.mendeley.com/documents/?uuid=e1a70c27-7a16-4e15-97a8-4cd744f2b07f"]}],"mendeley":{"formattedCitation":"[19]","plainTextFormattedCitation":"[19]","previouslyFormattedCitation":"[19]"},"properties":{"noteIndex":0},"schema":"https://github.com/citation-style-language/schema/raw/master/csl-citation.json"}</w:instrText>
      </w:r>
      <w:r w:rsidRPr="0067472B">
        <w:rPr>
          <w:rFonts w:ascii="Times New Roman" w:eastAsia="Calibri" w:hAnsi="Times New Roman"/>
          <w:bCs/>
          <w:lang w:val="x-none"/>
        </w:rPr>
        <w:fldChar w:fldCharType="separate"/>
      </w:r>
      <w:r w:rsidRPr="0067472B">
        <w:rPr>
          <w:rFonts w:ascii="Times New Roman" w:eastAsia="Calibri" w:hAnsi="Times New Roman"/>
          <w:bCs/>
          <w:lang w:val="x-none"/>
        </w:rPr>
        <w:t>[19]</w:t>
      </w:r>
      <w:r w:rsidRPr="0067472B">
        <w:rPr>
          <w:rFonts w:ascii="Times New Roman" w:eastAsia="Calibri" w:hAnsi="Times New Roman"/>
          <w:bCs/>
          <w:lang w:val="en-US"/>
        </w:rPr>
        <w:fldChar w:fldCharType="end"/>
      </w:r>
      <w:r w:rsidRPr="0067472B">
        <w:rPr>
          <w:rFonts w:ascii="Times New Roman" w:eastAsia="Calibri" w:hAnsi="Times New Roman"/>
          <w:bCs/>
          <w:lang w:val="x-none"/>
        </w:rPr>
        <w:t xml:space="preserve">. Collaboration, it's about how we work together, and the tools we use to do it </w:t>
      </w:r>
      <w:r w:rsidRPr="0067472B">
        <w:rPr>
          <w:rFonts w:ascii="Times New Roman" w:eastAsia="Calibri" w:hAnsi="Times New Roman"/>
          <w:bCs/>
          <w:lang w:val="x-none"/>
        </w:rPr>
        <w:fldChar w:fldCharType="begin" w:fldLock="1"/>
      </w:r>
      <w:r w:rsidRPr="0067472B">
        <w:rPr>
          <w:rFonts w:ascii="Times New Roman" w:eastAsia="Calibri" w:hAnsi="Times New Roman"/>
          <w:bCs/>
          <w:lang w:val="x-none"/>
        </w:rPr>
        <w:instrText>ADDIN CSL_CITATION {"citationItems":[{"id":"ITEM-1","itemData":{"DOI":"10.1080/00313831.2023.2263476","ISSN":"0031-3831","author":[{"dropping-particle":"","family":"Benerdal","given":"Malin","non-dropping-particle":"","parse-names":false,"suffix":""},{"dropping-particle":"","family":"Westman","given":"Anna-Karin","non-dropping-particle":"","parse-names":false,"suffix":""}],"container-title":"Scandinavian Journal of Educational Research","id":"ITEM-1","issued":{"date-parts":[["2023","10","18"]]},"page":"1-13","title":"Organising for collaboration with schools: experiences from six Swedish universities","type":"article-journal"},"uris":["http://www.mendeley.com/documents/?uuid=69b553d0-3b07-4b61-8e03-821aaf3310c3"]}],"mendeley":{"formattedCitation":"[20]","plainTextFormattedCitation":"[20]","previouslyFormattedCitation":"[20]"},"properties":{"noteIndex":0},"schema":"https://github.com/citation-style-language/schema/raw/master/csl-citation.json"}</w:instrText>
      </w:r>
      <w:r w:rsidRPr="0067472B">
        <w:rPr>
          <w:rFonts w:ascii="Times New Roman" w:eastAsia="Calibri" w:hAnsi="Times New Roman"/>
          <w:bCs/>
          <w:lang w:val="x-none"/>
        </w:rPr>
        <w:fldChar w:fldCharType="separate"/>
      </w:r>
      <w:r w:rsidRPr="0067472B">
        <w:rPr>
          <w:rFonts w:ascii="Times New Roman" w:eastAsia="Calibri" w:hAnsi="Times New Roman"/>
          <w:bCs/>
          <w:lang w:val="x-none"/>
        </w:rPr>
        <w:t>[20]</w:t>
      </w:r>
      <w:r w:rsidRPr="0067472B">
        <w:rPr>
          <w:rFonts w:ascii="Times New Roman" w:eastAsia="Calibri" w:hAnsi="Times New Roman"/>
          <w:bCs/>
          <w:lang w:val="en-US"/>
        </w:rPr>
        <w:fldChar w:fldCharType="end"/>
      </w:r>
      <w:r w:rsidRPr="0067472B">
        <w:rPr>
          <w:rFonts w:ascii="Times New Roman" w:eastAsia="Calibri" w:hAnsi="Times New Roman"/>
          <w:bCs/>
          <w:lang w:val="x-none"/>
        </w:rPr>
        <w:t xml:space="preserve">. The benefits of collaboration to reduce work overload and prioritization will be even more challenging </w:t>
      </w:r>
      <w:r w:rsidRPr="0067472B">
        <w:rPr>
          <w:rFonts w:ascii="Times New Roman" w:eastAsia="Calibri" w:hAnsi="Times New Roman"/>
          <w:bCs/>
          <w:lang w:val="x-none"/>
        </w:rPr>
        <w:fldChar w:fldCharType="begin" w:fldLock="1"/>
      </w:r>
      <w:r w:rsidRPr="0067472B">
        <w:rPr>
          <w:rFonts w:ascii="Times New Roman" w:eastAsia="Calibri" w:hAnsi="Times New Roman"/>
          <w:bCs/>
          <w:lang w:val="x-none"/>
        </w:rPr>
        <w:instrText>ADDIN CSL_CITATION {"citationItems":[{"id":"ITEM-1","itemData":{"DOI":"10.1016/j.jksuci.2019.12.002","ISSN":"13191578","author":[{"dropping-particle":"","family":"Gupta","given":"Ankita","non-dropping-particle":"","parse-names":false,"suffix":""},{"dropping-particle":"","family":"Gupta","given":"Chetna","non-dropping-particle":"","parse-names":false,"suffix":""}],"container-title":"Journal of King Saud University - Computer and Information Sciences","id":"ITEM-1","issue":"5","issued":{"date-parts":[["2022","5"]]},"page":"2288-2297","title":"A novel collaborative requirement prioritization approach to handle priority vagueness and inter-relationships","type":"article-journal","volume":"34"},"uris":["http://www.mendeley.com/documents/?uuid=cad6fad9-6925-4706-90dd-d165251f0d63"]}],"mendeley":{"formattedCitation":"[21]","plainTextFormattedCitation":"[21]","previouslyFormattedCitation":"[21]"},"properties":{"noteIndex":0},"schema":"https://github.com/citation-style-language/schema/raw/master/csl-citation.json"}</w:instrText>
      </w:r>
      <w:r w:rsidRPr="0067472B">
        <w:rPr>
          <w:rFonts w:ascii="Times New Roman" w:eastAsia="Calibri" w:hAnsi="Times New Roman"/>
          <w:bCs/>
          <w:lang w:val="x-none"/>
        </w:rPr>
        <w:fldChar w:fldCharType="separate"/>
      </w:r>
      <w:r w:rsidRPr="0067472B">
        <w:rPr>
          <w:rFonts w:ascii="Times New Roman" w:eastAsia="Calibri" w:hAnsi="Times New Roman"/>
          <w:bCs/>
          <w:lang w:val="x-none"/>
        </w:rPr>
        <w:t>[21]</w:t>
      </w:r>
      <w:r w:rsidRPr="0067472B">
        <w:rPr>
          <w:rFonts w:ascii="Times New Roman" w:eastAsia="Calibri" w:hAnsi="Times New Roman"/>
          <w:bCs/>
          <w:lang w:val="en-US"/>
        </w:rPr>
        <w:fldChar w:fldCharType="end"/>
      </w:r>
      <w:r w:rsidRPr="0067472B">
        <w:rPr>
          <w:rFonts w:ascii="Times New Roman" w:eastAsia="Calibri" w:hAnsi="Times New Roman"/>
          <w:bCs/>
          <w:lang w:val="x-none"/>
        </w:rPr>
        <w:t xml:space="preserve"> A collaborative workplace is created when one encourages broad alignment of strategic objectives and the other encourages local community-led interactivity to operationalize those goals </w:t>
      </w:r>
      <w:r w:rsidRPr="0067472B">
        <w:rPr>
          <w:rFonts w:ascii="Times New Roman" w:eastAsia="Calibri" w:hAnsi="Times New Roman"/>
          <w:bCs/>
          <w:lang w:val="x-none"/>
        </w:rPr>
        <w:fldChar w:fldCharType="begin" w:fldLock="1"/>
      </w:r>
      <w:r w:rsidRPr="0067472B">
        <w:rPr>
          <w:rFonts w:ascii="Times New Roman" w:eastAsia="Calibri" w:hAnsi="Times New Roman"/>
          <w:bCs/>
          <w:lang w:val="x-none"/>
        </w:rPr>
        <w:instrText>ADDIN CSL_CITATION {"citationItems":[{"id":"ITEM-1","itemData":{"DOI":"10.1177/00218863221106245","ISSN":"0021-8863","abstract":"We offer a framework for developing the collaborative workplace, developed through a case study of a subsystem of Intuit Canada, a knowledge-based product development firm known for strong collaboration. Grounded in interviews, observations, informal conversations, and archival data, our framework reveals a series of factors that shape work, relationships, and behaviors to promote collaboration widely. Beyond factors, we uncover what it is about them, the underlying properties that created the conditions for employees to work, relate and contribute collectively. We show how the factors interrelate to create two collaborative subsystems; one fostering widespread alignment around strategic goals and the other fostering locally led interactivity to operationalize those goals. We illustrate how the duality works in practice and conclude with implications for future research and practice.","author":[{"dropping-particle":"","family":"Barker Scott","given":"Brenda A.","non-dropping-particle":"","parse-names":false,"suffix":""},{"dropping-particle":"","family":"Manning","given":"Michael R.","non-dropping-particle":"","parse-names":false,"suffix":""}],"container-title":"The Journal of Applied Behavioral Science","id":"ITEM-1","issue":"1","issued":{"date-parts":[["2024","3","19"]]},"page":"149-193","title":"Designing the Collaborative Organization: A Framework for how Collaborative Work, Relationships, and Behaviors Generate Collaborative Capacity","type":"article-journal","volume":"60"},"uris":["http://www.mendeley.com/documents/?uuid=1a1793a2-3938-446d-a348-09b33c67dcf5"]}],"mendeley":{"formattedCitation":"[22]","plainTextFormattedCitation":"[22]","previouslyFormattedCitation":"[22]"},"properties":{"noteIndex":0},"schema":"https://github.com/citation-style-language/schema/raw/master/csl-citation.json"}</w:instrText>
      </w:r>
      <w:r w:rsidRPr="0067472B">
        <w:rPr>
          <w:rFonts w:ascii="Times New Roman" w:eastAsia="Calibri" w:hAnsi="Times New Roman"/>
          <w:bCs/>
          <w:lang w:val="x-none"/>
        </w:rPr>
        <w:fldChar w:fldCharType="separate"/>
      </w:r>
      <w:r w:rsidRPr="0067472B">
        <w:rPr>
          <w:rFonts w:ascii="Times New Roman" w:eastAsia="Calibri" w:hAnsi="Times New Roman"/>
          <w:bCs/>
          <w:lang w:val="x-none"/>
        </w:rPr>
        <w:t>[22]</w:t>
      </w:r>
      <w:r w:rsidRPr="0067472B">
        <w:rPr>
          <w:rFonts w:ascii="Times New Roman" w:eastAsia="Calibri" w:hAnsi="Times New Roman"/>
          <w:bCs/>
          <w:lang w:val="en-US"/>
        </w:rPr>
        <w:fldChar w:fldCharType="end"/>
      </w:r>
    </w:p>
    <w:p w:rsidR="0067472B" w:rsidRPr="0067472B" w:rsidRDefault="0067472B" w:rsidP="0067472B">
      <w:pPr>
        <w:autoSpaceDE w:val="0"/>
        <w:autoSpaceDN w:val="0"/>
        <w:adjustRightInd w:val="0"/>
        <w:spacing w:after="0" w:line="240" w:lineRule="auto"/>
        <w:ind w:firstLine="426"/>
        <w:jc w:val="both"/>
        <w:rPr>
          <w:rFonts w:ascii="Times New Roman" w:eastAsia="Calibri" w:hAnsi="Times New Roman"/>
          <w:bCs/>
          <w:lang w:val="x-none"/>
        </w:rPr>
      </w:pPr>
      <w:r w:rsidRPr="0067472B">
        <w:rPr>
          <w:rFonts w:ascii="Times New Roman" w:eastAsia="Calibri" w:hAnsi="Times New Roman"/>
          <w:bCs/>
          <w:lang w:val="x-none"/>
        </w:rPr>
        <w:t xml:space="preserve">The unbalanced and uneven number of fleets throughout Indonesia requires co-abortion, with the aim of equitable distribution of public services </w:t>
      </w:r>
      <w:r w:rsidRPr="0067472B">
        <w:rPr>
          <w:rFonts w:ascii="Times New Roman" w:eastAsia="Calibri" w:hAnsi="Times New Roman"/>
          <w:bCs/>
          <w:lang w:val="x-none"/>
        </w:rPr>
        <w:fldChar w:fldCharType="begin" w:fldLock="1"/>
      </w:r>
      <w:r w:rsidRPr="0067472B">
        <w:rPr>
          <w:rFonts w:ascii="Times New Roman" w:eastAsia="Calibri" w:hAnsi="Times New Roman"/>
          <w:bCs/>
          <w:lang w:val="x-none"/>
        </w:rPr>
        <w:instrText>ADDIN CSL_CITATION {"citationItems":[{"id":"ITEM-1","itemData":{"DOI":"10.1007/s10833-021-09448-w","ISSN":"1389-2843","abstract":"The pandemic has made deeper problems more transparent and has stimulated many to realize that there may be an opportunity over the next period to pursue much needed innovations in learning. In this essay we describe the ways in which the pandemic has provided the conditions for new human development that joins two powerful forces: the pulsar model which elevates human potential with respect to student learning, and new, deeper forms of collaboration that have long eluded those interested in system change. In this article we show how ‘spirit work’ and collaboration can combine to develop schools systems that are essential for coping with the new post-pandemic conditions facing humanity. We also identify spinoff opportunities arising from the pandemic, and a corresponding pressure that could generate more widespread system improvement designed to improve learning for all, including advances in both equity and excellence.","author":[{"dropping-particle":"","family":"Azorín","given":"Cecilia","non-dropping-particle":"","parse-names":false,"suffix":""},{"dropping-particle":"","family":"Fullan","given":"Michael","non-dropping-particle":"","parse-names":false,"suffix":""}],"container-title":"Journal of Educational Change","id":"ITEM-1","issue":"1","issued":{"date-parts":[["2022","2","11"]]},"page":"131-143","title":"Leading new, deeper forms of collaborative cultures: Questions and pathways","type":"article-journal","volume":"23"},"uris":["http://www.mendeley.com/documents/?uuid=a3525543-9219-47c4-8cc3-b2bc21400d15"]}],"mendeley":{"formattedCitation":"[23]","plainTextFormattedCitation":"[23]","previouslyFormattedCitation":"[23]"},"properties":{"noteIndex":0},"schema":"https://github.com/citation-style-language/schema/raw/master/csl-citation.json"}</w:instrText>
      </w:r>
      <w:r w:rsidRPr="0067472B">
        <w:rPr>
          <w:rFonts w:ascii="Times New Roman" w:eastAsia="Calibri" w:hAnsi="Times New Roman"/>
          <w:bCs/>
          <w:lang w:val="x-none"/>
        </w:rPr>
        <w:fldChar w:fldCharType="separate"/>
      </w:r>
      <w:r w:rsidRPr="0067472B">
        <w:rPr>
          <w:rFonts w:ascii="Times New Roman" w:eastAsia="Calibri" w:hAnsi="Times New Roman"/>
          <w:bCs/>
          <w:lang w:val="x-none"/>
        </w:rPr>
        <w:t>[23]</w:t>
      </w:r>
      <w:r w:rsidRPr="0067472B">
        <w:rPr>
          <w:rFonts w:ascii="Times New Roman" w:eastAsia="Calibri" w:hAnsi="Times New Roman"/>
          <w:bCs/>
          <w:lang w:val="en-US"/>
        </w:rPr>
        <w:fldChar w:fldCharType="end"/>
      </w:r>
      <w:r w:rsidRPr="0067472B">
        <w:rPr>
          <w:rFonts w:ascii="Times New Roman" w:eastAsia="Calibri" w:hAnsi="Times New Roman"/>
          <w:bCs/>
          <w:lang w:val="x-none"/>
        </w:rPr>
        <w:t xml:space="preserve"> . Collaboration model in partnership </w:t>
      </w:r>
      <w:r w:rsidRPr="0067472B">
        <w:rPr>
          <w:rFonts w:ascii="Times New Roman" w:eastAsia="Calibri" w:hAnsi="Times New Roman"/>
          <w:bCs/>
          <w:lang w:val="x-none"/>
        </w:rPr>
        <w:fldChar w:fldCharType="begin" w:fldLock="1"/>
      </w:r>
      <w:r w:rsidRPr="0067472B">
        <w:rPr>
          <w:rFonts w:ascii="Times New Roman" w:eastAsia="Calibri" w:hAnsi="Times New Roman"/>
          <w:bCs/>
          <w:lang w:val="x-none"/>
        </w:rPr>
        <w:instrText>ADDIN CSL_CITATION {"citationItems":[{"id":"ITEM-1","itemData":{"DOI":"10.1016/j.bushor.2019.02.004","ISSN":"00076813","author":[{"dropping-particle":"","family":"Man","given":"Ard-Pieter","non-dropping-particle":"de","parse-names":false,"suffix":""},{"dropping-particle":"","family":"Luvison","given":"Dave","non-dropping-particle":"","parse-names":false,"suffix":""}],"container-title":"Business Horizons","id":"ITEM-1","issue":"4","issued":{"date-parts":[["2019","7"]]},"page":"473-482","title":"Collaborative business models: Aligning and operationalizing alliances","type":"article-journal","volume":"62"},"uris":["http://www.mendeley.com/documents/?uuid=89556473-1e65-4584-9758-46852cd156b9"]}],"mendeley":{"formattedCitation":"[24]","plainTextFormattedCitation":"[24]","previouslyFormattedCitation":"[24]"},"properties":{"noteIndex":0},"schema":"https://github.com/citation-style-language/schema/raw/master/csl-citation.json"}</w:instrText>
      </w:r>
      <w:r w:rsidRPr="0067472B">
        <w:rPr>
          <w:rFonts w:ascii="Times New Roman" w:eastAsia="Calibri" w:hAnsi="Times New Roman"/>
          <w:bCs/>
          <w:lang w:val="x-none"/>
        </w:rPr>
        <w:fldChar w:fldCharType="separate"/>
      </w:r>
      <w:r w:rsidRPr="0067472B">
        <w:rPr>
          <w:rFonts w:ascii="Times New Roman" w:eastAsia="Calibri" w:hAnsi="Times New Roman"/>
          <w:bCs/>
          <w:lang w:val="x-none"/>
        </w:rPr>
        <w:t>[24]</w:t>
      </w:r>
      <w:r w:rsidRPr="0067472B">
        <w:rPr>
          <w:rFonts w:ascii="Times New Roman" w:eastAsia="Calibri" w:hAnsi="Times New Roman"/>
          <w:bCs/>
          <w:lang w:val="en-US"/>
        </w:rPr>
        <w:fldChar w:fldCharType="end"/>
      </w:r>
      <w:r w:rsidRPr="0067472B">
        <w:rPr>
          <w:rFonts w:ascii="Times New Roman" w:eastAsia="Calibri" w:hAnsi="Times New Roman"/>
          <w:bCs/>
          <w:lang w:val="x-none"/>
        </w:rPr>
        <w:t xml:space="preserve"> Contingency </w:t>
      </w:r>
      <w:r w:rsidRPr="0067472B">
        <w:rPr>
          <w:rFonts w:ascii="Times New Roman" w:eastAsia="Calibri" w:hAnsi="Times New Roman"/>
          <w:bCs/>
          <w:lang w:val="x-none"/>
        </w:rPr>
        <w:fldChar w:fldCharType="begin" w:fldLock="1"/>
      </w:r>
      <w:r w:rsidRPr="0067472B">
        <w:rPr>
          <w:rFonts w:ascii="Times New Roman" w:eastAsia="Calibri" w:hAnsi="Times New Roman" w:hint="eastAsia"/>
          <w:bCs/>
          <w:lang w:val="x-none"/>
        </w:rPr>
        <w:instrText>ADDIN CSL_CITATION {"citationItems":[{"id":"ITEM-1","itemData":{"DOI":"10.1111/j.1540-5885.2011.00830.x","ISSN":"0737-6782","abstract":"This study applies a contingency perspective to examine how the intra</w:instrText>
      </w:r>
      <w:r w:rsidRPr="0067472B">
        <w:rPr>
          <w:rFonts w:ascii="Times New Roman" w:eastAsia="Calibri" w:hAnsi="Times New Roman" w:hint="eastAsia"/>
          <w:bCs/>
          <w:lang w:val="x-none"/>
        </w:rPr>
        <w:instrText>‐</w:instrText>
      </w:r>
      <w:r w:rsidRPr="0067472B">
        <w:rPr>
          <w:rFonts w:ascii="Times New Roman" w:eastAsia="Calibri" w:hAnsi="Times New Roman" w:hint="eastAsia"/>
          <w:bCs/>
          <w:lang w:val="x-none"/>
        </w:rPr>
        <w:instrText>organizational context influences the relationship between cross</w:instrText>
      </w:r>
      <w:r w:rsidRPr="0067472B">
        <w:rPr>
          <w:rFonts w:ascii="Times New Roman" w:eastAsia="Calibri" w:hAnsi="Times New Roman" w:hint="eastAsia"/>
          <w:bCs/>
          <w:lang w:val="x-none"/>
        </w:rPr>
        <w:instrText>‐</w:instrText>
      </w:r>
      <w:r w:rsidRPr="0067472B">
        <w:rPr>
          <w:rFonts w:ascii="Times New Roman" w:eastAsia="Calibri" w:hAnsi="Times New Roman" w:hint="eastAsia"/>
          <w:bCs/>
          <w:lang w:val="x-none"/>
        </w:rPr>
        <w:instrText>functional collaboration and product innovativeness. It focuses on the role of (1) formal, structural factors directly controllable by top management decisions and (2) more intangible, relational factors as potential enhancements of the firm's ability to convert cross</w:instrText>
      </w:r>
      <w:r w:rsidRPr="0067472B">
        <w:rPr>
          <w:rFonts w:ascii="Times New Roman" w:eastAsia="Calibri" w:hAnsi="Times New Roman" w:hint="eastAsia"/>
          <w:bCs/>
          <w:lang w:val="x-none"/>
        </w:rPr>
        <w:instrText>‐</w:instrText>
      </w:r>
      <w:r w:rsidRPr="0067472B">
        <w:rPr>
          <w:rFonts w:ascii="Times New Roman" w:eastAsia="Calibri" w:hAnsi="Times New Roman" w:hint="eastAsia"/>
          <w:bCs/>
          <w:lang w:val="x-none"/>
        </w:rPr>
        <w:instrText>functional collaboration into product innovativeness. A study of 232 firms confirms the hypotheses, finding that the relationship between cross</w:instrText>
      </w:r>
      <w:r w:rsidRPr="0067472B">
        <w:rPr>
          <w:rFonts w:ascii="Times New Roman" w:eastAsia="Calibri" w:hAnsi="Times New Roman" w:hint="eastAsia"/>
          <w:bCs/>
          <w:lang w:val="x-none"/>
        </w:rPr>
        <w:instrText>‐</w:instrText>
      </w:r>
      <w:r w:rsidRPr="0067472B">
        <w:rPr>
          <w:rFonts w:ascii="Times New Roman" w:eastAsia="Calibri" w:hAnsi="Times New Roman" w:hint="eastAsia"/>
          <w:bCs/>
          <w:lang w:val="x-none"/>
        </w:rPr>
        <w:instrText>functional collaboration and product innovativeness is stronger for higher levels of decision autonomy and shared responsibility (structural context) and social interaction, trust, and goal congruence (relational context). In addition, a post</w:instrText>
      </w:r>
      <w:r w:rsidRPr="0067472B">
        <w:rPr>
          <w:rFonts w:ascii="Times New Roman" w:eastAsia="Calibri" w:hAnsi="Times New Roman" w:hint="eastAsia"/>
          <w:bCs/>
          <w:lang w:val="x-none"/>
        </w:rPr>
        <w:instrText>‐</w:instrText>
      </w:r>
      <w:r w:rsidRPr="0067472B">
        <w:rPr>
          <w:rFonts w:ascii="Times New Roman" w:eastAsia="Calibri" w:hAnsi="Times New Roman" w:hint="eastAsia"/>
          <w:bCs/>
          <w:lang w:val="x-none"/>
        </w:rPr>
        <w:instrText>hoc analysis using a configurational approach to organizational contingencies reveals that organizations' relational context is more potent than their structural context for converting cross</w:instrText>
      </w:r>
      <w:r w:rsidRPr="0067472B">
        <w:rPr>
          <w:rFonts w:ascii="Times New Roman" w:eastAsia="Calibri" w:hAnsi="Times New Roman" w:hint="eastAsia"/>
          <w:bCs/>
          <w:lang w:val="x-none"/>
        </w:rPr>
        <w:instrText>‐</w:instrText>
      </w:r>
      <w:r w:rsidRPr="0067472B">
        <w:rPr>
          <w:rFonts w:ascii="Times New Roman" w:eastAsia="Calibri" w:hAnsi="Times New Roman" w:hint="eastAsia"/>
          <w:bCs/>
          <w:lang w:val="x-none"/>
        </w:rPr>
        <w:instrText>functional collaboration into product innovativeness. The study's implications and future research directions are discussed.","author":[{"dropping-particle":</w:instrText>
      </w:r>
      <w:r w:rsidRPr="0067472B">
        <w:rPr>
          <w:rFonts w:ascii="Times New Roman" w:eastAsia="Calibri" w:hAnsi="Times New Roman"/>
          <w:bCs/>
          <w:lang w:val="x-none"/>
        </w:rPr>
        <w:instrText>"","family":"Clercq","given":"Dirk","non-dropping-particle":"De","parse-names":false,"suffix":""},{"dropping-particle":"","family":"Thongpapanl","given":"Narongsak (Tek)","non-dropping-particle":"","parse-names":false,"suffix":""},{"dropping-particle":"","family":"Dimov","given":"Dimo","non-dropping-particle":"","parse-names":false,"suffix":""}],"container-title":"Journal of Product Innovation Management","id":"ITEM-1","issue":"5","issued":{"date-parts":[["2011","9","11"]]},"page":"680-697","title":"A Clo</w:instrText>
      </w:r>
      <w:r w:rsidRPr="0067472B">
        <w:rPr>
          <w:rFonts w:ascii="Times New Roman" w:eastAsia="Calibri" w:hAnsi="Times New Roman" w:hint="eastAsia"/>
          <w:bCs/>
          <w:lang w:val="x-none"/>
        </w:rPr>
        <w:instrText>ser Look at Cross</w:instrText>
      </w:r>
      <w:r w:rsidRPr="0067472B">
        <w:rPr>
          <w:rFonts w:ascii="Times New Roman" w:eastAsia="Calibri" w:hAnsi="Times New Roman" w:hint="eastAsia"/>
          <w:bCs/>
          <w:lang w:val="x-none"/>
        </w:rPr>
        <w:instrText>‐</w:instrText>
      </w:r>
      <w:r w:rsidRPr="0067472B">
        <w:rPr>
          <w:rFonts w:ascii="Times New Roman" w:eastAsia="Calibri" w:hAnsi="Times New Roman" w:hint="eastAsia"/>
          <w:bCs/>
          <w:lang w:val="x-none"/>
        </w:rPr>
        <w:instrText>Functional Collaboration and Product Innovativeness: Contingency Effects of Structural and Relational Context","type":"article-journal","volume":"28"},"uris":["http://www.mendeley.com/documents/?uuid=1aaeaf95-5c25-4b06-adcb-4ffbf6fb89f9"</w:instrText>
      </w:r>
      <w:r w:rsidRPr="0067472B">
        <w:rPr>
          <w:rFonts w:ascii="Times New Roman" w:eastAsia="Calibri" w:hAnsi="Times New Roman"/>
          <w:bCs/>
          <w:lang w:val="x-none"/>
        </w:rPr>
        <w:instrText>]}],"mendeley":{"formattedCitation":"[25]","plainTextFormattedCitation":"[25]","previouslyFormattedCitation":"[25]"},"properties":{"noteIndex":0},"schema":"https://github.com/citation-style-language/schema/raw/master/csl-citation.json"}</w:instrText>
      </w:r>
      <w:r w:rsidRPr="0067472B">
        <w:rPr>
          <w:rFonts w:ascii="Times New Roman" w:eastAsia="Calibri" w:hAnsi="Times New Roman"/>
          <w:bCs/>
          <w:lang w:val="x-none"/>
        </w:rPr>
        <w:fldChar w:fldCharType="separate"/>
      </w:r>
      <w:r w:rsidRPr="0067472B">
        <w:rPr>
          <w:rFonts w:ascii="Times New Roman" w:eastAsia="Calibri" w:hAnsi="Times New Roman"/>
          <w:bCs/>
          <w:lang w:val="x-none"/>
        </w:rPr>
        <w:t>[25]</w:t>
      </w:r>
      <w:r w:rsidRPr="0067472B">
        <w:rPr>
          <w:rFonts w:ascii="Times New Roman" w:eastAsia="Calibri" w:hAnsi="Times New Roman"/>
          <w:bCs/>
          <w:lang w:val="en-US"/>
        </w:rPr>
        <w:fldChar w:fldCharType="end"/>
      </w:r>
      <w:r w:rsidRPr="0067472B">
        <w:rPr>
          <w:rFonts w:ascii="Times New Roman" w:eastAsia="Calibri" w:hAnsi="Times New Roman"/>
          <w:bCs/>
          <w:lang w:val="x-none"/>
        </w:rPr>
        <w:t xml:space="preserve">. New forms of organizing (NFO) such as communities are increasingly relevant as new collaboration partners for organizations </w:t>
      </w:r>
      <w:r w:rsidRPr="0067472B">
        <w:rPr>
          <w:rFonts w:ascii="Times New Roman" w:eastAsia="Calibri" w:hAnsi="Times New Roman"/>
          <w:bCs/>
          <w:lang w:val="x-none"/>
        </w:rPr>
        <w:fldChar w:fldCharType="begin" w:fldLock="1"/>
      </w:r>
      <w:r w:rsidRPr="0067472B">
        <w:rPr>
          <w:rFonts w:ascii="Times New Roman" w:eastAsia="Calibri" w:hAnsi="Times New Roman"/>
          <w:bCs/>
          <w:lang w:val="x-none"/>
        </w:rPr>
        <w:instrText>ADDIN CSL_CITATION {"citationItems":[{"id":"ITEM-1","itemData":{"DOI":"10.1177/26317877221131586","ISSN":"2631-7877","abstract":"New forms of organizing (NFOs) such as crowds and communities are increasingly relevant as novel collaboration partners for organizations. Although the motivations and goals that prompt organizations to collaborate (the why) have not changed over time, the way they collaborate (the how) seems to have changed significantly. Surprisingly, research to theorize these new forms of collaboration is still sparse. This conceptual paper investigates the extent to which a widely established theoretical framework—the relational view—can capture this new and mostly undertheorized setting of firm–NFO collaborations. More precisely, we ask whether and how the relational view also applies to this new context of interaction between firms and NFOs. Adopting the relational view’s four determinants as a framework, we systematically analyse and disentangle firms’ collaborations with NFOs. We ground this investigation in two analytical dimensions, the degree of NFO self-organizing and the degree of firm-relatedness. They enable us to exemplify the variety of new forms of collaboration and, most important, to delineate clear differences between firm–NFO collaboration and traditional interorganizational collaboration. We stress the boundaries of the relational view, suggest expanding its scope to capture the variety of firm–NFO collaborations, and propose ways of doing so.","author":[{"dropping-particle":"","family":"Kruse","given":"Deniz Philipp","non-dropping-particle":"","parse-names":false,"suffix":""},{"dropping-particle":"","family":"Rövekamp","given":"Golo","non-dropping-particle":"","parse-names":false,"suffix":""},{"dropping-particle":"","family":"Weber","given":"Christiana","non-dropping-particle":"","parse-names":false,"suffix":""}],"container-title":"Organization Theory","id":"ITEM-1","issue":"4","issued":{"date-parts":[["2022","10","9"]]},"title":"Collaboration of Firms With New Forms of Organizing: Extending the Relational View","type":"article-journal","volume":"3"},"uris":["http://www.mendeley.com/documents/?uuid=72ba1906-58ad-4458-94ed-faa1de8a4eca"]}],"mendeley":{"formattedCitation":"[26]","plainTextFormattedCitation":"[26]","previouslyFormattedCitation":"[26]"},"properties":{"noteIndex":0},"schema":"https://github.com/citation-style-language/schema/raw/master/csl-citation.json"}</w:instrText>
      </w:r>
      <w:r w:rsidRPr="0067472B">
        <w:rPr>
          <w:rFonts w:ascii="Times New Roman" w:eastAsia="Calibri" w:hAnsi="Times New Roman"/>
          <w:bCs/>
          <w:lang w:val="x-none"/>
        </w:rPr>
        <w:fldChar w:fldCharType="separate"/>
      </w:r>
      <w:r w:rsidRPr="0067472B">
        <w:rPr>
          <w:rFonts w:ascii="Times New Roman" w:eastAsia="Calibri" w:hAnsi="Times New Roman"/>
          <w:bCs/>
          <w:lang w:val="x-none"/>
        </w:rPr>
        <w:t>[26]</w:t>
      </w:r>
      <w:r w:rsidRPr="0067472B">
        <w:rPr>
          <w:rFonts w:ascii="Times New Roman" w:eastAsia="Calibri" w:hAnsi="Times New Roman"/>
          <w:bCs/>
          <w:lang w:val="en-US"/>
        </w:rPr>
        <w:fldChar w:fldCharType="end"/>
      </w:r>
      <w:r w:rsidRPr="0067472B">
        <w:rPr>
          <w:rFonts w:ascii="Times New Roman" w:eastAsia="Calibri" w:hAnsi="Times New Roman"/>
          <w:bCs/>
          <w:lang w:val="x-none"/>
        </w:rPr>
        <w:t xml:space="preserve">. A partnership </w:t>
      </w:r>
      <w:proofErr w:type="spellStart"/>
      <w:r w:rsidRPr="0067472B">
        <w:rPr>
          <w:rFonts w:ascii="Times New Roman" w:eastAsia="Calibri" w:hAnsi="Times New Roman"/>
          <w:bCs/>
          <w:lang w:val="x-none"/>
        </w:rPr>
        <w:t>molaboration</w:t>
      </w:r>
      <w:proofErr w:type="spellEnd"/>
      <w:r w:rsidRPr="0067472B">
        <w:rPr>
          <w:rFonts w:ascii="Times New Roman" w:eastAsia="Calibri" w:hAnsi="Times New Roman"/>
          <w:bCs/>
          <w:lang w:val="x-none"/>
        </w:rPr>
        <w:t xml:space="preserve"> model or a new form of organization may be the right one because collaboration between the government and the private sector has been difficult to do until now.</w:t>
      </w:r>
    </w:p>
    <w:p w:rsidR="0067472B" w:rsidRDefault="0067472B" w:rsidP="0067472B">
      <w:pPr>
        <w:autoSpaceDE w:val="0"/>
        <w:autoSpaceDN w:val="0"/>
        <w:adjustRightInd w:val="0"/>
        <w:spacing w:after="0" w:line="240" w:lineRule="auto"/>
        <w:ind w:firstLine="426"/>
        <w:jc w:val="both"/>
        <w:rPr>
          <w:rFonts w:ascii="Times New Roman" w:eastAsia="Calibri" w:hAnsi="Times New Roman"/>
          <w:bCs/>
          <w:lang w:val="x-none"/>
        </w:rPr>
      </w:pPr>
    </w:p>
    <w:p w:rsidR="00AE4FB9" w:rsidRPr="0067472B" w:rsidRDefault="00AE4FB9" w:rsidP="0067472B">
      <w:pPr>
        <w:autoSpaceDE w:val="0"/>
        <w:autoSpaceDN w:val="0"/>
        <w:adjustRightInd w:val="0"/>
        <w:spacing w:after="0" w:line="240" w:lineRule="auto"/>
        <w:ind w:firstLine="426"/>
        <w:jc w:val="both"/>
        <w:rPr>
          <w:rFonts w:ascii="Times New Roman" w:eastAsia="Calibri" w:hAnsi="Times New Roman"/>
          <w:bCs/>
          <w:lang w:val="x-none"/>
        </w:rPr>
      </w:pPr>
    </w:p>
    <w:p w:rsidR="0067472B" w:rsidRDefault="0067472B" w:rsidP="0067472B">
      <w:pPr>
        <w:autoSpaceDE w:val="0"/>
        <w:autoSpaceDN w:val="0"/>
        <w:adjustRightInd w:val="0"/>
        <w:spacing w:after="0" w:line="240" w:lineRule="auto"/>
        <w:jc w:val="center"/>
        <w:rPr>
          <w:rFonts w:ascii="Times New Roman" w:eastAsia="Calibri" w:hAnsi="Times New Roman"/>
          <w:bCs/>
          <w:lang w:val="en-US"/>
        </w:rPr>
      </w:pPr>
      <w:r w:rsidRPr="0067472B">
        <w:rPr>
          <w:rFonts w:ascii="Times New Roman" w:eastAsia="Calibri" w:hAnsi="Times New Roman"/>
          <w:bCs/>
          <w:lang w:val="en-US"/>
        </w:rPr>
        <w:lastRenderedPageBreak/>
        <w:t xml:space="preserve">Table </w:t>
      </w:r>
      <w:r w:rsidRPr="0067472B">
        <w:rPr>
          <w:rFonts w:ascii="Times New Roman" w:eastAsia="Calibri" w:hAnsi="Times New Roman"/>
          <w:bCs/>
          <w:lang w:val="en-US"/>
        </w:rPr>
        <w:fldChar w:fldCharType="begin"/>
      </w:r>
      <w:r w:rsidRPr="0067472B">
        <w:rPr>
          <w:rFonts w:ascii="Times New Roman" w:eastAsia="Calibri" w:hAnsi="Times New Roman"/>
          <w:bCs/>
          <w:lang w:val="en-US"/>
        </w:rPr>
        <w:instrText xml:space="preserve"> SEQ Table \* ARABIC </w:instrText>
      </w:r>
      <w:r w:rsidRPr="0067472B">
        <w:rPr>
          <w:rFonts w:ascii="Times New Roman" w:eastAsia="Calibri" w:hAnsi="Times New Roman"/>
          <w:bCs/>
          <w:lang w:val="en-US"/>
        </w:rPr>
        <w:fldChar w:fldCharType="separate"/>
      </w:r>
      <w:r w:rsidRPr="0067472B">
        <w:rPr>
          <w:rFonts w:ascii="Times New Roman" w:eastAsia="Calibri" w:hAnsi="Times New Roman"/>
          <w:bCs/>
          <w:lang w:val="en-US"/>
        </w:rPr>
        <w:t>1</w:t>
      </w:r>
      <w:r w:rsidRPr="0067472B">
        <w:rPr>
          <w:rFonts w:ascii="Times New Roman" w:eastAsia="Calibri" w:hAnsi="Times New Roman"/>
          <w:bCs/>
          <w:lang w:val="en-US"/>
        </w:rPr>
        <w:fldChar w:fldCharType="end"/>
      </w:r>
      <w:r w:rsidRPr="0067472B">
        <w:rPr>
          <w:rFonts w:ascii="Times New Roman" w:eastAsia="Calibri" w:hAnsi="Times New Roman"/>
          <w:bCs/>
          <w:lang w:val="en-US"/>
        </w:rPr>
        <w:t>. Collaboration Model</w:t>
      </w:r>
    </w:p>
    <w:tbl>
      <w:tblPr>
        <w:tblStyle w:val="KisiTabel1"/>
        <w:tblW w:w="3935" w:type="dxa"/>
        <w:tblInd w:w="284" w:type="dxa"/>
        <w:tblLook w:val="04A0" w:firstRow="1" w:lastRow="0" w:firstColumn="1" w:lastColumn="0" w:noHBand="0" w:noVBand="1"/>
      </w:tblPr>
      <w:tblGrid>
        <w:gridCol w:w="1100"/>
        <w:gridCol w:w="1418"/>
        <w:gridCol w:w="1417"/>
      </w:tblGrid>
      <w:tr w:rsidR="0067472B" w:rsidRPr="0067472B" w:rsidTr="0067472B">
        <w:tc>
          <w:tcPr>
            <w:tcW w:w="1100"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
                <w:kern w:val="36"/>
                <w:sz w:val="15"/>
                <w:szCs w:val="15"/>
                <w:lang w:val="en-US" w:eastAsia="id-ID"/>
              </w:rPr>
            </w:pPr>
            <w:r w:rsidRPr="0067472B">
              <w:rPr>
                <w:rFonts w:ascii="Times New Roman" w:eastAsia="Times New Roman" w:hAnsi="Times New Roman"/>
                <w:b/>
                <w:kern w:val="36"/>
                <w:sz w:val="15"/>
                <w:szCs w:val="15"/>
                <w:lang w:val="en-US" w:eastAsia="id-ID"/>
              </w:rPr>
              <w:t>Remarks</w:t>
            </w:r>
          </w:p>
        </w:tc>
        <w:tc>
          <w:tcPr>
            <w:tcW w:w="1418"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
                <w:kern w:val="36"/>
                <w:sz w:val="15"/>
                <w:szCs w:val="15"/>
                <w:lang w:eastAsia="id-ID"/>
              </w:rPr>
            </w:pPr>
            <w:r w:rsidRPr="0067472B">
              <w:rPr>
                <w:rFonts w:ascii="Times New Roman" w:eastAsia="Times New Roman" w:hAnsi="Times New Roman"/>
                <w:b/>
                <w:kern w:val="36"/>
                <w:sz w:val="15"/>
                <w:szCs w:val="15"/>
                <w:lang w:val="id" w:eastAsia="id-ID"/>
              </w:rPr>
              <w:t>Partnership</w:t>
            </w:r>
          </w:p>
        </w:tc>
        <w:tc>
          <w:tcPr>
            <w:tcW w:w="1417"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
                <w:kern w:val="36"/>
                <w:sz w:val="15"/>
                <w:szCs w:val="15"/>
                <w:lang w:eastAsia="id-ID"/>
              </w:rPr>
            </w:pPr>
            <w:r w:rsidRPr="0067472B">
              <w:rPr>
                <w:rFonts w:ascii="Times New Roman" w:eastAsia="Times New Roman" w:hAnsi="Times New Roman"/>
                <w:b/>
                <w:kern w:val="36"/>
                <w:sz w:val="15"/>
                <w:szCs w:val="15"/>
                <w:lang w:val="id" w:eastAsia="id-ID"/>
              </w:rPr>
              <w:t>NFO</w:t>
            </w:r>
          </w:p>
        </w:tc>
      </w:tr>
      <w:tr w:rsidR="0067472B" w:rsidRPr="0067472B" w:rsidTr="0067472B">
        <w:tc>
          <w:tcPr>
            <w:tcW w:w="1100"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Fleet status</w:t>
            </w:r>
          </w:p>
        </w:tc>
        <w:tc>
          <w:tcPr>
            <w:tcW w:w="1418"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Privately owned</w:t>
            </w:r>
          </w:p>
        </w:tc>
        <w:tc>
          <w:tcPr>
            <w:tcW w:w="1417"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Shared ownership</w:t>
            </w:r>
          </w:p>
        </w:tc>
      </w:tr>
      <w:tr w:rsidR="0067472B" w:rsidRPr="0067472B" w:rsidTr="0067472B">
        <w:tc>
          <w:tcPr>
            <w:tcW w:w="1100"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Labor status</w:t>
            </w:r>
          </w:p>
        </w:tc>
        <w:tc>
          <w:tcPr>
            <w:tcW w:w="1418"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Private</w:t>
            </w:r>
          </w:p>
        </w:tc>
        <w:tc>
          <w:tcPr>
            <w:tcW w:w="1417"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SOEs</w:t>
            </w:r>
          </w:p>
        </w:tc>
      </w:tr>
      <w:tr w:rsidR="0067472B" w:rsidRPr="0067472B" w:rsidTr="0067472B">
        <w:tc>
          <w:tcPr>
            <w:tcW w:w="1100"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Vehicle maintenance</w:t>
            </w:r>
          </w:p>
        </w:tc>
        <w:tc>
          <w:tcPr>
            <w:tcW w:w="1418"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Privately insured</w:t>
            </w:r>
          </w:p>
        </w:tc>
        <w:tc>
          <w:tcPr>
            <w:tcW w:w="1417"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Jointly covered</w:t>
            </w:r>
          </w:p>
        </w:tc>
      </w:tr>
      <w:tr w:rsidR="0067472B" w:rsidRPr="0067472B" w:rsidTr="0067472B">
        <w:tc>
          <w:tcPr>
            <w:tcW w:w="1100"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Management</w:t>
            </w:r>
          </w:p>
        </w:tc>
        <w:tc>
          <w:tcPr>
            <w:tcW w:w="1418"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Determined by the government</w:t>
            </w:r>
          </w:p>
        </w:tc>
        <w:tc>
          <w:tcPr>
            <w:tcW w:w="1417"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Combined</w:t>
            </w:r>
          </w:p>
        </w:tc>
      </w:tr>
      <w:tr w:rsidR="0067472B" w:rsidRPr="0067472B" w:rsidTr="0067472B">
        <w:tc>
          <w:tcPr>
            <w:tcW w:w="1100"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Liability for fleet accident risk</w:t>
            </w:r>
          </w:p>
        </w:tc>
        <w:tc>
          <w:tcPr>
            <w:tcW w:w="1418"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Privately insured</w:t>
            </w:r>
          </w:p>
        </w:tc>
        <w:tc>
          <w:tcPr>
            <w:tcW w:w="1417"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Jointly covered</w:t>
            </w:r>
          </w:p>
        </w:tc>
      </w:tr>
      <w:tr w:rsidR="0067472B" w:rsidRPr="0067472B" w:rsidTr="0067472B">
        <w:tc>
          <w:tcPr>
            <w:tcW w:w="1100"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Routing</w:t>
            </w:r>
          </w:p>
        </w:tc>
        <w:tc>
          <w:tcPr>
            <w:tcW w:w="1418"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Government</w:t>
            </w:r>
          </w:p>
        </w:tc>
        <w:tc>
          <w:tcPr>
            <w:tcW w:w="1417"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Government</w:t>
            </w:r>
          </w:p>
        </w:tc>
      </w:tr>
      <w:tr w:rsidR="0067472B" w:rsidRPr="0067472B" w:rsidTr="0067472B">
        <w:tc>
          <w:tcPr>
            <w:tcW w:w="1100"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Revenue sharing</w:t>
            </w:r>
          </w:p>
        </w:tc>
        <w:tc>
          <w:tcPr>
            <w:tcW w:w="1418" w:type="dxa"/>
          </w:tcPr>
          <w:p w:rsidR="0067472B" w:rsidRPr="0067472B" w:rsidRDefault="0067472B" w:rsidP="0067472B">
            <w:pPr>
              <w:widowControl w:val="0"/>
              <w:autoSpaceDE w:val="0"/>
              <w:autoSpaceDN w:val="0"/>
              <w:spacing w:after="0" w:line="36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70 % swsta, 30 % government</w:t>
            </w:r>
          </w:p>
        </w:tc>
        <w:tc>
          <w:tcPr>
            <w:tcW w:w="1417"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30% private, 30% government, 40% maintenance</w:t>
            </w:r>
          </w:p>
        </w:tc>
      </w:tr>
    </w:tbl>
    <w:p w:rsidR="0067472B" w:rsidRPr="0067472B" w:rsidRDefault="0067472B" w:rsidP="0067472B">
      <w:pPr>
        <w:autoSpaceDE w:val="0"/>
        <w:autoSpaceDN w:val="0"/>
        <w:adjustRightInd w:val="0"/>
        <w:spacing w:after="0" w:line="240" w:lineRule="auto"/>
        <w:ind w:firstLine="426"/>
        <w:jc w:val="both"/>
        <w:rPr>
          <w:rFonts w:ascii="Times New Roman" w:eastAsia="Calibri" w:hAnsi="Times New Roman"/>
          <w:bCs/>
          <w:lang w:val="x-none"/>
        </w:rPr>
      </w:pPr>
    </w:p>
    <w:p w:rsidR="0067472B" w:rsidRPr="0067472B" w:rsidRDefault="0067472B" w:rsidP="0067472B">
      <w:pPr>
        <w:autoSpaceDE w:val="0"/>
        <w:autoSpaceDN w:val="0"/>
        <w:adjustRightInd w:val="0"/>
        <w:spacing w:after="0" w:line="240" w:lineRule="auto"/>
        <w:ind w:firstLine="426"/>
        <w:jc w:val="both"/>
        <w:rPr>
          <w:rFonts w:ascii="Times New Roman" w:eastAsia="Calibri" w:hAnsi="Times New Roman"/>
          <w:bCs/>
          <w:lang w:val="en-US"/>
        </w:rPr>
      </w:pPr>
      <w:r w:rsidRPr="0067472B">
        <w:rPr>
          <w:rFonts w:ascii="Times New Roman" w:eastAsia="Calibri" w:hAnsi="Times New Roman"/>
          <w:bCs/>
          <w:lang w:val="en-US"/>
        </w:rPr>
        <w:t xml:space="preserve">Partnership collaboration model or </w:t>
      </w:r>
      <w:proofErr w:type="gramStart"/>
      <w:r w:rsidRPr="0067472B">
        <w:rPr>
          <w:rFonts w:ascii="Times New Roman" w:eastAsia="Calibri" w:hAnsi="Times New Roman"/>
          <w:bCs/>
          <w:lang w:val="en-US"/>
        </w:rPr>
        <w:t>The</w:t>
      </w:r>
      <w:proofErr w:type="gramEnd"/>
      <w:r w:rsidRPr="0067472B">
        <w:rPr>
          <w:rFonts w:ascii="Times New Roman" w:eastAsia="Calibri" w:hAnsi="Times New Roman"/>
          <w:bCs/>
          <w:lang w:val="en-US"/>
        </w:rPr>
        <w:t xml:space="preserve"> new form of organization (NFO) in terms of determining routes is in the government, the goal is to equalize transportation services throughout Indonesia. The route that applies in this collaboration still applies to the route determination model that is currently underway, but if there is an area that urgently needs a transportation fleet, the status of </w:t>
      </w:r>
      <w:proofErr w:type="spellStart"/>
      <w:r w:rsidRPr="0067472B">
        <w:rPr>
          <w:rFonts w:ascii="Times New Roman" w:eastAsia="Calibri" w:hAnsi="Times New Roman"/>
          <w:bCs/>
          <w:lang w:val="en-US"/>
        </w:rPr>
        <w:t>tuslah</w:t>
      </w:r>
      <w:proofErr w:type="spellEnd"/>
      <w:r w:rsidRPr="0067472B">
        <w:rPr>
          <w:rFonts w:ascii="Times New Roman" w:eastAsia="Calibri" w:hAnsi="Times New Roman"/>
          <w:bCs/>
          <w:lang w:val="en-US"/>
        </w:rPr>
        <w:t xml:space="preserve"> (urgent) can be used. The collaboration model used is the Allocation Cheap Sourcing system, which allocates resources (vehicles, fleets, tools) that are available, abundant and easy to drop to areas that are still lacking or in need. The concept of Allocation Cheap Sourcing (figure 1) is a collaboration of theories Competitive Advantage with Business Operation </w:t>
      </w:r>
      <w:r w:rsidRPr="0067472B">
        <w:rPr>
          <w:rFonts w:ascii="Times New Roman" w:eastAsia="Calibri" w:hAnsi="Times New Roman"/>
          <w:bCs/>
          <w:lang w:val="en-US"/>
        </w:rPr>
        <w:fldChar w:fldCharType="begin" w:fldLock="1"/>
      </w:r>
      <w:r w:rsidRPr="0067472B">
        <w:rPr>
          <w:rFonts w:ascii="Times New Roman" w:eastAsia="Calibri" w:hAnsi="Times New Roman"/>
          <w:bCs/>
          <w:lang w:val="en-US"/>
        </w:rPr>
        <w:instrText>ADDIN CSL_CITATION {"citationItems":[{"id":"ITEM-1","itemData":{"author":[{"dropping-particle":"","family":"Porter","given":"","non-dropping-particle":"","parse-names":false,"suffix":""}],"container-title":"Free Press","id":"ITEM-1","issued":{"date-parts":[["1998"]]},"title":"Competitive strategy: Techniques for analyzing industries and competitors: with a new introduction (1st Free Press ed)","type":"article-journal"},"uris":["http://www.mendeley.com/documents/?uuid=5239877f-5b22-4f73-bbd7-e0806726cf6b"]}],"mendeley":{"formattedCitation":"[27]","plainTextFormattedCitation":"[27]","previouslyFormattedCitation":"[27]"},"properties":{"noteIndex":0},"schema":"https://github.com/citation-style-language/schema/raw/master/csl-citation.json"}</w:instrText>
      </w:r>
      <w:r w:rsidRPr="0067472B">
        <w:rPr>
          <w:rFonts w:ascii="Times New Roman" w:eastAsia="Calibri" w:hAnsi="Times New Roman"/>
          <w:bCs/>
          <w:lang w:val="en-US"/>
        </w:rPr>
        <w:fldChar w:fldCharType="separate"/>
      </w:r>
      <w:r w:rsidRPr="0067472B">
        <w:rPr>
          <w:rFonts w:ascii="Times New Roman" w:eastAsia="Calibri" w:hAnsi="Times New Roman"/>
          <w:bCs/>
          <w:lang w:val="en-US"/>
        </w:rPr>
        <w:t>[27]</w:t>
      </w:r>
      <w:r w:rsidRPr="0067472B">
        <w:rPr>
          <w:rFonts w:ascii="Times New Roman" w:eastAsia="Calibri" w:hAnsi="Times New Roman"/>
          <w:bCs/>
          <w:lang w:val="en-US"/>
        </w:rPr>
        <w:fldChar w:fldCharType="end"/>
      </w:r>
    </w:p>
    <w:p w:rsidR="0067472B" w:rsidRPr="0067472B" w:rsidRDefault="0067472B" w:rsidP="0067472B">
      <w:pPr>
        <w:autoSpaceDE w:val="0"/>
        <w:autoSpaceDN w:val="0"/>
        <w:adjustRightInd w:val="0"/>
        <w:spacing w:after="0" w:line="240" w:lineRule="auto"/>
        <w:jc w:val="both"/>
        <w:rPr>
          <w:rFonts w:ascii="Times New Roman" w:eastAsia="Calibri" w:hAnsi="Times New Roman"/>
          <w:bCs/>
          <w:lang w:val="x-none"/>
        </w:rPr>
      </w:pPr>
      <w:r w:rsidRPr="0067472B">
        <w:rPr>
          <w:rFonts w:ascii="Times New Roman" w:eastAsia="Calibri" w:hAnsi="Times New Roman"/>
          <w:bCs/>
          <w:noProof/>
          <w:lang w:val="en-ID" w:eastAsia="en-ID"/>
        </w:rPr>
        <w:drawing>
          <wp:inline distT="0" distB="0" distL="0" distR="0">
            <wp:extent cx="2886710" cy="1965325"/>
            <wp:effectExtent l="0" t="0" r="889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22116" t="39909" r="21474" b="17902"/>
                    <a:stretch>
                      <a:fillRect/>
                    </a:stretch>
                  </pic:blipFill>
                  <pic:spPr bwMode="auto">
                    <a:xfrm>
                      <a:off x="0" y="0"/>
                      <a:ext cx="2886710" cy="1965325"/>
                    </a:xfrm>
                    <a:prstGeom prst="rect">
                      <a:avLst/>
                    </a:prstGeom>
                    <a:noFill/>
                    <a:ln>
                      <a:noFill/>
                    </a:ln>
                  </pic:spPr>
                </pic:pic>
              </a:graphicData>
            </a:graphic>
          </wp:inline>
        </w:drawing>
      </w:r>
    </w:p>
    <w:p w:rsidR="0067472B" w:rsidRPr="0067472B" w:rsidRDefault="0067472B" w:rsidP="0067472B">
      <w:pPr>
        <w:autoSpaceDE w:val="0"/>
        <w:autoSpaceDN w:val="0"/>
        <w:adjustRightInd w:val="0"/>
        <w:spacing w:after="0" w:line="240" w:lineRule="auto"/>
        <w:jc w:val="both"/>
        <w:rPr>
          <w:rFonts w:ascii="Times New Roman" w:eastAsia="Calibri" w:hAnsi="Times New Roman"/>
          <w:bCs/>
          <w:i/>
          <w:iCs/>
          <w:lang w:val="en-US"/>
        </w:rPr>
      </w:pPr>
      <w:r w:rsidRPr="0067472B">
        <w:rPr>
          <w:rFonts w:ascii="Times New Roman" w:eastAsia="Calibri" w:hAnsi="Times New Roman"/>
          <w:bCs/>
          <w:i/>
          <w:iCs/>
          <w:lang w:val="en-US"/>
        </w:rPr>
        <w:t xml:space="preserve">Fig. </w:t>
      </w:r>
      <w:r w:rsidRPr="0067472B">
        <w:rPr>
          <w:rFonts w:ascii="Times New Roman" w:eastAsia="Calibri" w:hAnsi="Times New Roman"/>
          <w:bCs/>
          <w:i/>
          <w:iCs/>
          <w:lang w:val="en-US"/>
        </w:rPr>
        <w:fldChar w:fldCharType="begin"/>
      </w:r>
      <w:r w:rsidRPr="0067472B">
        <w:rPr>
          <w:rFonts w:ascii="Times New Roman" w:eastAsia="Calibri" w:hAnsi="Times New Roman"/>
          <w:bCs/>
          <w:i/>
          <w:iCs/>
          <w:lang w:val="en-US"/>
        </w:rPr>
        <w:instrText xml:space="preserve"> SEQ Fig. \* ARABIC </w:instrText>
      </w:r>
      <w:r w:rsidRPr="0067472B">
        <w:rPr>
          <w:rFonts w:ascii="Times New Roman" w:eastAsia="Calibri" w:hAnsi="Times New Roman"/>
          <w:bCs/>
          <w:i/>
          <w:iCs/>
          <w:lang w:val="en-US"/>
        </w:rPr>
        <w:fldChar w:fldCharType="separate"/>
      </w:r>
      <w:r w:rsidRPr="0067472B">
        <w:rPr>
          <w:rFonts w:ascii="Times New Roman" w:eastAsia="Calibri" w:hAnsi="Times New Roman"/>
          <w:bCs/>
          <w:i/>
          <w:iCs/>
          <w:lang w:val="en-US"/>
        </w:rPr>
        <w:t>1</w:t>
      </w:r>
      <w:r w:rsidRPr="0067472B">
        <w:rPr>
          <w:rFonts w:ascii="Times New Roman" w:eastAsia="Calibri" w:hAnsi="Times New Roman"/>
          <w:bCs/>
          <w:lang w:val="en-US"/>
        </w:rPr>
        <w:fldChar w:fldCharType="end"/>
      </w:r>
      <w:r w:rsidRPr="0067472B">
        <w:rPr>
          <w:rFonts w:ascii="Times New Roman" w:eastAsia="Calibri" w:hAnsi="Times New Roman"/>
          <w:bCs/>
          <w:i/>
          <w:iCs/>
          <w:lang w:val="en-US"/>
        </w:rPr>
        <w:t>. Concept of the Allocation Cheap Sourcing model</w:t>
      </w:r>
    </w:p>
    <w:p w:rsidR="0067472B" w:rsidRPr="0067472B" w:rsidRDefault="0067472B" w:rsidP="0067472B">
      <w:pPr>
        <w:autoSpaceDE w:val="0"/>
        <w:autoSpaceDN w:val="0"/>
        <w:adjustRightInd w:val="0"/>
        <w:spacing w:after="0" w:line="240" w:lineRule="auto"/>
        <w:ind w:firstLine="426"/>
        <w:jc w:val="both"/>
        <w:rPr>
          <w:rFonts w:ascii="Times New Roman" w:eastAsia="Calibri" w:hAnsi="Times New Roman"/>
          <w:bCs/>
          <w:lang w:val="en-US"/>
        </w:rPr>
      </w:pPr>
      <w:r w:rsidRPr="0067472B">
        <w:rPr>
          <w:rFonts w:ascii="Times New Roman" w:eastAsia="Calibri" w:hAnsi="Times New Roman"/>
          <w:bCs/>
          <w:lang w:val="en-US"/>
        </w:rPr>
        <w:t xml:space="preserve">The working pattern of the Allocation Cheap Sourcing system is a shuttle. Vehicles, fleets or means of transportation from the starting point carry goods/people to the destination and return by carrying goods/people without having to wait, the difference with what is already running today is that the vehicle, fleet or means of transportation at the time of return is never empty because the goods or people have been prepared in advance by the partnership or NFO. The operational </w:t>
      </w:r>
      <w:proofErr w:type="gramStart"/>
      <w:r w:rsidRPr="0067472B">
        <w:rPr>
          <w:rFonts w:ascii="Times New Roman" w:eastAsia="Calibri" w:hAnsi="Times New Roman"/>
          <w:bCs/>
          <w:lang w:val="en-US"/>
        </w:rPr>
        <w:t>process  of</w:t>
      </w:r>
      <w:proofErr w:type="gramEnd"/>
      <w:r w:rsidRPr="0067472B">
        <w:rPr>
          <w:rFonts w:ascii="Times New Roman" w:eastAsia="Calibri" w:hAnsi="Times New Roman"/>
          <w:bCs/>
          <w:lang w:val="en-US"/>
        </w:rPr>
        <w:t xml:space="preserve"> the Allocation Cheap Sourcing system in figure 2</w:t>
      </w:r>
    </w:p>
    <w:p w:rsidR="0067472B" w:rsidRPr="0067472B" w:rsidRDefault="0067472B" w:rsidP="0067472B">
      <w:pPr>
        <w:autoSpaceDE w:val="0"/>
        <w:autoSpaceDN w:val="0"/>
        <w:adjustRightInd w:val="0"/>
        <w:spacing w:after="0" w:line="240" w:lineRule="auto"/>
        <w:jc w:val="both"/>
        <w:rPr>
          <w:rFonts w:ascii="Times New Roman" w:eastAsia="Calibri" w:hAnsi="Times New Roman"/>
          <w:bCs/>
          <w:lang w:val="x-none"/>
        </w:rPr>
      </w:pPr>
      <w:r w:rsidRPr="0067472B">
        <w:rPr>
          <w:rFonts w:ascii="Times New Roman" w:eastAsia="Calibri" w:hAnsi="Times New Roman"/>
          <w:bCs/>
          <w:noProof/>
          <w:lang w:val="en-ID" w:eastAsia="en-ID"/>
        </w:rPr>
        <w:lastRenderedPageBreak/>
        <w:drawing>
          <wp:inline distT="0" distB="0" distL="0" distR="0">
            <wp:extent cx="2879725" cy="1057910"/>
            <wp:effectExtent l="0" t="0" r="0" b="8890"/>
            <wp:docPr id="2"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9725" cy="1057910"/>
                    </a:xfrm>
                    <a:prstGeom prst="rect">
                      <a:avLst/>
                    </a:prstGeom>
                    <a:noFill/>
                    <a:ln>
                      <a:noFill/>
                    </a:ln>
                  </pic:spPr>
                </pic:pic>
              </a:graphicData>
            </a:graphic>
          </wp:inline>
        </w:drawing>
      </w:r>
    </w:p>
    <w:p w:rsidR="0067472B" w:rsidRDefault="0067472B" w:rsidP="0067472B">
      <w:pPr>
        <w:autoSpaceDE w:val="0"/>
        <w:autoSpaceDN w:val="0"/>
        <w:adjustRightInd w:val="0"/>
        <w:spacing w:after="0" w:line="240" w:lineRule="auto"/>
        <w:jc w:val="both"/>
        <w:rPr>
          <w:rFonts w:ascii="Times New Roman" w:eastAsia="Calibri" w:hAnsi="Times New Roman"/>
          <w:bCs/>
          <w:i/>
          <w:iCs/>
          <w:lang w:val="en-US"/>
        </w:rPr>
      </w:pPr>
      <w:r w:rsidRPr="0067472B">
        <w:rPr>
          <w:rFonts w:ascii="Times New Roman" w:eastAsia="Calibri" w:hAnsi="Times New Roman"/>
          <w:bCs/>
          <w:i/>
          <w:iCs/>
          <w:lang w:val="en-US"/>
        </w:rPr>
        <w:t xml:space="preserve">Fig. </w:t>
      </w:r>
      <w:r w:rsidRPr="0067472B">
        <w:rPr>
          <w:rFonts w:ascii="Times New Roman" w:eastAsia="Calibri" w:hAnsi="Times New Roman"/>
          <w:bCs/>
          <w:i/>
          <w:iCs/>
          <w:lang w:val="en-US"/>
        </w:rPr>
        <w:fldChar w:fldCharType="begin"/>
      </w:r>
      <w:r w:rsidRPr="0067472B">
        <w:rPr>
          <w:rFonts w:ascii="Times New Roman" w:eastAsia="Calibri" w:hAnsi="Times New Roman"/>
          <w:bCs/>
          <w:i/>
          <w:iCs/>
          <w:lang w:val="en-US"/>
        </w:rPr>
        <w:instrText xml:space="preserve"> SEQ Fig. \* ARABIC </w:instrText>
      </w:r>
      <w:r w:rsidRPr="0067472B">
        <w:rPr>
          <w:rFonts w:ascii="Times New Roman" w:eastAsia="Calibri" w:hAnsi="Times New Roman"/>
          <w:bCs/>
          <w:i/>
          <w:iCs/>
          <w:lang w:val="en-US"/>
        </w:rPr>
        <w:fldChar w:fldCharType="separate"/>
      </w:r>
      <w:r w:rsidRPr="0067472B">
        <w:rPr>
          <w:rFonts w:ascii="Times New Roman" w:eastAsia="Calibri" w:hAnsi="Times New Roman"/>
          <w:bCs/>
          <w:i/>
          <w:iCs/>
          <w:lang w:val="en-US"/>
        </w:rPr>
        <w:t>2</w:t>
      </w:r>
      <w:r w:rsidRPr="0067472B">
        <w:rPr>
          <w:rFonts w:ascii="Times New Roman" w:eastAsia="Calibri" w:hAnsi="Times New Roman"/>
          <w:bCs/>
          <w:lang w:val="en-US"/>
        </w:rPr>
        <w:fldChar w:fldCharType="end"/>
      </w:r>
      <w:r w:rsidRPr="0067472B">
        <w:rPr>
          <w:rFonts w:ascii="Times New Roman" w:eastAsia="Calibri" w:hAnsi="Times New Roman"/>
          <w:bCs/>
          <w:i/>
          <w:iCs/>
          <w:lang w:val="en-US"/>
        </w:rPr>
        <w:t xml:space="preserve">. Operational </w:t>
      </w:r>
      <w:proofErr w:type="gramStart"/>
      <w:r w:rsidRPr="0067472B">
        <w:rPr>
          <w:rFonts w:ascii="Times New Roman" w:eastAsia="Calibri" w:hAnsi="Times New Roman"/>
          <w:bCs/>
          <w:i/>
          <w:iCs/>
          <w:lang w:val="en-US"/>
        </w:rPr>
        <w:t>process  of</w:t>
      </w:r>
      <w:proofErr w:type="gramEnd"/>
      <w:r w:rsidRPr="0067472B">
        <w:rPr>
          <w:rFonts w:ascii="Times New Roman" w:eastAsia="Calibri" w:hAnsi="Times New Roman"/>
          <w:bCs/>
          <w:i/>
          <w:iCs/>
          <w:lang w:val="en-US"/>
        </w:rPr>
        <w:t xml:space="preserve"> the Allocation Cheap Sourcing system</w:t>
      </w:r>
    </w:p>
    <w:p w:rsidR="0067472B" w:rsidRPr="0067472B" w:rsidRDefault="0067472B" w:rsidP="0067472B">
      <w:pPr>
        <w:autoSpaceDE w:val="0"/>
        <w:autoSpaceDN w:val="0"/>
        <w:adjustRightInd w:val="0"/>
        <w:spacing w:after="0" w:line="240" w:lineRule="auto"/>
        <w:jc w:val="both"/>
        <w:rPr>
          <w:rFonts w:ascii="Times New Roman" w:eastAsia="Calibri" w:hAnsi="Times New Roman"/>
          <w:bCs/>
          <w:i/>
          <w:iCs/>
          <w:lang w:val="en-US"/>
        </w:rPr>
      </w:pPr>
    </w:p>
    <w:p w:rsidR="0067472B" w:rsidRDefault="0067472B" w:rsidP="0067472B">
      <w:pPr>
        <w:autoSpaceDE w:val="0"/>
        <w:autoSpaceDN w:val="0"/>
        <w:adjustRightInd w:val="0"/>
        <w:spacing w:after="0" w:line="240" w:lineRule="auto"/>
        <w:jc w:val="both"/>
        <w:rPr>
          <w:rFonts w:ascii="Times New Roman" w:eastAsia="Calibri" w:hAnsi="Times New Roman"/>
          <w:bCs/>
          <w:lang w:val="en-US"/>
        </w:rPr>
      </w:pPr>
      <w:r w:rsidRPr="0067472B">
        <w:rPr>
          <w:rFonts w:ascii="Times New Roman" w:eastAsia="Calibri" w:hAnsi="Times New Roman"/>
          <w:bCs/>
          <w:lang w:val="en-US"/>
        </w:rPr>
        <w:t xml:space="preserve">Table </w:t>
      </w:r>
      <w:r w:rsidRPr="0067472B">
        <w:rPr>
          <w:rFonts w:ascii="Times New Roman" w:eastAsia="Calibri" w:hAnsi="Times New Roman"/>
          <w:bCs/>
          <w:lang w:val="en-US"/>
        </w:rPr>
        <w:fldChar w:fldCharType="begin"/>
      </w:r>
      <w:r w:rsidRPr="0067472B">
        <w:rPr>
          <w:rFonts w:ascii="Times New Roman" w:eastAsia="Calibri" w:hAnsi="Times New Roman"/>
          <w:bCs/>
          <w:lang w:val="en-US"/>
        </w:rPr>
        <w:instrText xml:space="preserve"> SEQ Table \* ARABIC </w:instrText>
      </w:r>
      <w:r w:rsidRPr="0067472B">
        <w:rPr>
          <w:rFonts w:ascii="Times New Roman" w:eastAsia="Calibri" w:hAnsi="Times New Roman"/>
          <w:bCs/>
          <w:lang w:val="en-US"/>
        </w:rPr>
        <w:fldChar w:fldCharType="separate"/>
      </w:r>
      <w:r w:rsidRPr="0067472B">
        <w:rPr>
          <w:rFonts w:ascii="Times New Roman" w:eastAsia="Calibri" w:hAnsi="Times New Roman"/>
          <w:bCs/>
          <w:lang w:val="en-US"/>
        </w:rPr>
        <w:t>2</w:t>
      </w:r>
      <w:r w:rsidRPr="0067472B">
        <w:rPr>
          <w:rFonts w:ascii="Times New Roman" w:eastAsia="Calibri" w:hAnsi="Times New Roman"/>
          <w:bCs/>
          <w:lang w:val="en-US"/>
        </w:rPr>
        <w:fldChar w:fldCharType="end"/>
      </w:r>
      <w:r w:rsidRPr="0067472B">
        <w:rPr>
          <w:rFonts w:ascii="Times New Roman" w:eastAsia="Calibri" w:hAnsi="Times New Roman"/>
          <w:bCs/>
          <w:lang w:val="en-US"/>
        </w:rPr>
        <w:t>. Advantages of the Allocation Cheap Sourcing system</w:t>
      </w:r>
    </w:p>
    <w:p w:rsidR="0067472B" w:rsidRPr="0067472B" w:rsidRDefault="0067472B" w:rsidP="0067472B">
      <w:pPr>
        <w:autoSpaceDE w:val="0"/>
        <w:autoSpaceDN w:val="0"/>
        <w:adjustRightInd w:val="0"/>
        <w:spacing w:after="0" w:line="240" w:lineRule="auto"/>
        <w:jc w:val="both"/>
        <w:rPr>
          <w:rFonts w:ascii="Times New Roman" w:eastAsia="Calibri" w:hAnsi="Times New Roman"/>
          <w:bCs/>
          <w:lang w:val="en-US"/>
        </w:rPr>
      </w:pPr>
    </w:p>
    <w:tbl>
      <w:tblPr>
        <w:tblStyle w:val="KisiTabel2"/>
        <w:tblW w:w="4247" w:type="dxa"/>
        <w:tblInd w:w="284" w:type="dxa"/>
        <w:tblLook w:val="04A0" w:firstRow="1" w:lastRow="0" w:firstColumn="1" w:lastColumn="0" w:noHBand="0" w:noVBand="1"/>
      </w:tblPr>
      <w:tblGrid>
        <w:gridCol w:w="1129"/>
        <w:gridCol w:w="1559"/>
        <w:gridCol w:w="1559"/>
      </w:tblGrid>
      <w:tr w:rsidR="0067472B" w:rsidRPr="0067472B" w:rsidTr="00EE4952">
        <w:tc>
          <w:tcPr>
            <w:tcW w:w="1129"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p>
        </w:tc>
        <w:tc>
          <w:tcPr>
            <w:tcW w:w="1559"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Private</w:t>
            </w:r>
          </w:p>
        </w:tc>
        <w:tc>
          <w:tcPr>
            <w:tcW w:w="1559"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Government</w:t>
            </w:r>
          </w:p>
        </w:tc>
      </w:tr>
      <w:tr w:rsidR="0067472B" w:rsidRPr="0067472B" w:rsidTr="00EE4952">
        <w:tc>
          <w:tcPr>
            <w:tcW w:w="1129"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Fleet status</w:t>
            </w:r>
          </w:p>
        </w:tc>
        <w:tc>
          <w:tcPr>
            <w:tcW w:w="1559"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Full operational</w:t>
            </w:r>
          </w:p>
        </w:tc>
        <w:tc>
          <w:tcPr>
            <w:tcW w:w="1559"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No need to buy</w:t>
            </w:r>
          </w:p>
        </w:tc>
      </w:tr>
      <w:tr w:rsidR="0067472B" w:rsidRPr="0067472B" w:rsidTr="00EE4952">
        <w:tc>
          <w:tcPr>
            <w:tcW w:w="1129"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Labor status</w:t>
            </w:r>
          </w:p>
        </w:tc>
        <w:tc>
          <w:tcPr>
            <w:tcW w:w="1559"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Work around the clock</w:t>
            </w:r>
          </w:p>
        </w:tc>
        <w:tc>
          <w:tcPr>
            <w:tcW w:w="1559"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Can win power</w:t>
            </w:r>
          </w:p>
        </w:tc>
      </w:tr>
      <w:tr w:rsidR="0067472B" w:rsidRPr="0067472B" w:rsidTr="00EE4952">
        <w:tc>
          <w:tcPr>
            <w:tcW w:w="1129"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Vehicle maintenance</w:t>
            </w:r>
          </w:p>
        </w:tc>
        <w:tc>
          <w:tcPr>
            <w:tcW w:w="1559"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Lightweight as there is certainty for maintenance costs</w:t>
            </w:r>
          </w:p>
        </w:tc>
        <w:tc>
          <w:tcPr>
            <w:tcW w:w="1559"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Privately insured</w:t>
            </w:r>
          </w:p>
        </w:tc>
      </w:tr>
      <w:tr w:rsidR="0067472B" w:rsidRPr="0067472B" w:rsidTr="00EE4952">
        <w:tc>
          <w:tcPr>
            <w:tcW w:w="1129"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Management</w:t>
            </w:r>
          </w:p>
        </w:tc>
        <w:tc>
          <w:tcPr>
            <w:tcW w:w="1559"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It's easier because there are already passengers/consumers</w:t>
            </w:r>
          </w:p>
        </w:tc>
        <w:tc>
          <w:tcPr>
            <w:tcW w:w="1559"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Lighter assisted by the private sector</w:t>
            </w:r>
          </w:p>
        </w:tc>
      </w:tr>
      <w:tr w:rsidR="0067472B" w:rsidRPr="0067472B" w:rsidTr="00EE4952">
        <w:tc>
          <w:tcPr>
            <w:tcW w:w="1129"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Liability for fleet accident risk</w:t>
            </w:r>
          </w:p>
        </w:tc>
        <w:tc>
          <w:tcPr>
            <w:tcW w:w="1559"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The risk of accidents can be minimized because of good management</w:t>
            </w:r>
          </w:p>
        </w:tc>
        <w:tc>
          <w:tcPr>
            <w:tcW w:w="1559"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Jointly covered</w:t>
            </w:r>
          </w:p>
        </w:tc>
      </w:tr>
      <w:tr w:rsidR="0067472B" w:rsidRPr="0067472B" w:rsidTr="00EE4952">
        <w:tc>
          <w:tcPr>
            <w:tcW w:w="1129"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Routing</w:t>
            </w:r>
          </w:p>
        </w:tc>
        <w:tc>
          <w:tcPr>
            <w:tcW w:w="1559"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Government</w:t>
            </w:r>
          </w:p>
        </w:tc>
        <w:tc>
          <w:tcPr>
            <w:tcW w:w="1559"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Government</w:t>
            </w:r>
          </w:p>
        </w:tc>
      </w:tr>
      <w:tr w:rsidR="0067472B" w:rsidRPr="0067472B" w:rsidTr="00EE4952">
        <w:tc>
          <w:tcPr>
            <w:tcW w:w="1129"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Revenue sharing</w:t>
            </w:r>
          </w:p>
        </w:tc>
        <w:tc>
          <w:tcPr>
            <w:tcW w:w="1559" w:type="dxa"/>
          </w:tcPr>
          <w:p w:rsidR="0067472B" w:rsidRPr="0067472B" w:rsidRDefault="0067472B" w:rsidP="0067472B">
            <w:pPr>
              <w:widowControl w:val="0"/>
              <w:autoSpaceDE w:val="0"/>
              <w:autoSpaceDN w:val="0"/>
              <w:spacing w:after="0" w:line="36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Profit sharing is certain</w:t>
            </w:r>
          </w:p>
        </w:tc>
        <w:tc>
          <w:tcPr>
            <w:tcW w:w="1559" w:type="dxa"/>
          </w:tcPr>
          <w:p w:rsidR="0067472B" w:rsidRPr="0067472B" w:rsidRDefault="0067472B" w:rsidP="0067472B">
            <w:pPr>
              <w:widowControl w:val="0"/>
              <w:autoSpaceDE w:val="0"/>
              <w:autoSpaceDN w:val="0"/>
              <w:spacing w:after="0" w:line="240" w:lineRule="auto"/>
              <w:jc w:val="center"/>
              <w:rPr>
                <w:rFonts w:ascii="Times New Roman" w:eastAsia="Times New Roman" w:hAnsi="Times New Roman"/>
                <w:bCs/>
                <w:kern w:val="36"/>
                <w:sz w:val="15"/>
                <w:szCs w:val="15"/>
                <w:lang w:eastAsia="id-ID"/>
              </w:rPr>
            </w:pPr>
            <w:r w:rsidRPr="0067472B">
              <w:rPr>
                <w:rFonts w:ascii="Times New Roman" w:eastAsia="Times New Roman" w:hAnsi="Times New Roman"/>
                <w:bCs/>
                <w:kern w:val="36"/>
                <w:sz w:val="15"/>
                <w:szCs w:val="15"/>
                <w:lang w:val="id" w:eastAsia="id-ID"/>
              </w:rPr>
              <w:t>The government can invest in other things, the distribution is according to the risk, there are not too many vehicles</w:t>
            </w:r>
          </w:p>
        </w:tc>
      </w:tr>
    </w:tbl>
    <w:p w:rsidR="000C4333" w:rsidRDefault="000C4333">
      <w:pPr>
        <w:autoSpaceDE w:val="0"/>
        <w:autoSpaceDN w:val="0"/>
        <w:adjustRightInd w:val="0"/>
        <w:spacing w:after="0" w:line="240" w:lineRule="auto"/>
        <w:ind w:firstLine="426"/>
        <w:jc w:val="both"/>
        <w:rPr>
          <w:rFonts w:ascii="Times New Roman" w:eastAsia="Calibri" w:hAnsi="Times New Roman"/>
          <w:bCs/>
          <w:lang w:val="en-US"/>
        </w:rPr>
      </w:pPr>
    </w:p>
    <w:p w:rsidR="0075247C" w:rsidRDefault="0075247C" w:rsidP="000C4333">
      <w:pPr>
        <w:pStyle w:val="Heading1"/>
        <w:numPr>
          <w:ilvl w:val="0"/>
          <w:numId w:val="0"/>
        </w:numPr>
        <w:ind w:left="426"/>
        <w:rPr>
          <w:rFonts w:eastAsia="Calibri"/>
        </w:rPr>
      </w:pPr>
      <w:r>
        <w:rPr>
          <w:rFonts w:eastAsia="Calibri"/>
          <w:lang w:val="en-US"/>
        </w:rPr>
        <w:t>CONCLUSION</w:t>
      </w:r>
    </w:p>
    <w:p w:rsidR="0067472B" w:rsidRDefault="0067472B" w:rsidP="0067472B">
      <w:pPr>
        <w:autoSpaceDE w:val="0"/>
        <w:autoSpaceDN w:val="0"/>
        <w:adjustRightInd w:val="0"/>
        <w:spacing w:after="0" w:line="240" w:lineRule="auto"/>
        <w:ind w:firstLine="426"/>
        <w:jc w:val="both"/>
        <w:rPr>
          <w:rFonts w:ascii="Times New Roman" w:hAnsi="Times New Roman"/>
          <w:color w:val="000000"/>
          <w:lang w:val="x-none"/>
        </w:rPr>
      </w:pPr>
      <w:r w:rsidRPr="0067472B">
        <w:rPr>
          <w:rFonts w:ascii="Times New Roman" w:hAnsi="Times New Roman"/>
          <w:color w:val="000000"/>
          <w:lang w:val="x-none"/>
        </w:rPr>
        <w:t>After The growth of vehicles from year to year is getting higher and not accompanied by infrastructure construction will cause high levels of congestion, pollution and no comfort. On the other hand, the number of fleets that are not proportional between those managed by the private sector and the government causes many problems that arise. The fleet that is large by the private sector is not optimally used because of poor service and the government fleet that is slightly less able to serve the entire community who want to use public transportation. So, the System Allocation Cheap Sourcing is the right time to use it with collaboration between fleets managed by the private sector and the government. Models that can be used with partnership patterns or with new forms of organization (NFO) models. The purpose of collaboration between the private sector and the government is to equitably distribute public transportation services that are comfortable, safe and reduce congestion levels.</w:t>
      </w:r>
    </w:p>
    <w:p w:rsidR="0067472B" w:rsidRPr="0067472B" w:rsidRDefault="0067472B" w:rsidP="0067472B">
      <w:pPr>
        <w:autoSpaceDE w:val="0"/>
        <w:autoSpaceDN w:val="0"/>
        <w:adjustRightInd w:val="0"/>
        <w:spacing w:after="0" w:line="240" w:lineRule="auto"/>
        <w:ind w:firstLine="426"/>
        <w:jc w:val="both"/>
        <w:rPr>
          <w:rFonts w:ascii="Times New Roman" w:hAnsi="Times New Roman"/>
          <w:color w:val="000000"/>
          <w:lang w:val="x-none"/>
        </w:rPr>
      </w:pPr>
    </w:p>
    <w:p w:rsidR="0067472B" w:rsidRPr="0067472B" w:rsidRDefault="0067472B" w:rsidP="0067472B">
      <w:pPr>
        <w:pStyle w:val="Heading2"/>
        <w:rPr>
          <w:lang w:val="en-US"/>
        </w:rPr>
      </w:pPr>
      <w:r w:rsidRPr="0067472B">
        <w:rPr>
          <w:lang w:val="en-US"/>
        </w:rPr>
        <w:t xml:space="preserve">Acknowledgment </w:t>
      </w:r>
    </w:p>
    <w:p w:rsidR="0075247C" w:rsidRDefault="0067472B" w:rsidP="0067472B">
      <w:pPr>
        <w:autoSpaceDE w:val="0"/>
        <w:autoSpaceDN w:val="0"/>
        <w:adjustRightInd w:val="0"/>
        <w:spacing w:after="0" w:line="240" w:lineRule="auto"/>
        <w:ind w:firstLine="426"/>
        <w:jc w:val="both"/>
        <w:rPr>
          <w:rFonts w:ascii="Times New Roman" w:eastAsia="Calibri" w:hAnsi="Times New Roman"/>
          <w:bCs/>
          <w:lang w:val="en-US"/>
        </w:rPr>
      </w:pPr>
      <w:r w:rsidRPr="0067472B">
        <w:rPr>
          <w:rFonts w:ascii="Times New Roman" w:hAnsi="Times New Roman"/>
          <w:color w:val="000000"/>
          <w:lang w:val="x-none"/>
        </w:rPr>
        <w:t>We would like to express our gratitude to all reviewers who have contributed to the peer review process. The support and professional assistance from all esteemed reviewers have made this journal worthy of publication.</w:t>
      </w:r>
    </w:p>
    <w:p w:rsidR="0075247C" w:rsidRDefault="0075247C">
      <w:pPr>
        <w:autoSpaceDE w:val="0"/>
        <w:autoSpaceDN w:val="0"/>
        <w:adjustRightInd w:val="0"/>
        <w:spacing w:after="0" w:line="240" w:lineRule="auto"/>
        <w:jc w:val="both"/>
        <w:rPr>
          <w:rFonts w:ascii="Times New Roman" w:eastAsia="Calibri" w:hAnsi="Times New Roman"/>
          <w:bCs/>
          <w:lang w:val="en-US"/>
        </w:rPr>
      </w:pPr>
    </w:p>
    <w:p w:rsidR="0075247C" w:rsidRDefault="0075247C">
      <w:pPr>
        <w:autoSpaceDE w:val="0"/>
        <w:autoSpaceDN w:val="0"/>
        <w:adjustRightInd w:val="0"/>
        <w:spacing w:after="0" w:line="240" w:lineRule="auto"/>
        <w:rPr>
          <w:rFonts w:ascii="Times New Roman" w:hAnsi="Times New Roman"/>
          <w:b/>
          <w:bCs/>
          <w:lang w:val="en-US"/>
        </w:rPr>
      </w:pPr>
      <w:r>
        <w:rPr>
          <w:rFonts w:ascii="Times New Roman" w:hAnsi="Times New Roman"/>
          <w:b/>
          <w:bCs/>
          <w:lang w:val="en-US"/>
        </w:rPr>
        <w:t>REFERENCES</w:t>
      </w:r>
    </w:p>
    <w:p w:rsidR="0067472B" w:rsidRPr="0067472B" w:rsidRDefault="0067472B" w:rsidP="0067472B">
      <w:pPr>
        <w:widowControl w:val="0"/>
        <w:autoSpaceDE w:val="0"/>
        <w:autoSpaceDN w:val="0"/>
        <w:adjustRightInd w:val="0"/>
        <w:spacing w:after="40" w:line="240" w:lineRule="auto"/>
        <w:ind w:left="640" w:hanging="640"/>
        <w:jc w:val="both"/>
        <w:rPr>
          <w:rFonts w:ascii="Times New Roman" w:hAnsi="Times New Roman"/>
          <w:noProof/>
          <w:szCs w:val="16"/>
          <w:lang w:val="en-US"/>
        </w:rPr>
      </w:pPr>
      <w:r w:rsidRPr="0067472B">
        <w:rPr>
          <w:rFonts w:ascii="Times New Roman" w:hAnsi="Times New Roman"/>
          <w:szCs w:val="16"/>
          <w:lang w:val="en-US"/>
        </w:rPr>
        <w:fldChar w:fldCharType="begin" w:fldLock="1"/>
      </w:r>
      <w:r w:rsidRPr="0067472B">
        <w:rPr>
          <w:rFonts w:ascii="Times New Roman" w:hAnsi="Times New Roman"/>
          <w:szCs w:val="16"/>
          <w:lang w:val="en-US"/>
        </w:rPr>
        <w:instrText xml:space="preserve">ADDIN Mendeley Bibliography CSL_BIBLIOGRAPHY </w:instrText>
      </w:r>
      <w:r w:rsidRPr="0067472B">
        <w:rPr>
          <w:rFonts w:ascii="Times New Roman" w:hAnsi="Times New Roman"/>
          <w:szCs w:val="16"/>
          <w:lang w:val="en-US"/>
        </w:rPr>
        <w:fldChar w:fldCharType="separate"/>
      </w:r>
      <w:r w:rsidRPr="0067472B">
        <w:rPr>
          <w:rFonts w:ascii="Times New Roman" w:hAnsi="Times New Roman"/>
          <w:noProof/>
          <w:szCs w:val="16"/>
          <w:lang w:val="en-US"/>
        </w:rPr>
        <w:t>[1]</w:t>
      </w:r>
      <w:r w:rsidRPr="0067472B">
        <w:rPr>
          <w:rFonts w:ascii="Times New Roman" w:hAnsi="Times New Roman"/>
          <w:noProof/>
          <w:szCs w:val="16"/>
          <w:lang w:val="en-US"/>
        </w:rPr>
        <w:tab/>
        <w:t xml:space="preserve">E. Tchouamou Njoya and H.-M. Niemeier, “Do dedicated low-cost passenger terminals create competitive advantages for airports?,” </w:t>
      </w:r>
      <w:r w:rsidRPr="0067472B">
        <w:rPr>
          <w:rFonts w:ascii="Times New Roman" w:hAnsi="Times New Roman"/>
          <w:i/>
          <w:iCs/>
          <w:noProof/>
          <w:szCs w:val="16"/>
          <w:lang w:val="en-US"/>
        </w:rPr>
        <w:t>Cancer Lett. - CANCER LETT</w:t>
      </w:r>
      <w:r w:rsidRPr="0067472B">
        <w:rPr>
          <w:rFonts w:ascii="Times New Roman" w:hAnsi="Times New Roman"/>
          <w:noProof/>
          <w:szCs w:val="16"/>
          <w:lang w:val="en-US"/>
        </w:rPr>
        <w:t>, vol. 1, pp. 55–61, Aug. 2011, doi: 10.1016/j.rtbm.2011.06.005.</w:t>
      </w:r>
    </w:p>
    <w:p w:rsidR="0067472B" w:rsidRPr="0067472B" w:rsidRDefault="0067472B" w:rsidP="0067472B">
      <w:pPr>
        <w:widowControl w:val="0"/>
        <w:autoSpaceDE w:val="0"/>
        <w:autoSpaceDN w:val="0"/>
        <w:adjustRightInd w:val="0"/>
        <w:spacing w:after="40" w:line="240" w:lineRule="auto"/>
        <w:ind w:left="640" w:hanging="640"/>
        <w:jc w:val="both"/>
        <w:rPr>
          <w:rFonts w:ascii="Times New Roman" w:hAnsi="Times New Roman"/>
          <w:noProof/>
          <w:szCs w:val="16"/>
          <w:lang w:val="en-US"/>
        </w:rPr>
      </w:pPr>
      <w:r w:rsidRPr="0067472B">
        <w:rPr>
          <w:rFonts w:ascii="Times New Roman" w:hAnsi="Times New Roman"/>
          <w:noProof/>
          <w:szCs w:val="16"/>
          <w:lang w:val="en-US"/>
        </w:rPr>
        <w:t>[2]</w:t>
      </w:r>
      <w:r w:rsidRPr="0067472B">
        <w:rPr>
          <w:rFonts w:ascii="Times New Roman" w:hAnsi="Times New Roman"/>
          <w:noProof/>
          <w:szCs w:val="16"/>
          <w:lang w:val="en-US"/>
        </w:rPr>
        <w:tab/>
        <w:t xml:space="preserve">W. N. Marangu, E. Mwiti, and E. Thoronjo, “Analysis of Cost Leadership Strategy Influence on Organizations’ Competitiveness of Sugar Firms in Kenya,” </w:t>
      </w:r>
      <w:r w:rsidRPr="0067472B">
        <w:rPr>
          <w:rFonts w:ascii="Times New Roman" w:hAnsi="Times New Roman"/>
          <w:i/>
          <w:iCs/>
          <w:noProof/>
          <w:szCs w:val="16"/>
          <w:lang w:val="en-US"/>
        </w:rPr>
        <w:t>Eur. J. Bus. Manag.</w:t>
      </w:r>
      <w:r w:rsidRPr="0067472B">
        <w:rPr>
          <w:rFonts w:ascii="Times New Roman" w:hAnsi="Times New Roman"/>
          <w:noProof/>
          <w:szCs w:val="16"/>
          <w:lang w:val="en-US"/>
        </w:rPr>
        <w:t>, vol. 9, pp. 38–49, 2017, [Online]. Available: https://api.semanticscholar.org/CorpusID:55063815</w:t>
      </w:r>
    </w:p>
    <w:p w:rsidR="0067472B" w:rsidRPr="0067472B" w:rsidRDefault="0067472B" w:rsidP="0067472B">
      <w:pPr>
        <w:widowControl w:val="0"/>
        <w:autoSpaceDE w:val="0"/>
        <w:autoSpaceDN w:val="0"/>
        <w:adjustRightInd w:val="0"/>
        <w:spacing w:after="40" w:line="240" w:lineRule="auto"/>
        <w:ind w:left="640" w:hanging="640"/>
        <w:jc w:val="both"/>
        <w:rPr>
          <w:rFonts w:ascii="Times New Roman" w:hAnsi="Times New Roman"/>
          <w:noProof/>
          <w:szCs w:val="16"/>
          <w:lang w:val="en-US"/>
        </w:rPr>
      </w:pPr>
      <w:r w:rsidRPr="0067472B">
        <w:rPr>
          <w:rFonts w:ascii="Times New Roman" w:hAnsi="Times New Roman"/>
          <w:noProof/>
          <w:szCs w:val="16"/>
          <w:lang w:val="en-US"/>
        </w:rPr>
        <w:t>[3]</w:t>
      </w:r>
      <w:r w:rsidRPr="0067472B">
        <w:rPr>
          <w:rFonts w:ascii="Times New Roman" w:hAnsi="Times New Roman"/>
          <w:noProof/>
          <w:szCs w:val="16"/>
          <w:lang w:val="en-US"/>
        </w:rPr>
        <w:tab/>
        <w:t xml:space="preserve">R. . Handoyo, “Sea cargo costs are expensive, Kadin encourages export routes by air,” </w:t>
      </w:r>
      <w:r w:rsidRPr="0067472B">
        <w:rPr>
          <w:rFonts w:ascii="Times New Roman" w:hAnsi="Times New Roman"/>
          <w:i/>
          <w:iCs/>
          <w:noProof/>
          <w:szCs w:val="16"/>
          <w:lang w:val="en-US"/>
        </w:rPr>
        <w:t>VOA ID</w:t>
      </w:r>
      <w:r w:rsidRPr="0067472B">
        <w:rPr>
          <w:rFonts w:ascii="Times New Roman" w:hAnsi="Times New Roman"/>
          <w:noProof/>
          <w:szCs w:val="16"/>
          <w:lang w:val="en-US"/>
        </w:rPr>
        <w:t>, 2021.</w:t>
      </w:r>
    </w:p>
    <w:p w:rsidR="0067472B" w:rsidRPr="0067472B" w:rsidRDefault="0067472B" w:rsidP="0067472B">
      <w:pPr>
        <w:widowControl w:val="0"/>
        <w:autoSpaceDE w:val="0"/>
        <w:autoSpaceDN w:val="0"/>
        <w:adjustRightInd w:val="0"/>
        <w:spacing w:after="40" w:line="240" w:lineRule="auto"/>
        <w:ind w:left="640" w:hanging="640"/>
        <w:jc w:val="both"/>
        <w:rPr>
          <w:rFonts w:ascii="Times New Roman" w:hAnsi="Times New Roman"/>
          <w:noProof/>
          <w:szCs w:val="16"/>
          <w:lang w:val="en-US"/>
        </w:rPr>
      </w:pPr>
      <w:r w:rsidRPr="0067472B">
        <w:rPr>
          <w:rFonts w:ascii="Times New Roman" w:hAnsi="Times New Roman"/>
          <w:noProof/>
          <w:szCs w:val="16"/>
          <w:lang w:val="en-US"/>
        </w:rPr>
        <w:t>[4]</w:t>
      </w:r>
      <w:r w:rsidRPr="0067472B">
        <w:rPr>
          <w:rFonts w:ascii="Times New Roman" w:hAnsi="Times New Roman"/>
          <w:noProof/>
          <w:szCs w:val="16"/>
          <w:lang w:val="en-US"/>
        </w:rPr>
        <w:tab/>
        <w:t xml:space="preserve">D. A. Jerab and T. Mabrouk, “Achieving Competitive Advantage through Cost Leadership Strategy: Strategies for Sustainable Success,” </w:t>
      </w:r>
      <w:r w:rsidRPr="0067472B">
        <w:rPr>
          <w:rFonts w:ascii="Times New Roman" w:hAnsi="Times New Roman"/>
          <w:i/>
          <w:iCs/>
          <w:noProof/>
          <w:szCs w:val="16"/>
          <w:lang w:val="en-US"/>
        </w:rPr>
        <w:t>SSRN Electron. J.</w:t>
      </w:r>
      <w:r w:rsidRPr="0067472B">
        <w:rPr>
          <w:rFonts w:ascii="Times New Roman" w:hAnsi="Times New Roman"/>
          <w:noProof/>
          <w:szCs w:val="16"/>
          <w:lang w:val="en-US"/>
        </w:rPr>
        <w:t>, pp. 1–17, 2023, doi: 10.2139/ssrn.4574945.</w:t>
      </w:r>
    </w:p>
    <w:p w:rsidR="0067472B" w:rsidRPr="0067472B" w:rsidRDefault="0067472B" w:rsidP="0067472B">
      <w:pPr>
        <w:widowControl w:val="0"/>
        <w:autoSpaceDE w:val="0"/>
        <w:autoSpaceDN w:val="0"/>
        <w:adjustRightInd w:val="0"/>
        <w:spacing w:after="40" w:line="240" w:lineRule="auto"/>
        <w:ind w:left="640" w:hanging="640"/>
        <w:jc w:val="both"/>
        <w:rPr>
          <w:rFonts w:ascii="Times New Roman" w:hAnsi="Times New Roman"/>
          <w:noProof/>
          <w:szCs w:val="16"/>
          <w:lang w:val="en-US"/>
        </w:rPr>
      </w:pPr>
      <w:r w:rsidRPr="0067472B">
        <w:rPr>
          <w:rFonts w:ascii="Times New Roman" w:hAnsi="Times New Roman"/>
          <w:noProof/>
          <w:szCs w:val="16"/>
          <w:lang w:val="en-US"/>
        </w:rPr>
        <w:t>[5]</w:t>
      </w:r>
      <w:r w:rsidRPr="0067472B">
        <w:rPr>
          <w:rFonts w:ascii="Times New Roman" w:hAnsi="Times New Roman"/>
          <w:noProof/>
          <w:szCs w:val="16"/>
          <w:lang w:val="en-US"/>
        </w:rPr>
        <w:tab/>
        <w:t xml:space="preserve">M. Bhat, A. Agrawal, and M. V. Barmpas, “Differentiation, Cost Leadership, or Ending Up in the Middle? A Reflection on the Viability of Porter’s Generic Strategies through a Case Study Comparison of McDonalds and Starbucks,” </w:t>
      </w:r>
      <w:r w:rsidRPr="0067472B">
        <w:rPr>
          <w:rFonts w:ascii="Times New Roman" w:hAnsi="Times New Roman"/>
          <w:i/>
          <w:iCs/>
          <w:noProof/>
          <w:szCs w:val="16"/>
          <w:lang w:val="en-US"/>
        </w:rPr>
        <w:t>Athens J. Bus. Econ.</w:t>
      </w:r>
      <w:r w:rsidRPr="0067472B">
        <w:rPr>
          <w:rFonts w:ascii="Times New Roman" w:hAnsi="Times New Roman"/>
          <w:noProof/>
          <w:szCs w:val="16"/>
          <w:lang w:val="en-US"/>
        </w:rPr>
        <w:t>, vol. 10, no. 3, pp. 217–238, 2024, doi: 10.30958/ajbe.10-3-3.</w:t>
      </w:r>
    </w:p>
    <w:p w:rsidR="0067472B" w:rsidRPr="0067472B" w:rsidRDefault="0067472B" w:rsidP="0067472B">
      <w:pPr>
        <w:widowControl w:val="0"/>
        <w:autoSpaceDE w:val="0"/>
        <w:autoSpaceDN w:val="0"/>
        <w:adjustRightInd w:val="0"/>
        <w:spacing w:after="40" w:line="240" w:lineRule="auto"/>
        <w:ind w:left="640" w:hanging="640"/>
        <w:jc w:val="both"/>
        <w:rPr>
          <w:rFonts w:ascii="Times New Roman" w:hAnsi="Times New Roman"/>
          <w:noProof/>
          <w:szCs w:val="16"/>
          <w:lang w:val="en-US"/>
        </w:rPr>
      </w:pPr>
      <w:r w:rsidRPr="0067472B">
        <w:rPr>
          <w:rFonts w:ascii="Times New Roman" w:hAnsi="Times New Roman"/>
          <w:noProof/>
          <w:szCs w:val="16"/>
          <w:lang w:val="en-US"/>
        </w:rPr>
        <w:t>[6]</w:t>
      </w:r>
      <w:r w:rsidRPr="0067472B">
        <w:rPr>
          <w:rFonts w:ascii="Times New Roman" w:hAnsi="Times New Roman"/>
          <w:noProof/>
          <w:szCs w:val="16"/>
          <w:lang w:val="en-US"/>
        </w:rPr>
        <w:tab/>
        <w:t xml:space="preserve">Bureau of Transportation Statistics: US Department of Transportation, “Transportation Statistics Annual Report,” </w:t>
      </w:r>
      <w:r w:rsidRPr="0067472B">
        <w:rPr>
          <w:rFonts w:ascii="Times New Roman" w:hAnsi="Times New Roman"/>
          <w:i/>
          <w:iCs/>
          <w:noProof/>
          <w:szCs w:val="16"/>
          <w:lang w:val="en-US"/>
        </w:rPr>
        <w:t>Transp. Stat. Annu. Rep.</w:t>
      </w:r>
      <w:r w:rsidRPr="0067472B">
        <w:rPr>
          <w:rFonts w:ascii="Times New Roman" w:hAnsi="Times New Roman"/>
          <w:noProof/>
          <w:szCs w:val="16"/>
          <w:lang w:val="en-US"/>
        </w:rPr>
        <w:t>, no. 1–222, p. 226, 2010, [Online]. Available: https://books.google.com/books?id=Xohu_3ooPhEC&amp;pgis=1</w:t>
      </w:r>
    </w:p>
    <w:p w:rsidR="0067472B" w:rsidRPr="0067472B" w:rsidRDefault="0067472B" w:rsidP="0067472B">
      <w:pPr>
        <w:widowControl w:val="0"/>
        <w:autoSpaceDE w:val="0"/>
        <w:autoSpaceDN w:val="0"/>
        <w:adjustRightInd w:val="0"/>
        <w:spacing w:after="40" w:line="240" w:lineRule="auto"/>
        <w:ind w:left="640" w:hanging="640"/>
        <w:jc w:val="both"/>
        <w:rPr>
          <w:rFonts w:ascii="Times New Roman" w:hAnsi="Times New Roman"/>
          <w:noProof/>
          <w:szCs w:val="16"/>
          <w:lang w:val="en-US"/>
        </w:rPr>
      </w:pPr>
      <w:r w:rsidRPr="0067472B">
        <w:rPr>
          <w:rFonts w:ascii="Times New Roman" w:hAnsi="Times New Roman"/>
          <w:noProof/>
          <w:szCs w:val="16"/>
          <w:lang w:val="en-US"/>
        </w:rPr>
        <w:t>[7]</w:t>
      </w:r>
      <w:r w:rsidRPr="0067472B">
        <w:rPr>
          <w:rFonts w:ascii="Times New Roman" w:hAnsi="Times New Roman"/>
          <w:noProof/>
          <w:szCs w:val="16"/>
          <w:lang w:val="en-US"/>
        </w:rPr>
        <w:tab/>
      </w:r>
      <w:r w:rsidRPr="0067472B">
        <w:rPr>
          <w:rFonts w:ascii="Times New Roman" w:hAnsi="Times New Roman"/>
          <w:i/>
          <w:iCs/>
          <w:noProof/>
          <w:szCs w:val="16"/>
          <w:lang w:val="en-US"/>
        </w:rPr>
        <w:t>ITF Transport Outlook 2023</w:t>
      </w:r>
      <w:r w:rsidRPr="0067472B">
        <w:rPr>
          <w:rFonts w:ascii="Times New Roman" w:hAnsi="Times New Roman"/>
          <w:noProof/>
          <w:szCs w:val="16"/>
          <w:lang w:val="en-US"/>
        </w:rPr>
        <w:t>. in ITF Transport Outlook. OECD, 2023. doi: 10.1787/b6cc9ad5-en.</w:t>
      </w:r>
    </w:p>
    <w:p w:rsidR="0067472B" w:rsidRPr="0067472B" w:rsidRDefault="0067472B" w:rsidP="0067472B">
      <w:pPr>
        <w:widowControl w:val="0"/>
        <w:autoSpaceDE w:val="0"/>
        <w:autoSpaceDN w:val="0"/>
        <w:adjustRightInd w:val="0"/>
        <w:spacing w:after="40" w:line="240" w:lineRule="auto"/>
        <w:ind w:left="640" w:hanging="640"/>
        <w:jc w:val="both"/>
        <w:rPr>
          <w:rFonts w:ascii="Times New Roman" w:hAnsi="Times New Roman"/>
          <w:noProof/>
          <w:szCs w:val="16"/>
          <w:lang w:val="en-US"/>
        </w:rPr>
      </w:pPr>
      <w:r w:rsidRPr="0067472B">
        <w:rPr>
          <w:rFonts w:ascii="Times New Roman" w:hAnsi="Times New Roman"/>
          <w:noProof/>
          <w:szCs w:val="16"/>
          <w:lang w:val="en-US"/>
        </w:rPr>
        <w:t>[8]</w:t>
      </w:r>
      <w:r w:rsidRPr="0067472B">
        <w:rPr>
          <w:rFonts w:ascii="Times New Roman" w:hAnsi="Times New Roman"/>
          <w:noProof/>
          <w:szCs w:val="16"/>
          <w:lang w:val="en-US"/>
        </w:rPr>
        <w:tab/>
        <w:t>European Commission, “Proposal for a Regulation on circularity requirements for vehicle design and on management of end-of-life vehicles,” no. December, 2023, [Online]. Available: https://commission.europa.eu/strategy-and-policy/priorities-2019-2024/european-green-deal/industry-</w:t>
      </w:r>
    </w:p>
    <w:p w:rsidR="0067472B" w:rsidRPr="0067472B" w:rsidRDefault="0067472B" w:rsidP="0067472B">
      <w:pPr>
        <w:widowControl w:val="0"/>
        <w:autoSpaceDE w:val="0"/>
        <w:autoSpaceDN w:val="0"/>
        <w:adjustRightInd w:val="0"/>
        <w:spacing w:after="40" w:line="240" w:lineRule="auto"/>
        <w:ind w:left="640" w:hanging="640"/>
        <w:jc w:val="both"/>
        <w:rPr>
          <w:rFonts w:ascii="Times New Roman" w:hAnsi="Times New Roman"/>
          <w:noProof/>
          <w:szCs w:val="16"/>
          <w:lang w:val="en-US"/>
        </w:rPr>
      </w:pPr>
      <w:r w:rsidRPr="0067472B">
        <w:rPr>
          <w:rFonts w:ascii="Times New Roman" w:hAnsi="Times New Roman"/>
          <w:noProof/>
          <w:szCs w:val="16"/>
          <w:lang w:val="en-US"/>
        </w:rPr>
        <w:t>[9]</w:t>
      </w:r>
      <w:r w:rsidRPr="0067472B">
        <w:rPr>
          <w:rFonts w:ascii="Times New Roman" w:hAnsi="Times New Roman"/>
          <w:noProof/>
          <w:szCs w:val="16"/>
          <w:lang w:val="en-US"/>
        </w:rPr>
        <w:tab/>
        <w:t xml:space="preserve">M. A. Riski, “Kapal Laut di Indonesia Pada 2021,” </w:t>
      </w:r>
      <w:r w:rsidRPr="0067472B">
        <w:rPr>
          <w:rFonts w:ascii="Times New Roman" w:hAnsi="Times New Roman"/>
          <w:i/>
          <w:iCs/>
          <w:noProof/>
          <w:szCs w:val="16"/>
          <w:lang w:val="en-US"/>
        </w:rPr>
        <w:t>Dataindonesia.id</w:t>
      </w:r>
      <w:r w:rsidRPr="0067472B">
        <w:rPr>
          <w:rFonts w:ascii="Times New Roman" w:hAnsi="Times New Roman"/>
          <w:noProof/>
          <w:szCs w:val="16"/>
          <w:lang w:val="en-US"/>
        </w:rPr>
        <w:t>, 2022. https://dataindonesia.id/otomotif-transportasi/detail/ada-72313-kapal-laut-di-indonesia-pada-2021</w:t>
      </w:r>
    </w:p>
    <w:p w:rsidR="0067472B" w:rsidRPr="0067472B" w:rsidRDefault="0067472B" w:rsidP="0067472B">
      <w:pPr>
        <w:widowControl w:val="0"/>
        <w:autoSpaceDE w:val="0"/>
        <w:autoSpaceDN w:val="0"/>
        <w:adjustRightInd w:val="0"/>
        <w:spacing w:after="40" w:line="240" w:lineRule="auto"/>
        <w:ind w:left="640" w:hanging="640"/>
        <w:jc w:val="both"/>
        <w:rPr>
          <w:rFonts w:ascii="Times New Roman" w:hAnsi="Times New Roman"/>
          <w:noProof/>
          <w:szCs w:val="16"/>
          <w:lang w:val="en-US"/>
        </w:rPr>
      </w:pPr>
      <w:r w:rsidRPr="0067472B">
        <w:rPr>
          <w:rFonts w:ascii="Times New Roman" w:hAnsi="Times New Roman"/>
          <w:noProof/>
          <w:szCs w:val="16"/>
          <w:lang w:val="en-US"/>
        </w:rPr>
        <w:t>[10]</w:t>
      </w:r>
      <w:r w:rsidRPr="0067472B">
        <w:rPr>
          <w:rFonts w:ascii="Times New Roman" w:hAnsi="Times New Roman"/>
          <w:noProof/>
          <w:szCs w:val="16"/>
          <w:lang w:val="en-US"/>
        </w:rPr>
        <w:tab/>
        <w:t xml:space="preserve">Fery, “ini-jumlah-armada-angkutan-mudik-2024-untuk-layani-1936-juta-pemudik,” </w:t>
      </w:r>
      <w:r w:rsidRPr="0067472B">
        <w:rPr>
          <w:rFonts w:ascii="Times New Roman" w:hAnsi="Times New Roman"/>
          <w:i/>
          <w:iCs/>
          <w:noProof/>
          <w:szCs w:val="16"/>
          <w:lang w:val="en-US"/>
        </w:rPr>
        <w:t>Republika</w:t>
      </w:r>
      <w:r w:rsidRPr="0067472B">
        <w:rPr>
          <w:rFonts w:ascii="Times New Roman" w:hAnsi="Times New Roman"/>
          <w:noProof/>
          <w:szCs w:val="16"/>
          <w:lang w:val="en-US"/>
        </w:rPr>
        <w:t>, 2024.</w:t>
      </w:r>
    </w:p>
    <w:p w:rsidR="0067472B" w:rsidRPr="0067472B" w:rsidRDefault="0067472B" w:rsidP="0067472B">
      <w:pPr>
        <w:widowControl w:val="0"/>
        <w:autoSpaceDE w:val="0"/>
        <w:autoSpaceDN w:val="0"/>
        <w:adjustRightInd w:val="0"/>
        <w:spacing w:after="40" w:line="240" w:lineRule="auto"/>
        <w:ind w:left="640" w:hanging="640"/>
        <w:jc w:val="both"/>
        <w:rPr>
          <w:rFonts w:ascii="Times New Roman" w:hAnsi="Times New Roman"/>
          <w:noProof/>
          <w:szCs w:val="16"/>
          <w:lang w:val="en-US"/>
        </w:rPr>
      </w:pPr>
      <w:r w:rsidRPr="0067472B">
        <w:rPr>
          <w:rFonts w:ascii="Times New Roman" w:hAnsi="Times New Roman"/>
          <w:noProof/>
          <w:szCs w:val="16"/>
          <w:lang w:val="en-US"/>
        </w:rPr>
        <w:lastRenderedPageBreak/>
        <w:t>[11]</w:t>
      </w:r>
      <w:r w:rsidRPr="0067472B">
        <w:rPr>
          <w:rFonts w:ascii="Times New Roman" w:hAnsi="Times New Roman"/>
          <w:noProof/>
          <w:szCs w:val="16"/>
          <w:lang w:val="en-US"/>
        </w:rPr>
        <w:tab/>
        <w:t>P. Dutta, “THE ENVIRONMENTAL IMPACTS OF VEHICLE POLLUTION,” Mar. 2023.</w:t>
      </w:r>
    </w:p>
    <w:p w:rsidR="0067472B" w:rsidRPr="0067472B" w:rsidRDefault="0067472B" w:rsidP="0067472B">
      <w:pPr>
        <w:widowControl w:val="0"/>
        <w:autoSpaceDE w:val="0"/>
        <w:autoSpaceDN w:val="0"/>
        <w:adjustRightInd w:val="0"/>
        <w:spacing w:after="40" w:line="240" w:lineRule="auto"/>
        <w:ind w:left="640" w:hanging="640"/>
        <w:jc w:val="both"/>
        <w:rPr>
          <w:rFonts w:ascii="Times New Roman" w:hAnsi="Times New Roman"/>
          <w:noProof/>
          <w:szCs w:val="16"/>
          <w:lang w:val="en-US"/>
        </w:rPr>
      </w:pPr>
      <w:r w:rsidRPr="0067472B">
        <w:rPr>
          <w:rFonts w:ascii="Times New Roman" w:hAnsi="Times New Roman"/>
          <w:noProof/>
          <w:szCs w:val="16"/>
          <w:lang w:val="en-US"/>
        </w:rPr>
        <w:t>[12]</w:t>
      </w:r>
      <w:r w:rsidRPr="0067472B">
        <w:rPr>
          <w:rFonts w:ascii="Times New Roman" w:hAnsi="Times New Roman"/>
          <w:noProof/>
          <w:szCs w:val="16"/>
          <w:lang w:val="en-US"/>
        </w:rPr>
        <w:tab/>
        <w:t xml:space="preserve">A. D. Amelia, M. I. Arib, Y. S. Renaldi, T. S. Hartono, and S. V. Ramos, “The Effect of Traffic Jam on High Levels of Student Stress,” </w:t>
      </w:r>
      <w:r w:rsidRPr="0067472B">
        <w:rPr>
          <w:rFonts w:ascii="Times New Roman" w:hAnsi="Times New Roman"/>
          <w:i/>
          <w:iCs/>
          <w:noProof/>
          <w:szCs w:val="16"/>
          <w:lang w:val="en-US"/>
        </w:rPr>
        <w:t>Apl. J. Res. Trends Soc. Sci. Humanit.</w:t>
      </w:r>
      <w:r w:rsidRPr="0067472B">
        <w:rPr>
          <w:rFonts w:ascii="Times New Roman" w:hAnsi="Times New Roman"/>
          <w:noProof/>
          <w:szCs w:val="16"/>
          <w:lang w:val="en-US"/>
        </w:rPr>
        <w:t>, vol. 2, no. 1, pp. 46–50, Jun. 2023, doi: 10.59110/aplikatif.v2i1.123.</w:t>
      </w:r>
    </w:p>
    <w:p w:rsidR="0067472B" w:rsidRPr="0067472B" w:rsidRDefault="0067472B" w:rsidP="0067472B">
      <w:pPr>
        <w:widowControl w:val="0"/>
        <w:autoSpaceDE w:val="0"/>
        <w:autoSpaceDN w:val="0"/>
        <w:adjustRightInd w:val="0"/>
        <w:spacing w:after="40" w:line="240" w:lineRule="auto"/>
        <w:ind w:left="640" w:hanging="640"/>
        <w:jc w:val="both"/>
        <w:rPr>
          <w:rFonts w:ascii="Times New Roman" w:hAnsi="Times New Roman"/>
          <w:noProof/>
          <w:szCs w:val="16"/>
          <w:lang w:val="en-US"/>
        </w:rPr>
      </w:pPr>
      <w:r w:rsidRPr="0067472B">
        <w:rPr>
          <w:rFonts w:ascii="Times New Roman" w:hAnsi="Times New Roman"/>
          <w:noProof/>
          <w:szCs w:val="16"/>
          <w:lang w:val="en-US"/>
        </w:rPr>
        <w:t>[13]</w:t>
      </w:r>
      <w:r w:rsidRPr="0067472B">
        <w:rPr>
          <w:rFonts w:ascii="Times New Roman" w:hAnsi="Times New Roman"/>
          <w:noProof/>
          <w:szCs w:val="16"/>
          <w:lang w:val="en-US"/>
        </w:rPr>
        <w:tab/>
        <w:t>S. Helmi and W. Wahab, “Traffic Congestion Effect on Socio-Economic of Road Users in Palembang City,” 2023, pp. 80–90. doi: 10.2991/978-2-38476-072-5_9.</w:t>
      </w:r>
    </w:p>
    <w:p w:rsidR="0067472B" w:rsidRPr="0067472B" w:rsidRDefault="0067472B" w:rsidP="0067472B">
      <w:pPr>
        <w:widowControl w:val="0"/>
        <w:autoSpaceDE w:val="0"/>
        <w:autoSpaceDN w:val="0"/>
        <w:adjustRightInd w:val="0"/>
        <w:spacing w:after="40" w:line="240" w:lineRule="auto"/>
        <w:ind w:left="640" w:hanging="640"/>
        <w:jc w:val="both"/>
        <w:rPr>
          <w:rFonts w:ascii="Times New Roman" w:hAnsi="Times New Roman"/>
          <w:noProof/>
          <w:szCs w:val="16"/>
          <w:lang w:val="en-US"/>
        </w:rPr>
      </w:pPr>
      <w:r w:rsidRPr="0067472B">
        <w:rPr>
          <w:rFonts w:ascii="Times New Roman" w:hAnsi="Times New Roman"/>
          <w:noProof/>
          <w:szCs w:val="16"/>
          <w:lang w:val="en-US"/>
        </w:rPr>
        <w:t>[14]</w:t>
      </w:r>
      <w:r w:rsidRPr="0067472B">
        <w:rPr>
          <w:rFonts w:ascii="Times New Roman" w:hAnsi="Times New Roman"/>
          <w:noProof/>
          <w:szCs w:val="16"/>
          <w:lang w:val="en-US"/>
        </w:rPr>
        <w:tab/>
        <w:t>P. N. Benedikter, “How to Reduce Congestion I : The Optimal Speed Limit for Urban Traffic,” pp. 1–7, 2024.</w:t>
      </w:r>
    </w:p>
    <w:p w:rsidR="0067472B" w:rsidRPr="0067472B" w:rsidRDefault="0067472B" w:rsidP="0067472B">
      <w:pPr>
        <w:widowControl w:val="0"/>
        <w:autoSpaceDE w:val="0"/>
        <w:autoSpaceDN w:val="0"/>
        <w:adjustRightInd w:val="0"/>
        <w:spacing w:after="40" w:line="240" w:lineRule="auto"/>
        <w:ind w:left="640" w:hanging="640"/>
        <w:jc w:val="both"/>
        <w:rPr>
          <w:rFonts w:ascii="Times New Roman" w:hAnsi="Times New Roman"/>
          <w:noProof/>
          <w:szCs w:val="16"/>
          <w:lang w:val="en-US"/>
        </w:rPr>
      </w:pPr>
      <w:r w:rsidRPr="0067472B">
        <w:rPr>
          <w:rFonts w:ascii="Times New Roman" w:hAnsi="Times New Roman"/>
          <w:noProof/>
          <w:szCs w:val="16"/>
          <w:lang w:val="en-US"/>
        </w:rPr>
        <w:t>[15]</w:t>
      </w:r>
      <w:r w:rsidRPr="0067472B">
        <w:rPr>
          <w:rFonts w:ascii="Times New Roman" w:hAnsi="Times New Roman"/>
          <w:noProof/>
          <w:szCs w:val="16"/>
          <w:lang w:val="en-US"/>
        </w:rPr>
        <w:tab/>
      </w:r>
      <w:r w:rsidRPr="0067472B">
        <w:rPr>
          <w:rFonts w:ascii="Times New Roman" w:hAnsi="Times New Roman"/>
          <w:i/>
          <w:iCs/>
          <w:noProof/>
          <w:szCs w:val="16"/>
          <w:lang w:val="en-US"/>
        </w:rPr>
        <w:t>Investment barriers in the European Union 2023: a report by the European Investment Bank Group</w:t>
      </w:r>
      <w:r w:rsidRPr="0067472B">
        <w:rPr>
          <w:rFonts w:ascii="Times New Roman" w:hAnsi="Times New Roman"/>
          <w:noProof/>
          <w:szCs w:val="16"/>
          <w:lang w:val="en-US"/>
        </w:rPr>
        <w:t>. European Investment Bank, 2024. doi: 10.2867/45894.</w:t>
      </w:r>
    </w:p>
    <w:p w:rsidR="0067472B" w:rsidRPr="0067472B" w:rsidRDefault="0067472B" w:rsidP="0067472B">
      <w:pPr>
        <w:widowControl w:val="0"/>
        <w:autoSpaceDE w:val="0"/>
        <w:autoSpaceDN w:val="0"/>
        <w:adjustRightInd w:val="0"/>
        <w:spacing w:after="40" w:line="240" w:lineRule="auto"/>
        <w:ind w:left="640" w:hanging="640"/>
        <w:jc w:val="both"/>
        <w:rPr>
          <w:rFonts w:ascii="Times New Roman" w:hAnsi="Times New Roman"/>
          <w:noProof/>
          <w:szCs w:val="16"/>
          <w:lang w:val="en-US"/>
        </w:rPr>
      </w:pPr>
      <w:r w:rsidRPr="0067472B">
        <w:rPr>
          <w:rFonts w:ascii="Times New Roman" w:hAnsi="Times New Roman"/>
          <w:noProof/>
          <w:szCs w:val="16"/>
          <w:lang w:val="en-US"/>
        </w:rPr>
        <w:t>[16]</w:t>
      </w:r>
      <w:r w:rsidRPr="0067472B">
        <w:rPr>
          <w:rFonts w:ascii="Times New Roman" w:hAnsi="Times New Roman"/>
          <w:noProof/>
          <w:szCs w:val="16"/>
          <w:lang w:val="en-US"/>
        </w:rPr>
        <w:tab/>
        <w:t xml:space="preserve">A. Haryanto, “Armada Nganggur di Garasi, Perusahaan Bus di Cimahi Terancam Bangkrut,” </w:t>
      </w:r>
      <w:r w:rsidRPr="0067472B">
        <w:rPr>
          <w:rFonts w:ascii="Times New Roman" w:hAnsi="Times New Roman"/>
          <w:i/>
          <w:iCs/>
          <w:noProof/>
          <w:szCs w:val="16"/>
          <w:lang w:val="en-US"/>
        </w:rPr>
        <w:t>Sindonews</w:t>
      </w:r>
      <w:r w:rsidRPr="0067472B">
        <w:rPr>
          <w:rFonts w:ascii="Times New Roman" w:hAnsi="Times New Roman"/>
          <w:noProof/>
          <w:szCs w:val="16"/>
          <w:lang w:val="en-US"/>
        </w:rPr>
        <w:t>, 2021.</w:t>
      </w:r>
    </w:p>
    <w:p w:rsidR="0067472B" w:rsidRPr="0067472B" w:rsidRDefault="0067472B" w:rsidP="0067472B">
      <w:pPr>
        <w:widowControl w:val="0"/>
        <w:autoSpaceDE w:val="0"/>
        <w:autoSpaceDN w:val="0"/>
        <w:adjustRightInd w:val="0"/>
        <w:spacing w:after="40" w:line="240" w:lineRule="auto"/>
        <w:ind w:left="640" w:hanging="640"/>
        <w:jc w:val="both"/>
        <w:rPr>
          <w:rFonts w:ascii="Times New Roman" w:hAnsi="Times New Roman"/>
          <w:noProof/>
          <w:szCs w:val="16"/>
          <w:lang w:val="en-US"/>
        </w:rPr>
      </w:pPr>
      <w:r w:rsidRPr="0067472B">
        <w:rPr>
          <w:rFonts w:ascii="Times New Roman" w:hAnsi="Times New Roman"/>
          <w:noProof/>
          <w:szCs w:val="16"/>
          <w:lang w:val="en-US"/>
        </w:rPr>
        <w:t>[17]</w:t>
      </w:r>
      <w:r w:rsidRPr="0067472B">
        <w:rPr>
          <w:rFonts w:ascii="Times New Roman" w:hAnsi="Times New Roman"/>
          <w:noProof/>
          <w:szCs w:val="16"/>
          <w:lang w:val="en-US"/>
        </w:rPr>
        <w:tab/>
        <w:t xml:space="preserve">K. Amrullah, “Terminal Kota Batu yang Sepi Penumpang,Angkot Berkurang 50 Unit, DAMRI Tutup,” </w:t>
      </w:r>
      <w:r w:rsidRPr="0067472B">
        <w:rPr>
          <w:rFonts w:ascii="Times New Roman" w:hAnsi="Times New Roman"/>
          <w:i/>
          <w:iCs/>
          <w:noProof/>
          <w:szCs w:val="16"/>
          <w:lang w:val="en-US"/>
        </w:rPr>
        <w:t>Jawapos</w:t>
      </w:r>
      <w:r w:rsidRPr="0067472B">
        <w:rPr>
          <w:rFonts w:ascii="Times New Roman" w:hAnsi="Times New Roman"/>
          <w:noProof/>
          <w:szCs w:val="16"/>
          <w:lang w:val="en-US"/>
        </w:rPr>
        <w:t>, 2023.</w:t>
      </w:r>
    </w:p>
    <w:p w:rsidR="0067472B" w:rsidRPr="0067472B" w:rsidRDefault="0067472B" w:rsidP="0067472B">
      <w:pPr>
        <w:widowControl w:val="0"/>
        <w:autoSpaceDE w:val="0"/>
        <w:autoSpaceDN w:val="0"/>
        <w:adjustRightInd w:val="0"/>
        <w:spacing w:after="40" w:line="240" w:lineRule="auto"/>
        <w:ind w:left="640" w:hanging="640"/>
        <w:jc w:val="both"/>
        <w:rPr>
          <w:rFonts w:ascii="Times New Roman" w:hAnsi="Times New Roman"/>
          <w:noProof/>
          <w:szCs w:val="16"/>
          <w:lang w:val="en-US"/>
        </w:rPr>
      </w:pPr>
      <w:r w:rsidRPr="0067472B">
        <w:rPr>
          <w:rFonts w:ascii="Times New Roman" w:hAnsi="Times New Roman"/>
          <w:noProof/>
          <w:szCs w:val="16"/>
          <w:lang w:val="en-US"/>
        </w:rPr>
        <w:t>[18]</w:t>
      </w:r>
      <w:r w:rsidRPr="0067472B">
        <w:rPr>
          <w:rFonts w:ascii="Times New Roman" w:hAnsi="Times New Roman"/>
          <w:noProof/>
          <w:szCs w:val="16"/>
          <w:lang w:val="en-US"/>
        </w:rPr>
        <w:tab/>
        <w:t xml:space="preserve">A. Fadli, “Lima Alasan Orang Membenci Transportasi Umum,” </w:t>
      </w:r>
      <w:r w:rsidRPr="0067472B">
        <w:rPr>
          <w:rFonts w:ascii="Times New Roman" w:hAnsi="Times New Roman"/>
          <w:i/>
          <w:iCs/>
          <w:noProof/>
          <w:szCs w:val="16"/>
          <w:lang w:val="en-US"/>
        </w:rPr>
        <w:t>Kompas</w:t>
      </w:r>
      <w:r w:rsidRPr="0067472B">
        <w:rPr>
          <w:rFonts w:ascii="Times New Roman" w:hAnsi="Times New Roman"/>
          <w:noProof/>
          <w:szCs w:val="16"/>
          <w:lang w:val="en-US"/>
        </w:rPr>
        <w:t>, 2022.</w:t>
      </w:r>
    </w:p>
    <w:p w:rsidR="0067472B" w:rsidRPr="0067472B" w:rsidRDefault="0067472B" w:rsidP="0067472B">
      <w:pPr>
        <w:widowControl w:val="0"/>
        <w:autoSpaceDE w:val="0"/>
        <w:autoSpaceDN w:val="0"/>
        <w:adjustRightInd w:val="0"/>
        <w:spacing w:after="40" w:line="240" w:lineRule="auto"/>
        <w:ind w:left="640" w:hanging="640"/>
        <w:jc w:val="both"/>
        <w:rPr>
          <w:rFonts w:ascii="Times New Roman" w:hAnsi="Times New Roman"/>
          <w:noProof/>
          <w:szCs w:val="16"/>
          <w:lang w:val="en-US"/>
        </w:rPr>
      </w:pPr>
      <w:r w:rsidRPr="0067472B">
        <w:rPr>
          <w:rFonts w:ascii="Times New Roman" w:hAnsi="Times New Roman"/>
          <w:noProof/>
          <w:szCs w:val="16"/>
          <w:lang w:val="en-US"/>
        </w:rPr>
        <w:t>[19]</w:t>
      </w:r>
      <w:r w:rsidRPr="0067472B">
        <w:rPr>
          <w:rFonts w:ascii="Times New Roman" w:hAnsi="Times New Roman"/>
          <w:noProof/>
          <w:szCs w:val="16"/>
          <w:lang w:val="en-US"/>
        </w:rPr>
        <w:tab/>
        <w:t xml:space="preserve">A. Johnston and D. Prokop, “University Engagement and Productivity in Innovative SMEs: An Empirical Assessment,” </w:t>
      </w:r>
      <w:r w:rsidRPr="0067472B">
        <w:rPr>
          <w:rFonts w:ascii="Times New Roman" w:hAnsi="Times New Roman"/>
          <w:i/>
          <w:iCs/>
          <w:noProof/>
          <w:szCs w:val="16"/>
          <w:lang w:val="en-US"/>
        </w:rPr>
        <w:t>ERC Work. Pap. No. 78</w:t>
      </w:r>
      <w:r w:rsidRPr="0067472B">
        <w:rPr>
          <w:rFonts w:ascii="Times New Roman" w:hAnsi="Times New Roman"/>
          <w:noProof/>
          <w:szCs w:val="16"/>
          <w:lang w:val="en-US"/>
        </w:rPr>
        <w:t>, no. September, p. available at https://www.enterpriseresearch.ac.uk/, 2019.</w:t>
      </w:r>
    </w:p>
    <w:p w:rsidR="0067472B" w:rsidRPr="0067472B" w:rsidRDefault="0067472B" w:rsidP="0067472B">
      <w:pPr>
        <w:widowControl w:val="0"/>
        <w:autoSpaceDE w:val="0"/>
        <w:autoSpaceDN w:val="0"/>
        <w:adjustRightInd w:val="0"/>
        <w:spacing w:after="40" w:line="240" w:lineRule="auto"/>
        <w:ind w:left="640" w:hanging="640"/>
        <w:jc w:val="both"/>
        <w:rPr>
          <w:rFonts w:ascii="Times New Roman" w:hAnsi="Times New Roman"/>
          <w:noProof/>
          <w:szCs w:val="16"/>
          <w:lang w:val="en-US"/>
        </w:rPr>
      </w:pPr>
      <w:r w:rsidRPr="0067472B">
        <w:rPr>
          <w:rFonts w:ascii="Times New Roman" w:hAnsi="Times New Roman"/>
          <w:noProof/>
          <w:szCs w:val="16"/>
          <w:lang w:val="en-US"/>
        </w:rPr>
        <w:t>[20]</w:t>
      </w:r>
      <w:r w:rsidRPr="0067472B">
        <w:rPr>
          <w:rFonts w:ascii="Times New Roman" w:hAnsi="Times New Roman"/>
          <w:noProof/>
          <w:szCs w:val="16"/>
          <w:lang w:val="en-US"/>
        </w:rPr>
        <w:tab/>
        <w:t xml:space="preserve">M. Benerdal and A.-K. Westman, “Organising for collaboration with schools: experiences from six Swedish universities,” </w:t>
      </w:r>
      <w:r w:rsidRPr="0067472B">
        <w:rPr>
          <w:rFonts w:ascii="Times New Roman" w:hAnsi="Times New Roman"/>
          <w:i/>
          <w:iCs/>
          <w:noProof/>
          <w:szCs w:val="16"/>
          <w:lang w:val="en-US"/>
        </w:rPr>
        <w:t>Scand. J. Educ. Res.</w:t>
      </w:r>
      <w:r w:rsidRPr="0067472B">
        <w:rPr>
          <w:rFonts w:ascii="Times New Roman" w:hAnsi="Times New Roman"/>
          <w:noProof/>
          <w:szCs w:val="16"/>
          <w:lang w:val="en-US"/>
        </w:rPr>
        <w:t>, pp. 1–13, Oct. 2023, doi: 10.1080/00313831.2023.2263476.</w:t>
      </w:r>
    </w:p>
    <w:p w:rsidR="0067472B" w:rsidRPr="0067472B" w:rsidRDefault="0067472B" w:rsidP="0067472B">
      <w:pPr>
        <w:widowControl w:val="0"/>
        <w:autoSpaceDE w:val="0"/>
        <w:autoSpaceDN w:val="0"/>
        <w:adjustRightInd w:val="0"/>
        <w:spacing w:after="40" w:line="240" w:lineRule="auto"/>
        <w:ind w:left="640" w:hanging="640"/>
        <w:jc w:val="both"/>
        <w:rPr>
          <w:rFonts w:ascii="Times New Roman" w:hAnsi="Times New Roman"/>
          <w:noProof/>
          <w:szCs w:val="16"/>
          <w:lang w:val="en-US"/>
        </w:rPr>
      </w:pPr>
      <w:r w:rsidRPr="0067472B">
        <w:rPr>
          <w:rFonts w:ascii="Times New Roman" w:hAnsi="Times New Roman"/>
          <w:noProof/>
          <w:szCs w:val="16"/>
          <w:lang w:val="en-US"/>
        </w:rPr>
        <w:t>[21]</w:t>
      </w:r>
      <w:r w:rsidRPr="0067472B">
        <w:rPr>
          <w:rFonts w:ascii="Times New Roman" w:hAnsi="Times New Roman"/>
          <w:noProof/>
          <w:szCs w:val="16"/>
          <w:lang w:val="en-US"/>
        </w:rPr>
        <w:tab/>
        <w:t xml:space="preserve">A. Gupta and C. Gupta, “A novel collaborative requirement prioritization approach to handle priority vagueness and inter-relationships,” </w:t>
      </w:r>
      <w:r w:rsidRPr="0067472B">
        <w:rPr>
          <w:rFonts w:ascii="Times New Roman" w:hAnsi="Times New Roman"/>
          <w:i/>
          <w:iCs/>
          <w:noProof/>
          <w:szCs w:val="16"/>
          <w:lang w:val="en-US"/>
        </w:rPr>
        <w:t>J. King Saud Univ. - Comput. Inf. Sci.</w:t>
      </w:r>
      <w:r w:rsidRPr="0067472B">
        <w:rPr>
          <w:rFonts w:ascii="Times New Roman" w:hAnsi="Times New Roman"/>
          <w:noProof/>
          <w:szCs w:val="16"/>
          <w:lang w:val="en-US"/>
        </w:rPr>
        <w:t>, vol. 34, no. 5, pp. 2288–2297, May 2022, doi: 10.1016/j.jksuci.2019.12.002.</w:t>
      </w:r>
    </w:p>
    <w:p w:rsidR="0067472B" w:rsidRPr="0067472B" w:rsidRDefault="0067472B" w:rsidP="0067472B">
      <w:pPr>
        <w:widowControl w:val="0"/>
        <w:autoSpaceDE w:val="0"/>
        <w:autoSpaceDN w:val="0"/>
        <w:adjustRightInd w:val="0"/>
        <w:spacing w:after="40" w:line="240" w:lineRule="auto"/>
        <w:ind w:left="640" w:hanging="640"/>
        <w:jc w:val="both"/>
        <w:rPr>
          <w:rFonts w:ascii="Times New Roman" w:hAnsi="Times New Roman"/>
          <w:noProof/>
          <w:szCs w:val="16"/>
          <w:lang w:val="en-US"/>
        </w:rPr>
      </w:pPr>
      <w:r w:rsidRPr="0067472B">
        <w:rPr>
          <w:rFonts w:ascii="Times New Roman" w:hAnsi="Times New Roman"/>
          <w:noProof/>
          <w:szCs w:val="16"/>
          <w:lang w:val="en-US"/>
        </w:rPr>
        <w:t>[22]</w:t>
      </w:r>
      <w:r w:rsidRPr="0067472B">
        <w:rPr>
          <w:rFonts w:ascii="Times New Roman" w:hAnsi="Times New Roman"/>
          <w:noProof/>
          <w:szCs w:val="16"/>
          <w:lang w:val="en-US"/>
        </w:rPr>
        <w:tab/>
        <w:t xml:space="preserve">B. A. Barker Scott and M. R. Manning, “Designing the Collaborative Organization: A Framework for how Collaborative Work, Relationships, and Behaviors Generate Collaborative Capacity,” </w:t>
      </w:r>
      <w:r w:rsidRPr="0067472B">
        <w:rPr>
          <w:rFonts w:ascii="Times New Roman" w:hAnsi="Times New Roman"/>
          <w:i/>
          <w:iCs/>
          <w:noProof/>
          <w:szCs w:val="16"/>
          <w:lang w:val="en-US"/>
        </w:rPr>
        <w:t>J. Appl. Behav. Sci.</w:t>
      </w:r>
      <w:r w:rsidRPr="0067472B">
        <w:rPr>
          <w:rFonts w:ascii="Times New Roman" w:hAnsi="Times New Roman"/>
          <w:noProof/>
          <w:szCs w:val="16"/>
          <w:lang w:val="en-US"/>
        </w:rPr>
        <w:t>, vol. 60, no. 1, pp. 149–193, Mar. 2024, doi: 10.1177/00218863221106245.</w:t>
      </w:r>
    </w:p>
    <w:p w:rsidR="0067472B" w:rsidRPr="0067472B" w:rsidRDefault="0067472B" w:rsidP="0067472B">
      <w:pPr>
        <w:widowControl w:val="0"/>
        <w:autoSpaceDE w:val="0"/>
        <w:autoSpaceDN w:val="0"/>
        <w:adjustRightInd w:val="0"/>
        <w:spacing w:after="40" w:line="240" w:lineRule="auto"/>
        <w:ind w:left="640" w:hanging="640"/>
        <w:jc w:val="both"/>
        <w:rPr>
          <w:rFonts w:ascii="Times New Roman" w:hAnsi="Times New Roman"/>
          <w:noProof/>
          <w:szCs w:val="16"/>
          <w:lang w:val="en-US"/>
        </w:rPr>
      </w:pPr>
      <w:r w:rsidRPr="0067472B">
        <w:rPr>
          <w:rFonts w:ascii="Times New Roman" w:hAnsi="Times New Roman"/>
          <w:noProof/>
          <w:szCs w:val="16"/>
          <w:lang w:val="en-US"/>
        </w:rPr>
        <w:t>[23]</w:t>
      </w:r>
      <w:r w:rsidRPr="0067472B">
        <w:rPr>
          <w:rFonts w:ascii="Times New Roman" w:hAnsi="Times New Roman"/>
          <w:noProof/>
          <w:szCs w:val="16"/>
          <w:lang w:val="en-US"/>
        </w:rPr>
        <w:tab/>
        <w:t xml:space="preserve">C. Azorín and M. Fullan, “Leading new, deeper forms of collaborative cultures: Questions and pathways,” </w:t>
      </w:r>
      <w:r w:rsidRPr="0067472B">
        <w:rPr>
          <w:rFonts w:ascii="Times New Roman" w:hAnsi="Times New Roman"/>
          <w:i/>
          <w:iCs/>
          <w:noProof/>
          <w:szCs w:val="16"/>
          <w:lang w:val="en-US"/>
        </w:rPr>
        <w:t>J. Educ. Chang.</w:t>
      </w:r>
      <w:r w:rsidRPr="0067472B">
        <w:rPr>
          <w:rFonts w:ascii="Times New Roman" w:hAnsi="Times New Roman"/>
          <w:noProof/>
          <w:szCs w:val="16"/>
          <w:lang w:val="en-US"/>
        </w:rPr>
        <w:t xml:space="preserve">, vol. 23, no. 1, pp. </w:t>
      </w:r>
      <w:r w:rsidRPr="0067472B">
        <w:rPr>
          <w:rFonts w:ascii="Times New Roman" w:hAnsi="Times New Roman"/>
          <w:noProof/>
          <w:szCs w:val="16"/>
          <w:lang w:val="en-US"/>
        </w:rPr>
        <w:lastRenderedPageBreak/>
        <w:t>131–143, Feb. 2022, doi: 10.1007/s10833-021-09448-w.</w:t>
      </w:r>
    </w:p>
    <w:p w:rsidR="0067472B" w:rsidRPr="0067472B" w:rsidRDefault="0067472B" w:rsidP="0067472B">
      <w:pPr>
        <w:widowControl w:val="0"/>
        <w:autoSpaceDE w:val="0"/>
        <w:autoSpaceDN w:val="0"/>
        <w:adjustRightInd w:val="0"/>
        <w:spacing w:after="40" w:line="240" w:lineRule="auto"/>
        <w:ind w:left="640" w:hanging="640"/>
        <w:jc w:val="both"/>
        <w:rPr>
          <w:rFonts w:ascii="Times New Roman" w:hAnsi="Times New Roman"/>
          <w:noProof/>
          <w:szCs w:val="16"/>
          <w:lang w:val="en-US"/>
        </w:rPr>
      </w:pPr>
      <w:r w:rsidRPr="0067472B">
        <w:rPr>
          <w:rFonts w:ascii="Times New Roman" w:hAnsi="Times New Roman"/>
          <w:noProof/>
          <w:szCs w:val="16"/>
          <w:lang w:val="en-US"/>
        </w:rPr>
        <w:t>[24]</w:t>
      </w:r>
      <w:r w:rsidRPr="0067472B">
        <w:rPr>
          <w:rFonts w:ascii="Times New Roman" w:hAnsi="Times New Roman"/>
          <w:noProof/>
          <w:szCs w:val="16"/>
          <w:lang w:val="en-US"/>
        </w:rPr>
        <w:tab/>
        <w:t xml:space="preserve">A.-P. de Man and D. Luvison, “Collaborative business models: Aligning and operationalizing alliances,” </w:t>
      </w:r>
      <w:r w:rsidRPr="0067472B">
        <w:rPr>
          <w:rFonts w:ascii="Times New Roman" w:hAnsi="Times New Roman"/>
          <w:i/>
          <w:iCs/>
          <w:noProof/>
          <w:szCs w:val="16"/>
          <w:lang w:val="en-US"/>
        </w:rPr>
        <w:t>Bus. Horiz.</w:t>
      </w:r>
      <w:r w:rsidRPr="0067472B">
        <w:rPr>
          <w:rFonts w:ascii="Times New Roman" w:hAnsi="Times New Roman"/>
          <w:noProof/>
          <w:szCs w:val="16"/>
          <w:lang w:val="en-US"/>
        </w:rPr>
        <w:t>, vol. 62, no. 4, pp. 473–482, Jul. 2019, doi: 10.1016/j.bushor.2019.02.004.</w:t>
      </w:r>
    </w:p>
    <w:p w:rsidR="0067472B" w:rsidRPr="0067472B" w:rsidRDefault="0067472B" w:rsidP="0067472B">
      <w:pPr>
        <w:widowControl w:val="0"/>
        <w:autoSpaceDE w:val="0"/>
        <w:autoSpaceDN w:val="0"/>
        <w:adjustRightInd w:val="0"/>
        <w:spacing w:after="40" w:line="240" w:lineRule="auto"/>
        <w:ind w:left="640" w:hanging="640"/>
        <w:jc w:val="both"/>
        <w:rPr>
          <w:rFonts w:ascii="Times New Roman" w:hAnsi="Times New Roman"/>
          <w:noProof/>
          <w:szCs w:val="16"/>
          <w:lang w:val="en-US"/>
        </w:rPr>
      </w:pPr>
      <w:r w:rsidRPr="0067472B">
        <w:rPr>
          <w:rFonts w:ascii="Times New Roman" w:hAnsi="Times New Roman"/>
          <w:noProof/>
          <w:szCs w:val="16"/>
          <w:lang w:val="en-US"/>
        </w:rPr>
        <w:t>[25]</w:t>
      </w:r>
      <w:r w:rsidRPr="0067472B">
        <w:rPr>
          <w:rFonts w:ascii="Times New Roman" w:hAnsi="Times New Roman"/>
          <w:noProof/>
          <w:szCs w:val="16"/>
          <w:lang w:val="en-US"/>
        </w:rPr>
        <w:tab/>
        <w:t xml:space="preserve">D. De Clercq, N. (Tek) Thongpapanl, and D. Dimov, “A Closer Look at Cross‐Functional Collaboration and Product Innovativeness: Contingency Effects of Structural and Relational Context,” </w:t>
      </w:r>
      <w:r w:rsidRPr="0067472B">
        <w:rPr>
          <w:rFonts w:ascii="Times New Roman" w:hAnsi="Times New Roman"/>
          <w:i/>
          <w:iCs/>
          <w:noProof/>
          <w:szCs w:val="16"/>
          <w:lang w:val="en-US"/>
        </w:rPr>
        <w:t>J. Prod. Innov. Manag.</w:t>
      </w:r>
      <w:r w:rsidRPr="0067472B">
        <w:rPr>
          <w:rFonts w:ascii="Times New Roman" w:hAnsi="Times New Roman"/>
          <w:noProof/>
          <w:szCs w:val="16"/>
          <w:lang w:val="en-US"/>
        </w:rPr>
        <w:t xml:space="preserve">, </w:t>
      </w:r>
      <w:r w:rsidRPr="0067472B">
        <w:rPr>
          <w:rFonts w:ascii="Times New Roman" w:hAnsi="Times New Roman"/>
          <w:noProof/>
          <w:szCs w:val="16"/>
          <w:lang w:val="en-US"/>
        </w:rPr>
        <w:lastRenderedPageBreak/>
        <w:t>vol. 28, no. 5, pp. 680–697, Sep. 2011, doi: 10.1111/j.1540-5885.2011.00830.x.</w:t>
      </w:r>
    </w:p>
    <w:p w:rsidR="0067472B" w:rsidRPr="0067472B" w:rsidRDefault="0067472B" w:rsidP="0067472B">
      <w:pPr>
        <w:widowControl w:val="0"/>
        <w:autoSpaceDE w:val="0"/>
        <w:autoSpaceDN w:val="0"/>
        <w:adjustRightInd w:val="0"/>
        <w:spacing w:after="40" w:line="240" w:lineRule="auto"/>
        <w:ind w:left="640" w:hanging="640"/>
        <w:jc w:val="both"/>
        <w:rPr>
          <w:rFonts w:ascii="Times New Roman" w:hAnsi="Times New Roman"/>
          <w:noProof/>
          <w:szCs w:val="16"/>
          <w:lang w:val="en-US"/>
        </w:rPr>
      </w:pPr>
      <w:r w:rsidRPr="0067472B">
        <w:rPr>
          <w:rFonts w:ascii="Times New Roman" w:hAnsi="Times New Roman"/>
          <w:noProof/>
          <w:szCs w:val="16"/>
          <w:lang w:val="en-US"/>
        </w:rPr>
        <w:t>[26]</w:t>
      </w:r>
      <w:r w:rsidRPr="0067472B">
        <w:rPr>
          <w:rFonts w:ascii="Times New Roman" w:hAnsi="Times New Roman"/>
          <w:noProof/>
          <w:szCs w:val="16"/>
          <w:lang w:val="en-US"/>
        </w:rPr>
        <w:tab/>
        <w:t xml:space="preserve">D. P. Kruse, G. Rövekamp, and C. Weber, “Collaboration of Firms With New Forms of Organizing: Extending the Relational View,” </w:t>
      </w:r>
      <w:r w:rsidRPr="0067472B">
        <w:rPr>
          <w:rFonts w:ascii="Times New Roman" w:hAnsi="Times New Roman"/>
          <w:i/>
          <w:iCs/>
          <w:noProof/>
          <w:szCs w:val="16"/>
          <w:lang w:val="en-US"/>
        </w:rPr>
        <w:t>Organ. Theory</w:t>
      </w:r>
      <w:r w:rsidRPr="0067472B">
        <w:rPr>
          <w:rFonts w:ascii="Times New Roman" w:hAnsi="Times New Roman"/>
          <w:noProof/>
          <w:szCs w:val="16"/>
          <w:lang w:val="en-US"/>
        </w:rPr>
        <w:t>, vol. 3, no. 4, Oct. 2022, doi: 10.1177/26317877221131586.</w:t>
      </w:r>
    </w:p>
    <w:p w:rsidR="0067472B" w:rsidRPr="0067472B" w:rsidRDefault="0067472B" w:rsidP="0067472B">
      <w:pPr>
        <w:widowControl w:val="0"/>
        <w:autoSpaceDE w:val="0"/>
        <w:autoSpaceDN w:val="0"/>
        <w:adjustRightInd w:val="0"/>
        <w:spacing w:after="40" w:line="240" w:lineRule="auto"/>
        <w:ind w:left="640" w:hanging="640"/>
        <w:jc w:val="both"/>
        <w:rPr>
          <w:rFonts w:ascii="Times New Roman" w:hAnsi="Times New Roman"/>
          <w:noProof/>
          <w:szCs w:val="16"/>
          <w:lang w:val="en-US"/>
        </w:rPr>
      </w:pPr>
      <w:r w:rsidRPr="0067472B">
        <w:rPr>
          <w:rFonts w:ascii="Times New Roman" w:hAnsi="Times New Roman"/>
          <w:noProof/>
          <w:szCs w:val="16"/>
          <w:lang w:val="en-US"/>
        </w:rPr>
        <w:t>[27]</w:t>
      </w:r>
      <w:r w:rsidRPr="0067472B">
        <w:rPr>
          <w:rFonts w:ascii="Times New Roman" w:hAnsi="Times New Roman"/>
          <w:noProof/>
          <w:szCs w:val="16"/>
          <w:lang w:val="en-US"/>
        </w:rPr>
        <w:tab/>
        <w:t xml:space="preserve">Porter, “Competitive strategy: Techniques for analyzing industries and competitors: with a new introduction (1st Free Press ed),” </w:t>
      </w:r>
      <w:r w:rsidRPr="0067472B">
        <w:rPr>
          <w:rFonts w:ascii="Times New Roman" w:hAnsi="Times New Roman"/>
          <w:i/>
          <w:iCs/>
          <w:noProof/>
          <w:szCs w:val="16"/>
          <w:lang w:val="en-US"/>
        </w:rPr>
        <w:t>Free Press</w:t>
      </w:r>
      <w:r w:rsidRPr="0067472B">
        <w:rPr>
          <w:rFonts w:ascii="Times New Roman" w:hAnsi="Times New Roman"/>
          <w:noProof/>
          <w:szCs w:val="16"/>
          <w:lang w:val="en-US"/>
        </w:rPr>
        <w:t>, 1998.</w:t>
      </w:r>
    </w:p>
    <w:p w:rsidR="0067472B" w:rsidRPr="0067472B" w:rsidRDefault="0067472B" w:rsidP="0067472B">
      <w:pPr>
        <w:spacing w:after="50" w:line="240" w:lineRule="auto"/>
        <w:jc w:val="both"/>
        <w:rPr>
          <w:rFonts w:ascii="Times New Roman" w:eastAsia="MS Mincho" w:hAnsi="Times New Roman"/>
          <w:noProof/>
          <w:szCs w:val="16"/>
          <w:lang w:val="en-US"/>
        </w:rPr>
        <w:sectPr w:rsidR="0067472B" w:rsidRPr="0067472B" w:rsidSect="0067472B">
          <w:type w:val="continuous"/>
          <w:pgSz w:w="11906" w:h="16838" w:code="9"/>
          <w:pgMar w:top="1080" w:right="907" w:bottom="1440" w:left="907" w:header="720" w:footer="720" w:gutter="0"/>
          <w:cols w:num="2" w:space="360"/>
          <w:docGrid w:linePitch="360"/>
        </w:sectPr>
      </w:pPr>
      <w:r w:rsidRPr="0067472B">
        <w:rPr>
          <w:rFonts w:ascii="Times New Roman" w:eastAsia="MS Mincho" w:hAnsi="Times New Roman"/>
          <w:noProof/>
          <w:szCs w:val="16"/>
          <w:lang w:val="en-US"/>
        </w:rPr>
        <w:fldChar w:fldCharType="end"/>
      </w:r>
    </w:p>
    <w:p w:rsidR="0067472B" w:rsidRPr="0067472B" w:rsidRDefault="0067472B">
      <w:pPr>
        <w:autoSpaceDE w:val="0"/>
        <w:autoSpaceDN w:val="0"/>
        <w:adjustRightInd w:val="0"/>
        <w:spacing w:after="0" w:line="240" w:lineRule="auto"/>
        <w:rPr>
          <w:rFonts w:ascii="Times New Roman" w:hAnsi="Times New Roman"/>
          <w:bCs/>
        </w:rPr>
      </w:pPr>
    </w:p>
    <w:p w:rsidR="000C4333" w:rsidRDefault="000C4333">
      <w:pPr>
        <w:autoSpaceDE w:val="0"/>
        <w:autoSpaceDN w:val="0"/>
        <w:adjustRightInd w:val="0"/>
        <w:spacing w:after="0" w:line="240" w:lineRule="auto"/>
        <w:rPr>
          <w:rFonts w:ascii="Times New Roman" w:hAnsi="Times New Roman"/>
          <w:b/>
          <w:bCs/>
          <w:lang w:val="en-US"/>
        </w:rPr>
      </w:pPr>
    </w:p>
    <w:p w:rsidR="000C4333" w:rsidRDefault="000C4333">
      <w:pPr>
        <w:autoSpaceDE w:val="0"/>
        <w:autoSpaceDN w:val="0"/>
        <w:adjustRightInd w:val="0"/>
        <w:spacing w:after="0" w:line="240" w:lineRule="auto"/>
        <w:rPr>
          <w:rFonts w:ascii="Times New Roman" w:hAnsi="Times New Roman"/>
          <w:b/>
          <w:bCs/>
          <w:lang w:val="en-US"/>
        </w:rPr>
      </w:pPr>
    </w:p>
    <w:p w:rsidR="000C4333" w:rsidRDefault="000C4333">
      <w:pPr>
        <w:autoSpaceDE w:val="0"/>
        <w:autoSpaceDN w:val="0"/>
        <w:adjustRightInd w:val="0"/>
        <w:spacing w:after="0" w:line="240" w:lineRule="auto"/>
        <w:rPr>
          <w:rFonts w:ascii="Times New Roman" w:hAnsi="Times New Roman"/>
          <w:b/>
          <w:bCs/>
          <w:lang w:val="en-US"/>
        </w:rPr>
      </w:pPr>
    </w:p>
    <w:sectPr w:rsidR="000C4333" w:rsidSect="000C433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BFB" w:rsidRDefault="00940BFB">
      <w:pPr>
        <w:spacing w:after="0" w:line="240" w:lineRule="auto"/>
      </w:pPr>
      <w:r>
        <w:separator/>
      </w:r>
    </w:p>
  </w:endnote>
  <w:endnote w:type="continuationSeparator" w:id="0">
    <w:p w:rsidR="00940BFB" w:rsidRDefault="00940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charset w:val="00"/>
    <w:family w:val="auto"/>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7C" w:rsidRDefault="0075247C">
    <w:pPr>
      <w:pStyle w:val="Footer"/>
      <w:tabs>
        <w:tab w:val="clear" w:pos="9026"/>
        <w:tab w:val="right" w:pos="9639"/>
      </w:tabs>
      <w:jc w:val="both"/>
      <w:rPr>
        <w:rFonts w:ascii="Times New Roman" w:hAnsi="Times New Roman"/>
        <w:sz w:val="24"/>
        <w:szCs w:val="24"/>
      </w:rPr>
    </w:pPr>
    <w:r>
      <w:rPr>
        <w:rFonts w:ascii="Times New Roman" w:hAnsi="Times New Roman"/>
        <w:b/>
        <w:bCs/>
        <w:iCs/>
        <w:sz w:val="24"/>
        <w:szCs w:val="24"/>
        <w:lang w:val="en-US"/>
      </w:rPr>
      <w:t>METEOR</w:t>
    </w:r>
    <w:r>
      <w:rPr>
        <w:rFonts w:ascii="Times New Roman" w:hAnsi="Times New Roman"/>
        <w:b/>
        <w:bCs/>
        <w:iCs/>
        <w:sz w:val="24"/>
        <w:szCs w:val="24"/>
      </w:rPr>
      <w:t xml:space="preserve">, Vol. </w:t>
    </w:r>
    <w:r w:rsidR="00B621A6">
      <w:rPr>
        <w:rFonts w:ascii="Times New Roman" w:hAnsi="Times New Roman"/>
        <w:b/>
        <w:bCs/>
        <w:iCs/>
        <w:sz w:val="24"/>
        <w:szCs w:val="24"/>
        <w:lang w:val="en-US"/>
      </w:rPr>
      <w:t>17</w:t>
    </w:r>
    <w:r>
      <w:rPr>
        <w:rFonts w:ascii="Times New Roman" w:hAnsi="Times New Roman"/>
        <w:b/>
        <w:bCs/>
        <w:iCs/>
        <w:sz w:val="24"/>
        <w:szCs w:val="24"/>
      </w:rPr>
      <w:t xml:space="preserve">, No. </w:t>
    </w:r>
    <w:r w:rsidR="000C4333">
      <w:rPr>
        <w:rFonts w:ascii="Times New Roman" w:hAnsi="Times New Roman"/>
        <w:b/>
        <w:bCs/>
        <w:iCs/>
        <w:sz w:val="24"/>
        <w:szCs w:val="24"/>
      </w:rPr>
      <w:t>2</w:t>
    </w:r>
    <w:r>
      <w:rPr>
        <w:rFonts w:ascii="Times New Roman" w:hAnsi="Times New Roman"/>
        <w:b/>
        <w:bCs/>
        <w:iCs/>
        <w:sz w:val="24"/>
        <w:szCs w:val="24"/>
        <w:lang w:val="en-US"/>
      </w:rPr>
      <w:t xml:space="preserve"> </w:t>
    </w:r>
    <w:r w:rsidR="000C4333">
      <w:rPr>
        <w:rFonts w:ascii="Times New Roman" w:hAnsi="Times New Roman"/>
        <w:b/>
        <w:bCs/>
        <w:iCs/>
        <w:sz w:val="24"/>
        <w:szCs w:val="24"/>
      </w:rPr>
      <w:t>December</w:t>
    </w:r>
    <w:r>
      <w:rPr>
        <w:rFonts w:ascii="Times New Roman" w:hAnsi="Times New Roman"/>
        <w:b/>
        <w:bCs/>
        <w:iCs/>
        <w:sz w:val="24"/>
        <w:szCs w:val="24"/>
        <w:lang w:val="en-US"/>
      </w:rPr>
      <w:t xml:space="preserve"> 20</w:t>
    </w:r>
    <w:r w:rsidR="00B621A6">
      <w:rPr>
        <w:rFonts w:ascii="Times New Roman" w:hAnsi="Times New Roman"/>
        <w:b/>
        <w:bCs/>
        <w:iCs/>
        <w:sz w:val="24"/>
        <w:szCs w:val="24"/>
        <w:lang w:val="en-US"/>
      </w:rPr>
      <w:t>24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DF1D4C">
      <w:rPr>
        <w:rFonts w:ascii="Times New Roman" w:hAnsi="Times New Roman"/>
        <w:noProof/>
        <w:sz w:val="24"/>
        <w:szCs w:val="24"/>
      </w:rPr>
      <w:t>35</w:t>
    </w:r>
    <w:r>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BFB" w:rsidRDefault="00940BFB">
      <w:pPr>
        <w:spacing w:after="0" w:line="240" w:lineRule="auto"/>
      </w:pPr>
      <w:r>
        <w:separator/>
      </w:r>
    </w:p>
  </w:footnote>
  <w:footnote w:type="continuationSeparator" w:id="0">
    <w:p w:rsidR="00940BFB" w:rsidRDefault="00940B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21CA7F1C"/>
    <w:multiLevelType w:val="multilevel"/>
    <w:tmpl w:val="21CA7F1C"/>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5AD97CD8"/>
    <w:multiLevelType w:val="multilevel"/>
    <w:tmpl w:val="5AD97CD8"/>
    <w:lvl w:ilvl="0">
      <w:start w:val="1072"/>
      <w:numFmt w:val="bullet"/>
      <w:pStyle w:val="Heading1"/>
      <w:lvlText w:val="-"/>
      <w:lvlJc w:val="left"/>
      <w:pPr>
        <w:ind w:left="198" w:hanging="360"/>
      </w:pPr>
      <w:rPr>
        <w:rFonts w:ascii="Times New Roman" w:eastAsia="Times New Roman" w:hAnsi="Times New Roman" w:cs="Times New Roman" w:hint="default"/>
      </w:rPr>
    </w:lvl>
    <w:lvl w:ilvl="1">
      <w:start w:val="1"/>
      <w:numFmt w:val="bullet"/>
      <w:lvlText w:val="o"/>
      <w:lvlJc w:val="left"/>
      <w:pPr>
        <w:ind w:left="918" w:hanging="360"/>
      </w:pPr>
      <w:rPr>
        <w:rFonts w:ascii="Courier New" w:hAnsi="Courier New" w:cs="Courier New" w:hint="default"/>
      </w:rPr>
    </w:lvl>
    <w:lvl w:ilvl="2">
      <w:start w:val="1"/>
      <w:numFmt w:val="bullet"/>
      <w:lvlText w:val=""/>
      <w:lvlJc w:val="left"/>
      <w:pPr>
        <w:ind w:left="1638" w:hanging="360"/>
      </w:pPr>
      <w:rPr>
        <w:rFonts w:ascii="Wingdings" w:hAnsi="Wingdings" w:hint="default"/>
      </w:rPr>
    </w:lvl>
    <w:lvl w:ilvl="3">
      <w:start w:val="1"/>
      <w:numFmt w:val="bullet"/>
      <w:lvlText w:val=""/>
      <w:lvlJc w:val="left"/>
      <w:pPr>
        <w:ind w:left="2358" w:hanging="360"/>
      </w:pPr>
      <w:rPr>
        <w:rFonts w:ascii="Symbol" w:hAnsi="Symbol" w:hint="default"/>
      </w:rPr>
    </w:lvl>
    <w:lvl w:ilvl="4">
      <w:start w:val="1"/>
      <w:numFmt w:val="bullet"/>
      <w:lvlText w:val="o"/>
      <w:lvlJc w:val="left"/>
      <w:pPr>
        <w:ind w:left="3078" w:hanging="360"/>
      </w:pPr>
      <w:rPr>
        <w:rFonts w:ascii="Courier New" w:hAnsi="Courier New" w:cs="Courier New" w:hint="default"/>
      </w:rPr>
    </w:lvl>
    <w:lvl w:ilvl="5">
      <w:start w:val="1"/>
      <w:numFmt w:val="bullet"/>
      <w:lvlText w:val=""/>
      <w:lvlJc w:val="left"/>
      <w:pPr>
        <w:ind w:left="3798" w:hanging="360"/>
      </w:pPr>
      <w:rPr>
        <w:rFonts w:ascii="Wingdings" w:hAnsi="Wingdings" w:hint="default"/>
      </w:rPr>
    </w:lvl>
    <w:lvl w:ilvl="6">
      <w:start w:val="1"/>
      <w:numFmt w:val="bullet"/>
      <w:lvlText w:val=""/>
      <w:lvlJc w:val="left"/>
      <w:pPr>
        <w:ind w:left="4518" w:hanging="360"/>
      </w:pPr>
      <w:rPr>
        <w:rFonts w:ascii="Symbol" w:hAnsi="Symbol" w:hint="default"/>
      </w:rPr>
    </w:lvl>
    <w:lvl w:ilvl="7">
      <w:start w:val="1"/>
      <w:numFmt w:val="bullet"/>
      <w:lvlText w:val="o"/>
      <w:lvlJc w:val="left"/>
      <w:pPr>
        <w:ind w:left="5238" w:hanging="360"/>
      </w:pPr>
      <w:rPr>
        <w:rFonts w:ascii="Courier New" w:hAnsi="Courier New" w:cs="Courier New" w:hint="default"/>
      </w:rPr>
    </w:lvl>
    <w:lvl w:ilvl="8">
      <w:start w:val="1"/>
      <w:numFmt w:val="bullet"/>
      <w:lvlText w:val=""/>
      <w:lvlJc w:val="left"/>
      <w:pPr>
        <w:ind w:left="5958" w:hanging="360"/>
      </w:pPr>
      <w:rPr>
        <w:rFonts w:ascii="Wingdings" w:hAnsi="Wingdings" w:hint="default"/>
      </w:rPr>
    </w:lvl>
  </w:abstractNum>
  <w:abstractNum w:abstractNumId="3">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708163D9"/>
    <w:multiLevelType w:val="multilevel"/>
    <w:tmpl w:val="708163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720"/>
  <w:characterSpacingControl w:val="doNotCompres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26852"/>
    <w:rsid w:val="00030B5C"/>
    <w:rsid w:val="00033E18"/>
    <w:rsid w:val="00041308"/>
    <w:rsid w:val="000560A6"/>
    <w:rsid w:val="00071394"/>
    <w:rsid w:val="000759AC"/>
    <w:rsid w:val="000767AC"/>
    <w:rsid w:val="00082B02"/>
    <w:rsid w:val="00083C88"/>
    <w:rsid w:val="00095641"/>
    <w:rsid w:val="000973D1"/>
    <w:rsid w:val="000A0337"/>
    <w:rsid w:val="000B2834"/>
    <w:rsid w:val="000B6185"/>
    <w:rsid w:val="000C17E4"/>
    <w:rsid w:val="000C31DF"/>
    <w:rsid w:val="000C4333"/>
    <w:rsid w:val="000C5A7E"/>
    <w:rsid w:val="000C6E91"/>
    <w:rsid w:val="000C741B"/>
    <w:rsid w:val="000D0AC6"/>
    <w:rsid w:val="000E2DF9"/>
    <w:rsid w:val="000E5FB5"/>
    <w:rsid w:val="000E6927"/>
    <w:rsid w:val="000F5F9E"/>
    <w:rsid w:val="0011640C"/>
    <w:rsid w:val="001221B0"/>
    <w:rsid w:val="0014123F"/>
    <w:rsid w:val="0016432C"/>
    <w:rsid w:val="00164A9E"/>
    <w:rsid w:val="00166D83"/>
    <w:rsid w:val="00167ABC"/>
    <w:rsid w:val="00175B04"/>
    <w:rsid w:val="001807B9"/>
    <w:rsid w:val="00182AC6"/>
    <w:rsid w:val="001941B4"/>
    <w:rsid w:val="001A00C2"/>
    <w:rsid w:val="001A2FF5"/>
    <w:rsid w:val="001B28B7"/>
    <w:rsid w:val="001C376C"/>
    <w:rsid w:val="001C79A0"/>
    <w:rsid w:val="001D2DD8"/>
    <w:rsid w:val="001E6D16"/>
    <w:rsid w:val="001F2277"/>
    <w:rsid w:val="002037C8"/>
    <w:rsid w:val="0023056D"/>
    <w:rsid w:val="00231CEA"/>
    <w:rsid w:val="0023691F"/>
    <w:rsid w:val="0024363E"/>
    <w:rsid w:val="00247D83"/>
    <w:rsid w:val="00247F0A"/>
    <w:rsid w:val="0025468B"/>
    <w:rsid w:val="00260B8B"/>
    <w:rsid w:val="00263DD8"/>
    <w:rsid w:val="00264A93"/>
    <w:rsid w:val="00275DB3"/>
    <w:rsid w:val="00276CFF"/>
    <w:rsid w:val="00280FA7"/>
    <w:rsid w:val="002930A1"/>
    <w:rsid w:val="00295877"/>
    <w:rsid w:val="002A3CAC"/>
    <w:rsid w:val="002A73E1"/>
    <w:rsid w:val="002B31E0"/>
    <w:rsid w:val="002D1B73"/>
    <w:rsid w:val="002D5658"/>
    <w:rsid w:val="002F11B1"/>
    <w:rsid w:val="002F6A46"/>
    <w:rsid w:val="00300B39"/>
    <w:rsid w:val="00314187"/>
    <w:rsid w:val="003215D2"/>
    <w:rsid w:val="0033714C"/>
    <w:rsid w:val="00337E4A"/>
    <w:rsid w:val="00346590"/>
    <w:rsid w:val="00381098"/>
    <w:rsid w:val="003C5E0E"/>
    <w:rsid w:val="003D1666"/>
    <w:rsid w:val="003E1642"/>
    <w:rsid w:val="0042090F"/>
    <w:rsid w:val="004428A8"/>
    <w:rsid w:val="004511E0"/>
    <w:rsid w:val="0045526D"/>
    <w:rsid w:val="00455598"/>
    <w:rsid w:val="00461241"/>
    <w:rsid w:val="00461DC8"/>
    <w:rsid w:val="004664FE"/>
    <w:rsid w:val="00470564"/>
    <w:rsid w:val="004714EA"/>
    <w:rsid w:val="00472FE4"/>
    <w:rsid w:val="00473FBF"/>
    <w:rsid w:val="00477DEE"/>
    <w:rsid w:val="00482F54"/>
    <w:rsid w:val="00495A7A"/>
    <w:rsid w:val="004A318B"/>
    <w:rsid w:val="004B27FD"/>
    <w:rsid w:val="004B2F9C"/>
    <w:rsid w:val="004D666F"/>
    <w:rsid w:val="004F1EE5"/>
    <w:rsid w:val="004F7229"/>
    <w:rsid w:val="00531A04"/>
    <w:rsid w:val="00550EA6"/>
    <w:rsid w:val="0055783F"/>
    <w:rsid w:val="0057188F"/>
    <w:rsid w:val="005831E4"/>
    <w:rsid w:val="00583497"/>
    <w:rsid w:val="00583700"/>
    <w:rsid w:val="0059609D"/>
    <w:rsid w:val="005A0D42"/>
    <w:rsid w:val="005A2B62"/>
    <w:rsid w:val="005B6D02"/>
    <w:rsid w:val="005B7008"/>
    <w:rsid w:val="005C6540"/>
    <w:rsid w:val="005D6635"/>
    <w:rsid w:val="005E3175"/>
    <w:rsid w:val="005F0407"/>
    <w:rsid w:val="005F1219"/>
    <w:rsid w:val="005F3A06"/>
    <w:rsid w:val="005F4B71"/>
    <w:rsid w:val="006056BE"/>
    <w:rsid w:val="006066A2"/>
    <w:rsid w:val="00612A0D"/>
    <w:rsid w:val="006171B3"/>
    <w:rsid w:val="0061729D"/>
    <w:rsid w:val="00617C9B"/>
    <w:rsid w:val="00635CBD"/>
    <w:rsid w:val="00667733"/>
    <w:rsid w:val="006709DA"/>
    <w:rsid w:val="0067472B"/>
    <w:rsid w:val="006A33A6"/>
    <w:rsid w:val="006A55F1"/>
    <w:rsid w:val="006B0E27"/>
    <w:rsid w:val="006B629D"/>
    <w:rsid w:val="006D6D19"/>
    <w:rsid w:val="006E3D96"/>
    <w:rsid w:val="006E54DF"/>
    <w:rsid w:val="00702F31"/>
    <w:rsid w:val="00706863"/>
    <w:rsid w:val="00710601"/>
    <w:rsid w:val="00712E82"/>
    <w:rsid w:val="00712FC7"/>
    <w:rsid w:val="007223D5"/>
    <w:rsid w:val="00724ED7"/>
    <w:rsid w:val="00731E10"/>
    <w:rsid w:val="00734DF0"/>
    <w:rsid w:val="00736793"/>
    <w:rsid w:val="00740307"/>
    <w:rsid w:val="007470EB"/>
    <w:rsid w:val="0075247C"/>
    <w:rsid w:val="00760A3E"/>
    <w:rsid w:val="00762A79"/>
    <w:rsid w:val="00762E81"/>
    <w:rsid w:val="00783ED1"/>
    <w:rsid w:val="00790192"/>
    <w:rsid w:val="007912A2"/>
    <w:rsid w:val="007A300F"/>
    <w:rsid w:val="007B417A"/>
    <w:rsid w:val="007B46BC"/>
    <w:rsid w:val="007C2346"/>
    <w:rsid w:val="007C3E3D"/>
    <w:rsid w:val="007D7EA1"/>
    <w:rsid w:val="007E2120"/>
    <w:rsid w:val="007E4252"/>
    <w:rsid w:val="007F0EE3"/>
    <w:rsid w:val="007F32D6"/>
    <w:rsid w:val="007F56FE"/>
    <w:rsid w:val="00811EEA"/>
    <w:rsid w:val="00815747"/>
    <w:rsid w:val="008267F9"/>
    <w:rsid w:val="008318D9"/>
    <w:rsid w:val="00870E3F"/>
    <w:rsid w:val="00872B5D"/>
    <w:rsid w:val="00893A3F"/>
    <w:rsid w:val="008957F8"/>
    <w:rsid w:val="008A106B"/>
    <w:rsid w:val="008A3CD3"/>
    <w:rsid w:val="008A7A9E"/>
    <w:rsid w:val="008B11D9"/>
    <w:rsid w:val="008B19CC"/>
    <w:rsid w:val="008B3067"/>
    <w:rsid w:val="008B5E8C"/>
    <w:rsid w:val="008D0AEE"/>
    <w:rsid w:val="008E3AAF"/>
    <w:rsid w:val="008E7571"/>
    <w:rsid w:val="008F2D2C"/>
    <w:rsid w:val="009079AB"/>
    <w:rsid w:val="00911BC6"/>
    <w:rsid w:val="00930B95"/>
    <w:rsid w:val="009378B9"/>
    <w:rsid w:val="00940BFB"/>
    <w:rsid w:val="009657B5"/>
    <w:rsid w:val="00983018"/>
    <w:rsid w:val="00983CFD"/>
    <w:rsid w:val="0098476B"/>
    <w:rsid w:val="00986BB7"/>
    <w:rsid w:val="0098710F"/>
    <w:rsid w:val="00996AA2"/>
    <w:rsid w:val="009A679D"/>
    <w:rsid w:val="009B1F3D"/>
    <w:rsid w:val="009B4398"/>
    <w:rsid w:val="009C0371"/>
    <w:rsid w:val="009C0B7D"/>
    <w:rsid w:val="009C13E5"/>
    <w:rsid w:val="009C1962"/>
    <w:rsid w:val="009C4BE4"/>
    <w:rsid w:val="009D366C"/>
    <w:rsid w:val="009D6FB2"/>
    <w:rsid w:val="009E2646"/>
    <w:rsid w:val="00A03D71"/>
    <w:rsid w:val="00A06323"/>
    <w:rsid w:val="00A214E1"/>
    <w:rsid w:val="00A37C6F"/>
    <w:rsid w:val="00A6121E"/>
    <w:rsid w:val="00A618F9"/>
    <w:rsid w:val="00A71D03"/>
    <w:rsid w:val="00A7430C"/>
    <w:rsid w:val="00A7534D"/>
    <w:rsid w:val="00AA4294"/>
    <w:rsid w:val="00AB34C5"/>
    <w:rsid w:val="00AC4EB1"/>
    <w:rsid w:val="00AC532E"/>
    <w:rsid w:val="00AC7448"/>
    <w:rsid w:val="00AD4086"/>
    <w:rsid w:val="00AE4FB9"/>
    <w:rsid w:val="00AF5ED5"/>
    <w:rsid w:val="00AF623A"/>
    <w:rsid w:val="00B03EFF"/>
    <w:rsid w:val="00B0553E"/>
    <w:rsid w:val="00B11FC2"/>
    <w:rsid w:val="00B249C9"/>
    <w:rsid w:val="00B25D11"/>
    <w:rsid w:val="00B3034B"/>
    <w:rsid w:val="00B329CF"/>
    <w:rsid w:val="00B4572E"/>
    <w:rsid w:val="00B47C4F"/>
    <w:rsid w:val="00B5153F"/>
    <w:rsid w:val="00B5159F"/>
    <w:rsid w:val="00B523CC"/>
    <w:rsid w:val="00B53B02"/>
    <w:rsid w:val="00B57E80"/>
    <w:rsid w:val="00B621A6"/>
    <w:rsid w:val="00B71E3A"/>
    <w:rsid w:val="00B803C4"/>
    <w:rsid w:val="00B81520"/>
    <w:rsid w:val="00B81A52"/>
    <w:rsid w:val="00B81D9E"/>
    <w:rsid w:val="00B83DC0"/>
    <w:rsid w:val="00B85B6D"/>
    <w:rsid w:val="00BA06EB"/>
    <w:rsid w:val="00BA15E4"/>
    <w:rsid w:val="00BA1FD2"/>
    <w:rsid w:val="00BB11B3"/>
    <w:rsid w:val="00BC2F62"/>
    <w:rsid w:val="00BC31E0"/>
    <w:rsid w:val="00BC75CA"/>
    <w:rsid w:val="00BD3DF2"/>
    <w:rsid w:val="00BE433F"/>
    <w:rsid w:val="00BE4C85"/>
    <w:rsid w:val="00BE7653"/>
    <w:rsid w:val="00C050E6"/>
    <w:rsid w:val="00C05853"/>
    <w:rsid w:val="00C07295"/>
    <w:rsid w:val="00C12717"/>
    <w:rsid w:val="00C23B5D"/>
    <w:rsid w:val="00C249E8"/>
    <w:rsid w:val="00C31ED1"/>
    <w:rsid w:val="00C35A97"/>
    <w:rsid w:val="00C400D0"/>
    <w:rsid w:val="00C4506E"/>
    <w:rsid w:val="00C475DF"/>
    <w:rsid w:val="00C63ADD"/>
    <w:rsid w:val="00C7149F"/>
    <w:rsid w:val="00C94422"/>
    <w:rsid w:val="00C958E2"/>
    <w:rsid w:val="00CB1532"/>
    <w:rsid w:val="00CB5385"/>
    <w:rsid w:val="00CC0689"/>
    <w:rsid w:val="00CC7E46"/>
    <w:rsid w:val="00CD2239"/>
    <w:rsid w:val="00CD310F"/>
    <w:rsid w:val="00CE1588"/>
    <w:rsid w:val="00CE6C33"/>
    <w:rsid w:val="00D3241E"/>
    <w:rsid w:val="00D34407"/>
    <w:rsid w:val="00D4253C"/>
    <w:rsid w:val="00D441B9"/>
    <w:rsid w:val="00D75783"/>
    <w:rsid w:val="00D816C8"/>
    <w:rsid w:val="00D934D6"/>
    <w:rsid w:val="00D93FD9"/>
    <w:rsid w:val="00DA5ACE"/>
    <w:rsid w:val="00DB194B"/>
    <w:rsid w:val="00DB5E65"/>
    <w:rsid w:val="00DB79BF"/>
    <w:rsid w:val="00DC624E"/>
    <w:rsid w:val="00DD12C8"/>
    <w:rsid w:val="00DF1D4C"/>
    <w:rsid w:val="00DF36B0"/>
    <w:rsid w:val="00DF4A78"/>
    <w:rsid w:val="00E07381"/>
    <w:rsid w:val="00E16BD4"/>
    <w:rsid w:val="00E20CEC"/>
    <w:rsid w:val="00E2165D"/>
    <w:rsid w:val="00E2535C"/>
    <w:rsid w:val="00E509CB"/>
    <w:rsid w:val="00E63677"/>
    <w:rsid w:val="00E75F8F"/>
    <w:rsid w:val="00E80032"/>
    <w:rsid w:val="00E82193"/>
    <w:rsid w:val="00EA19E5"/>
    <w:rsid w:val="00EA3E26"/>
    <w:rsid w:val="00EA3EE5"/>
    <w:rsid w:val="00EB1CF4"/>
    <w:rsid w:val="00EC0792"/>
    <w:rsid w:val="00EC5036"/>
    <w:rsid w:val="00ED1756"/>
    <w:rsid w:val="00EE0C78"/>
    <w:rsid w:val="00EF1263"/>
    <w:rsid w:val="00EF2D87"/>
    <w:rsid w:val="00EF2E8F"/>
    <w:rsid w:val="00EF55AB"/>
    <w:rsid w:val="00EF6CC1"/>
    <w:rsid w:val="00F13F36"/>
    <w:rsid w:val="00F228F8"/>
    <w:rsid w:val="00F33B95"/>
    <w:rsid w:val="00F356F5"/>
    <w:rsid w:val="00F37A36"/>
    <w:rsid w:val="00F40AAC"/>
    <w:rsid w:val="00F41387"/>
    <w:rsid w:val="00F4452A"/>
    <w:rsid w:val="00F527FD"/>
    <w:rsid w:val="00F5577B"/>
    <w:rsid w:val="00F5793F"/>
    <w:rsid w:val="00F6141E"/>
    <w:rsid w:val="00F63368"/>
    <w:rsid w:val="00F679C1"/>
    <w:rsid w:val="00F72C13"/>
    <w:rsid w:val="00F864BE"/>
    <w:rsid w:val="00F9096A"/>
    <w:rsid w:val="00FA032B"/>
    <w:rsid w:val="00FB54A4"/>
    <w:rsid w:val="00FE396F"/>
    <w:rsid w:val="00FF0CFB"/>
    <w:rsid w:val="02B674E1"/>
    <w:rsid w:val="316D47ED"/>
    <w:rsid w:val="714241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chartTrackingRefBased/>
  <w15:docId w15:val="{B8BC3859-3F74-4DCA-94EE-03AA32A1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Normal"/>
    <w:next w:val="Normal"/>
    <w:link w:val="Heading1Char"/>
    <w:uiPriority w:val="9"/>
    <w:qFormat/>
    <w:rsid w:val="000C4333"/>
    <w:pPr>
      <w:keepNext/>
      <w:numPr>
        <w:numId w:val="1"/>
      </w:numPr>
      <w:suppressAutoHyphens/>
      <w:spacing w:after="115" w:line="240" w:lineRule="auto"/>
      <w:ind w:left="1080"/>
      <w:outlineLvl w:val="0"/>
    </w:pPr>
    <w:rPr>
      <w:rFonts w:ascii="Times New Roman" w:eastAsia="Times New Roman" w:hAnsi="Times New Roman"/>
      <w:b/>
      <w:smallCaps/>
      <w:szCs w:val="20"/>
      <w:lang w:eastAsia="zh-CN"/>
    </w:rPr>
  </w:style>
  <w:style w:type="paragraph" w:styleId="Heading2">
    <w:name w:val="heading 2"/>
    <w:basedOn w:val="Normal"/>
    <w:next w:val="Normal"/>
    <w:link w:val="Heading2Char"/>
    <w:uiPriority w:val="9"/>
    <w:unhideWhenUsed/>
    <w:qFormat/>
    <w:rsid w:val="000C4333"/>
    <w:pPr>
      <w:keepNext/>
      <w:spacing w:after="0"/>
      <w:outlineLvl w:val="1"/>
    </w:pPr>
    <w:rPr>
      <w:rFonts w:ascii="Times New Roman" w:eastAsia="Times New Roman" w:hAnsi="Times New Roman"/>
      <w:b/>
      <w:bCs/>
      <w:iCs/>
      <w:szCs w:val="28"/>
    </w:rPr>
  </w:style>
  <w:style w:type="paragraph" w:styleId="Heading5">
    <w:name w:val="heading 5"/>
    <w:basedOn w:val="Normal"/>
    <w:next w:val="Normal"/>
    <w:link w:val="Heading5Char"/>
    <w:uiPriority w:val="9"/>
    <w:semiHidden/>
    <w:unhideWhenUsed/>
    <w:qFormat/>
    <w:rsid w:val="0067472B"/>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4333"/>
    <w:rPr>
      <w:rFonts w:ascii="Times New Roman" w:eastAsia="Times New Roman" w:hAnsi="Times New Roman"/>
      <w:b/>
      <w:smallCaps/>
      <w:sz w:val="22"/>
      <w:lang w:val="id-ID"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qFormat/>
    <w:rPr>
      <w:b/>
      <w:bCs/>
      <w:sz w:val="20"/>
      <w:szCs w:val="20"/>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link w:val="FootnoteText"/>
    <w:uiPriority w:val="99"/>
    <w:semiHidden/>
    <w:qFormat/>
    <w:rPr>
      <w:sz w:val="20"/>
      <w:szCs w:val="20"/>
    </w:rPr>
  </w:style>
  <w:style w:type="paragraph" w:styleId="Header">
    <w:name w:val="header"/>
    <w:basedOn w:val="Normal"/>
    <w:link w:val="HeaderChar"/>
    <w:unhideWhenUsed/>
    <w:qFormat/>
    <w:pPr>
      <w:tabs>
        <w:tab w:val="center" w:pos="4513"/>
        <w:tab w:val="right" w:pos="9026"/>
      </w:tabs>
      <w:spacing w:after="0" w:line="240" w:lineRule="auto"/>
    </w:pPr>
  </w:style>
  <w:style w:type="character" w:customStyle="1" w:styleId="HeaderChar">
    <w:name w:val="Header Char"/>
    <w:link w:val="Header"/>
  </w:style>
  <w:style w:type="paragraph" w:styleId="HTMLPreformatted">
    <w:name w:val="HTML Preformatted"/>
    <w:basedOn w:val="Normal"/>
    <w:link w:val="HTMLPreformattedChar"/>
    <w:uiPriority w:val="99"/>
    <w:unhideWhenUse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Pr>
      <w:rFonts w:ascii="Consolas" w:hAnsi="Consolas"/>
      <w:sz w:val="20"/>
      <w:szCs w:val="20"/>
    </w:rPr>
  </w:style>
  <w:style w:type="character" w:styleId="Hyperlink">
    <w:name w:val="Hyperlink"/>
    <w:uiPriority w:val="99"/>
    <w:unhideWhenUsed/>
    <w:rPr>
      <w:color w:val="0000FF"/>
      <w:u w:val="single"/>
    </w:rPr>
  </w:style>
  <w:style w:type="table" w:styleId="TableGrid">
    <w:name w:val="Table Grid"/>
    <w:basedOn w:val="TableNormal"/>
    <w:rPr>
      <w:rFonts w:ascii="Times New Roman" w:eastAsia="Times New Roman" w:hAnsi="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shorttext">
    <w:name w:val="short_text"/>
  </w:style>
  <w:style w:type="table" w:customStyle="1" w:styleId="PlainTable21">
    <w:name w:val="Plain Table 21"/>
    <w:basedOn w:val="TableNormal"/>
    <w:uiPriority w:val="42"/>
    <w:tblPr>
      <w:tblInd w:w="0" w:type="dxa"/>
      <w:tblBorders>
        <w:top w:val="single" w:sz="4" w:space="0" w:color="7E7E7E"/>
        <w:bottom w:val="single" w:sz="4" w:space="0" w:color="7E7E7E"/>
      </w:tblBorders>
      <w:tblCellMar>
        <w:top w:w="0" w:type="dxa"/>
        <w:left w:w="108" w:type="dxa"/>
        <w:bottom w:w="0" w:type="dxa"/>
        <w:right w:w="108" w:type="dxa"/>
      </w:tblCellMar>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character" w:customStyle="1" w:styleId="Mention1">
    <w:name w:val="Mention1"/>
    <w:uiPriority w:val="99"/>
    <w:unhideWhenUsed/>
    <w:qFormat/>
    <w:rPr>
      <w:color w:val="2B579A"/>
      <w:shd w:val="clear" w:color="auto" w:fill="E6E6E6"/>
    </w:rPr>
  </w:style>
  <w:style w:type="character" w:styleId="PlaceholderText">
    <w:name w:val="Placeholder Text"/>
    <w:uiPriority w:val="99"/>
    <w:semiHidden/>
    <w:rPr>
      <w:color w:val="808080"/>
    </w:rPr>
  </w:style>
  <w:style w:type="paragraph" w:customStyle="1" w:styleId="JSKReferenceItem">
    <w:name w:val="JSK Reference Item"/>
    <w:basedOn w:val="Normal"/>
    <w:pPr>
      <w:numPr>
        <w:numId w:val="2"/>
      </w:numPr>
      <w:tabs>
        <w:tab w:val="left" w:pos="432"/>
      </w:tabs>
      <w:suppressAutoHyphens/>
      <w:snapToGrid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uiPriority w:val="37"/>
    <w:unhideWhenUsed/>
    <w:pPr>
      <w:spacing w:after="160" w:line="256" w:lineRule="auto"/>
    </w:pPr>
    <w:rPr>
      <w:lang w:val="en-US"/>
    </w:rPr>
  </w:style>
  <w:style w:type="table" w:styleId="GridTable1Light">
    <w:name w:val="Grid Table 1 Light"/>
    <w:basedOn w:val="TableNormal"/>
    <w:uiPriority w:val="46"/>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ListTable6Colorful">
    <w:name w:val="List Table 6 Colorful"/>
    <w:basedOn w:val="TableNormal"/>
    <w:uiPriority w:val="51"/>
    <w:rPr>
      <w:color w:val="000000"/>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top w:val="nil"/>
          <w:left w:val="single" w:sz="4" w:space="0" w:color="000000"/>
          <w:bottom w:val="nil"/>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Spacing">
    <w:name w:val="No Spacing"/>
    <w:uiPriority w:val="1"/>
    <w:qFormat/>
    <w:rPr>
      <w:sz w:val="22"/>
      <w:szCs w:val="22"/>
      <w:lang w:val="id-ID" w:eastAsia="en-US"/>
    </w:rPr>
  </w:style>
  <w:style w:type="character" w:customStyle="1" w:styleId="Heading2Char">
    <w:name w:val="Heading 2 Char"/>
    <w:link w:val="Heading2"/>
    <w:uiPriority w:val="9"/>
    <w:rsid w:val="000C4333"/>
    <w:rPr>
      <w:rFonts w:ascii="Times New Roman" w:eastAsia="Times New Roman" w:hAnsi="Times New Roman" w:cs="Times New Roman"/>
      <w:b/>
      <w:bCs/>
      <w:iCs/>
      <w:sz w:val="22"/>
      <w:szCs w:val="28"/>
      <w:lang w:val="id-ID" w:eastAsia="en-US"/>
    </w:rPr>
  </w:style>
  <w:style w:type="paragraph" w:customStyle="1" w:styleId="figurecaption">
    <w:name w:val="figure caption"/>
    <w:rsid w:val="0067472B"/>
    <w:pPr>
      <w:numPr>
        <w:numId w:val="5"/>
      </w:numPr>
      <w:tabs>
        <w:tab w:val="left" w:pos="533"/>
      </w:tabs>
      <w:spacing w:before="80" w:after="200"/>
      <w:ind w:left="0" w:firstLine="0"/>
      <w:jc w:val="both"/>
    </w:pPr>
    <w:rPr>
      <w:rFonts w:ascii="Times New Roman" w:hAnsi="Times New Roman"/>
      <w:noProof/>
      <w:sz w:val="16"/>
      <w:szCs w:val="16"/>
      <w:lang w:val="en-US" w:eastAsia="en-US"/>
    </w:rPr>
  </w:style>
  <w:style w:type="table" w:customStyle="1" w:styleId="KisiTabel1">
    <w:name w:val="Kisi Tabel1"/>
    <w:basedOn w:val="TableNormal"/>
    <w:next w:val="TableGrid"/>
    <w:uiPriority w:val="39"/>
    <w:rsid w:val="0067472B"/>
    <w:rPr>
      <w:rFonts w:eastAsia="Calibri"/>
      <w:kern w:val="2"/>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isiTabel2">
    <w:name w:val="Kisi Tabel2"/>
    <w:basedOn w:val="TableNormal"/>
    <w:next w:val="TableGrid"/>
    <w:uiPriority w:val="39"/>
    <w:rsid w:val="0067472B"/>
    <w:rPr>
      <w:rFonts w:eastAsia="Calibri"/>
      <w:kern w:val="2"/>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67472B"/>
    <w:rPr>
      <w:rFonts w:asciiTheme="minorHAnsi" w:eastAsiaTheme="minorEastAsia" w:hAnsiTheme="minorHAnsi" w:cstheme="minorBidi"/>
      <w:b/>
      <w:bCs/>
      <w:i/>
      <w:iCs/>
      <w:sz w:val="26"/>
      <w:szCs w:val="26"/>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manda.annas@poltekpel-sby.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108A1B5-BDC7-4EC0-BFD3-E6B9F487C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7580</Words>
  <Characters>43210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50689</CharactersWithSpaces>
  <SharedDoc>false</SharedDoc>
  <HLinks>
    <vt:vector size="6" baseType="variant">
      <vt:variant>
        <vt:i4>2031675</vt:i4>
      </vt:variant>
      <vt:variant>
        <vt:i4>0</vt:i4>
      </vt:variant>
      <vt:variant>
        <vt:i4>0</vt:i4>
      </vt:variant>
      <vt:variant>
        <vt:i4>5</vt:i4>
      </vt:variant>
      <vt:variant>
        <vt:lpwstr>mailto:xxxxxx@gmail.com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cp:lastModifiedBy>Microsoft account</cp:lastModifiedBy>
  <cp:revision>11</cp:revision>
  <cp:lastPrinted>2024-06-10T07:48:00Z</cp:lastPrinted>
  <dcterms:created xsi:type="dcterms:W3CDTF">2024-12-20T09:19:00Z</dcterms:created>
  <dcterms:modified xsi:type="dcterms:W3CDTF">2024-12-20T13:11:00Z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http://www.zotero.org/styles/e3s-web-of-conferences</vt:lpwstr>
  </property>
  <property fmtid="{D5CDD505-2E9C-101B-9397-08002B2CF9AE}" pid="18" name="Mendeley Recent Style Name 6_1">
    <vt:lpwstr>E3S Web of Conferences</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http://www.zotero.org/styles/taylor-and-francis-aip</vt:lpwstr>
  </property>
  <property fmtid="{D5CDD505-2E9C-101B-9397-08002B2CF9AE}" pid="22" name="Mendeley Recent Style Name 8_1">
    <vt:lpwstr>Taylor &amp; Francis - American Institute of Physics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1033-12.2.0.16909</vt:lpwstr>
  </property>
  <property fmtid="{D5CDD505-2E9C-101B-9397-08002B2CF9AE}" pid="26" name="ICV">
    <vt:lpwstr>FE3DFFE95B7849FF85A402C19E429C84_13</vt:lpwstr>
  </property>
</Properties>
</file>