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C0730A" w:rsidRPr="00C0730A" w:rsidRDefault="00C0730A" w:rsidP="00C0730A">
            <w:pPr>
              <w:jc w:val="center"/>
              <w:rPr>
                <w:rFonts w:ascii="Times New Roman" w:eastAsia="Calibri" w:hAnsi="Times New Roman" w:cs="Times New Roman"/>
                <w:sz w:val="28"/>
                <w:szCs w:val="32"/>
                <w:lang w:val="en-ID"/>
              </w:rPr>
            </w:pPr>
            <w:r w:rsidRPr="00C0730A">
              <w:rPr>
                <w:rFonts w:ascii="Times New Roman" w:eastAsia="Calibri" w:hAnsi="Times New Roman" w:cs="Times New Roman"/>
                <w:sz w:val="28"/>
                <w:szCs w:val="32"/>
                <w:lang w:val="en-ID"/>
              </w:rPr>
              <w:t>Integration of STEM Education in Maritime Training: A Comparative Analysis</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324206" w:rsidRDefault="00FD75CA" w:rsidP="00373B88">
            <w:pPr>
              <w:autoSpaceDE w:val="0"/>
              <w:autoSpaceDN w:val="0"/>
              <w:adjustRightInd w:val="0"/>
              <w:jc w:val="center"/>
              <w:rPr>
                <w:rStyle w:val="Hyperlink"/>
                <w:rFonts w:ascii="TimesNewRomanPS-ItalicMT" w:hAnsi="TimesNewRomanPS-ItalicMT" w:cs="TimesNewRomanPS-ItalicMT"/>
                <w:b w:val="0"/>
                <w:i/>
                <w:iCs/>
                <w:szCs w:val="20"/>
              </w:rPr>
            </w:pPr>
            <w:bookmarkStart w:id="1" w:name="_GoBack"/>
            <w:bookmarkEnd w:id="1"/>
            <w:r w:rsidRPr="00324206">
              <w:rPr>
                <w:rFonts w:ascii="TimesNewRomanPS-ItalicMT" w:hAnsi="TimesNewRomanPS-ItalicMT" w:cs="TimesNewRomanPS-ItalicMT"/>
                <w:b w:val="0"/>
                <w:i/>
                <w:iCs/>
                <w:szCs w:val="20"/>
              </w:rPr>
              <w:t>Panderaja Soritua Sijabat</w:t>
            </w:r>
            <w:r w:rsidR="00373B88" w:rsidRPr="00324206">
              <w:rPr>
                <w:rFonts w:ascii="TimesNewRomanPS-ItalicMT" w:hAnsi="TimesNewRomanPS-ItalicMT" w:cs="TimesNewRomanPS-ItalicMT"/>
                <w:b w:val="0"/>
                <w:i/>
                <w:iCs/>
                <w:szCs w:val="20"/>
                <w:vertAlign w:val="superscript"/>
              </w:rPr>
              <w:t>1)</w:t>
            </w:r>
            <w:r w:rsidR="00373B88" w:rsidRPr="00324206">
              <w:rPr>
                <w:rFonts w:ascii="TimesNewRomanPS-ItalicMT" w:hAnsi="TimesNewRomanPS-ItalicMT" w:cs="TimesNewRomanPS-ItalicMT"/>
                <w:b w:val="0"/>
                <w:i/>
                <w:iCs/>
                <w:szCs w:val="20"/>
              </w:rPr>
              <w:t xml:space="preserve">  </w:t>
            </w:r>
            <w:hyperlink r:id="rId10" w:history="1">
              <w:r w:rsidR="004E4C6F" w:rsidRPr="00324206">
                <w:rPr>
                  <w:rStyle w:val="Hyperlink"/>
                  <w:rFonts w:ascii="TimesNewRomanPS-ItalicMT" w:hAnsi="TimesNewRomanPS-ItalicMT" w:cs="TimesNewRomanPS-ItalicMT"/>
                  <w:b w:val="0"/>
                  <w:i/>
                  <w:iCs/>
                  <w:szCs w:val="20"/>
                </w:rPr>
                <w:t>pande.sijabat@gmail.com</w:t>
              </w:r>
            </w:hyperlink>
          </w:p>
          <w:p w:rsidR="004E4C6F" w:rsidRPr="00324206" w:rsidRDefault="004E4C6F" w:rsidP="004E4C6F">
            <w:pPr>
              <w:autoSpaceDE w:val="0"/>
              <w:autoSpaceDN w:val="0"/>
              <w:adjustRightInd w:val="0"/>
              <w:jc w:val="center"/>
              <w:rPr>
                <w:rFonts w:ascii="Times New Roman" w:eastAsia="Calibri" w:hAnsi="Times New Roman" w:cs="Times New Roman"/>
                <w:b w:val="0"/>
                <w:i/>
                <w:iCs/>
                <w:szCs w:val="20"/>
              </w:rPr>
            </w:pPr>
            <w:r w:rsidRPr="00324206">
              <w:rPr>
                <w:rFonts w:ascii="Times New Roman" w:eastAsia="Calibri" w:hAnsi="Times New Roman" w:cs="Times New Roman"/>
                <w:b w:val="0"/>
                <w:i/>
                <w:iCs/>
                <w:szCs w:val="20"/>
              </w:rPr>
              <w:t>Rosna Yuherlina Siahaan</w:t>
            </w:r>
            <w:r w:rsidRPr="00324206">
              <w:rPr>
                <w:rFonts w:ascii="Times New Roman" w:eastAsia="Calibri" w:hAnsi="Times New Roman" w:cs="Times New Roman"/>
                <w:b w:val="0"/>
                <w:i/>
                <w:iCs/>
                <w:szCs w:val="20"/>
                <w:vertAlign w:val="superscript"/>
              </w:rPr>
              <w:t>2)</w:t>
            </w:r>
            <w:r w:rsidRPr="00324206">
              <w:rPr>
                <w:rFonts w:ascii="Times New Roman" w:eastAsia="Calibri" w:hAnsi="Times New Roman" w:cs="Times New Roman"/>
                <w:b w:val="0"/>
                <w:i/>
                <w:iCs/>
                <w:szCs w:val="20"/>
              </w:rPr>
              <w:t xml:space="preserve">  </w:t>
            </w:r>
            <w:r w:rsidRPr="00324206">
              <w:rPr>
                <w:rFonts w:ascii="Times New Roman" w:eastAsia="Calibri" w:hAnsi="Times New Roman" w:cs="Times New Roman"/>
                <w:b w:val="0"/>
                <w:i/>
                <w:iCs/>
                <w:color w:val="0000FF" w:themeColor="hyperlink"/>
                <w:szCs w:val="20"/>
                <w:u w:val="single"/>
              </w:rPr>
              <w:t>rosnalina@gmail.com</w:t>
            </w:r>
          </w:p>
          <w:p w:rsidR="0029725F" w:rsidRPr="00324206" w:rsidRDefault="0029725F" w:rsidP="0029725F">
            <w:pPr>
              <w:autoSpaceDE w:val="0"/>
              <w:autoSpaceDN w:val="0"/>
              <w:adjustRightInd w:val="0"/>
              <w:jc w:val="center"/>
              <w:rPr>
                <w:rFonts w:ascii="Times New Roman" w:eastAsia="Calibri" w:hAnsi="Times New Roman" w:cs="Times New Roman"/>
                <w:b w:val="0"/>
                <w:i/>
                <w:iCs/>
                <w:color w:val="0000FF" w:themeColor="hyperlink"/>
                <w:szCs w:val="20"/>
                <w:u w:val="single"/>
              </w:rPr>
            </w:pPr>
            <w:r w:rsidRPr="00324206">
              <w:rPr>
                <w:rFonts w:ascii="Times New Roman" w:eastAsia="Calibri" w:hAnsi="Times New Roman" w:cs="Times New Roman"/>
                <w:b w:val="0"/>
                <w:i/>
                <w:iCs/>
                <w:szCs w:val="20"/>
              </w:rPr>
              <w:t>Marudut Bernadtua Simanjuntak</w:t>
            </w:r>
            <w:r w:rsidRPr="00324206">
              <w:rPr>
                <w:rFonts w:ascii="Times New Roman" w:eastAsia="Calibri" w:hAnsi="Times New Roman" w:cs="Times New Roman"/>
                <w:b w:val="0"/>
                <w:i/>
                <w:iCs/>
                <w:szCs w:val="20"/>
                <w:vertAlign w:val="superscript"/>
              </w:rPr>
              <w:t>3)</w:t>
            </w:r>
            <w:r w:rsidRPr="00324206">
              <w:rPr>
                <w:rFonts w:ascii="Times New Roman" w:eastAsia="Calibri" w:hAnsi="Times New Roman" w:cs="Times New Roman"/>
                <w:b w:val="0"/>
                <w:i/>
                <w:iCs/>
                <w:szCs w:val="20"/>
              </w:rPr>
              <w:t xml:space="preserve">  </w:t>
            </w:r>
            <w:hyperlink r:id="rId11" w:history="1">
              <w:r w:rsidRPr="00324206">
                <w:rPr>
                  <w:rFonts w:ascii="Times New Roman" w:eastAsia="Calibri" w:hAnsi="Times New Roman" w:cs="Times New Roman"/>
                  <w:b w:val="0"/>
                  <w:i/>
                  <w:iCs/>
                  <w:color w:val="0000FF" w:themeColor="hyperlink"/>
                  <w:szCs w:val="20"/>
                  <w:u w:val="single"/>
                </w:rPr>
                <w:t>bernadmarudut@gmail.com</w:t>
              </w:r>
            </w:hyperlink>
          </w:p>
          <w:p w:rsidR="004E4C6F" w:rsidRPr="00324206" w:rsidRDefault="004E4C6F" w:rsidP="004E4C6F">
            <w:pPr>
              <w:autoSpaceDE w:val="0"/>
              <w:autoSpaceDN w:val="0"/>
              <w:adjustRightInd w:val="0"/>
              <w:jc w:val="center"/>
              <w:rPr>
                <w:rFonts w:ascii="Times New Roman" w:eastAsia="Calibri" w:hAnsi="Times New Roman" w:cs="Times New Roman"/>
                <w:b w:val="0"/>
                <w:i/>
                <w:iCs/>
                <w:szCs w:val="20"/>
              </w:rPr>
            </w:pPr>
            <w:r w:rsidRPr="00324206">
              <w:rPr>
                <w:rFonts w:ascii="Times New Roman" w:eastAsia="Calibri" w:hAnsi="Times New Roman" w:cs="Times New Roman"/>
                <w:b w:val="0"/>
                <w:i/>
                <w:iCs/>
                <w:szCs w:val="20"/>
              </w:rPr>
              <w:t>Nyaris Pambudiyatno</w:t>
            </w:r>
            <w:r w:rsidRPr="00324206">
              <w:rPr>
                <w:rFonts w:ascii="Times New Roman" w:eastAsia="Calibri" w:hAnsi="Times New Roman" w:cs="Times New Roman"/>
                <w:b w:val="0"/>
                <w:i/>
                <w:iCs/>
                <w:szCs w:val="20"/>
                <w:vertAlign w:val="superscript"/>
              </w:rPr>
              <w:t xml:space="preserve">4)   </w:t>
            </w:r>
            <w:hyperlink r:id="rId12" w:history="1">
              <w:r w:rsidRPr="00324206">
                <w:rPr>
                  <w:rFonts w:ascii="Times New Roman" w:eastAsia="Calibri" w:hAnsi="Times New Roman" w:cs="Times New Roman"/>
                  <w:b w:val="0"/>
                  <w:i/>
                  <w:iCs/>
                  <w:color w:val="0000FF" w:themeColor="hyperlink"/>
                  <w:szCs w:val="20"/>
                  <w:u w:val="single"/>
                </w:rPr>
                <w:t>n.pambudi@gmail.com</w:t>
              </w:r>
            </w:hyperlink>
            <w:r w:rsidRPr="00324206">
              <w:rPr>
                <w:rFonts w:ascii="Times New Roman" w:eastAsia="Calibri" w:hAnsi="Times New Roman" w:cs="Times New Roman"/>
                <w:b w:val="0"/>
                <w:i/>
                <w:iCs/>
                <w:szCs w:val="20"/>
              </w:rPr>
              <w:t xml:space="preserve">  </w:t>
            </w:r>
          </w:p>
          <w:p w:rsidR="004E4C6F" w:rsidRPr="00324206" w:rsidRDefault="004E4C6F" w:rsidP="004E4C6F">
            <w:pPr>
              <w:autoSpaceDE w:val="0"/>
              <w:autoSpaceDN w:val="0"/>
              <w:adjustRightInd w:val="0"/>
              <w:jc w:val="center"/>
              <w:rPr>
                <w:rFonts w:ascii="Times New Roman" w:eastAsia="Calibri" w:hAnsi="Times New Roman" w:cs="Times New Roman"/>
                <w:b w:val="0"/>
                <w:i/>
                <w:iCs/>
                <w:szCs w:val="20"/>
              </w:rPr>
            </w:pPr>
            <w:proofErr w:type="spellStart"/>
            <w:r w:rsidRPr="00324206">
              <w:rPr>
                <w:rFonts w:ascii="Times New Roman" w:eastAsia="Calibri" w:hAnsi="Times New Roman" w:cs="Times New Roman"/>
                <w:b w:val="0"/>
                <w:i/>
                <w:iCs/>
                <w:szCs w:val="20"/>
                <w:lang w:val="en-US"/>
              </w:rPr>
              <w:t>Sutrisno</w:t>
            </w:r>
            <w:proofErr w:type="spellEnd"/>
            <w:r w:rsidRPr="00324206">
              <w:rPr>
                <w:rFonts w:ascii="Times New Roman" w:eastAsia="Calibri" w:hAnsi="Times New Roman" w:cs="Times New Roman"/>
                <w:b w:val="0"/>
                <w:i/>
                <w:iCs/>
                <w:szCs w:val="20"/>
                <w:lang w:val="en-US"/>
              </w:rPr>
              <w:t xml:space="preserve"> </w:t>
            </w:r>
            <w:proofErr w:type="spellStart"/>
            <w:r w:rsidRPr="00324206">
              <w:rPr>
                <w:rFonts w:ascii="Times New Roman" w:eastAsia="Calibri" w:hAnsi="Times New Roman" w:cs="Times New Roman"/>
                <w:b w:val="0"/>
                <w:i/>
                <w:iCs/>
                <w:szCs w:val="20"/>
                <w:lang w:val="en-US"/>
              </w:rPr>
              <w:t>Sutrisno</w:t>
            </w:r>
            <w:proofErr w:type="spellEnd"/>
            <w:r w:rsidRPr="00324206">
              <w:rPr>
                <w:rFonts w:ascii="Times New Roman" w:eastAsia="Calibri" w:hAnsi="Times New Roman" w:cs="Times New Roman"/>
                <w:b w:val="0"/>
                <w:i/>
                <w:iCs/>
                <w:szCs w:val="20"/>
                <w:vertAlign w:val="superscript"/>
              </w:rPr>
              <w:t>5)</w:t>
            </w:r>
            <w:r w:rsidRPr="00324206">
              <w:rPr>
                <w:rFonts w:ascii="Times New Roman" w:eastAsia="Calibri" w:hAnsi="Times New Roman" w:cs="Times New Roman"/>
                <w:b w:val="0"/>
                <w:i/>
                <w:iCs/>
                <w:szCs w:val="20"/>
                <w:lang w:val="en-US"/>
              </w:rPr>
              <w:t xml:space="preserve"> </w:t>
            </w:r>
            <w:hyperlink r:id="rId13" w:history="1">
              <w:r w:rsidRPr="00324206">
                <w:rPr>
                  <w:rFonts w:ascii="Times New Roman" w:eastAsia="Calibri" w:hAnsi="Times New Roman" w:cs="Times New Roman"/>
                  <w:b w:val="0"/>
                  <w:i/>
                  <w:iCs/>
                  <w:color w:val="0000FF"/>
                  <w:szCs w:val="20"/>
                  <w:u w:val="single"/>
                </w:rPr>
                <w:t>christdeon@gmail.com</w:t>
              </w:r>
            </w:hyperlink>
            <w:r w:rsidRPr="00324206">
              <w:rPr>
                <w:rFonts w:ascii="Times New Roman" w:eastAsia="Calibri" w:hAnsi="Times New Roman" w:cs="Times New Roman"/>
                <w:b w:val="0"/>
                <w:i/>
                <w:iCs/>
                <w:szCs w:val="20"/>
              </w:rPr>
              <w:t xml:space="preserve"> </w:t>
            </w:r>
          </w:p>
          <w:p w:rsidR="009E2290" w:rsidRPr="00324206" w:rsidRDefault="009E2290" w:rsidP="003C5E0E">
            <w:pPr>
              <w:autoSpaceDE w:val="0"/>
              <w:autoSpaceDN w:val="0"/>
              <w:adjustRightInd w:val="0"/>
              <w:jc w:val="center"/>
              <w:rPr>
                <w:rFonts w:ascii="TimesNewRomanPS-ItalicMT" w:hAnsi="TimesNewRomanPS-ItalicMT" w:cs="TimesNewRomanPS-ItalicMT"/>
                <w:b w:val="0"/>
                <w:i/>
                <w:iCs/>
                <w:szCs w:val="20"/>
                <w:lang w:val="en-US"/>
              </w:rPr>
            </w:pPr>
          </w:p>
          <w:p w:rsidR="009E2290" w:rsidRPr="00324206" w:rsidRDefault="004E4C6F" w:rsidP="003C5E0E">
            <w:pPr>
              <w:autoSpaceDE w:val="0"/>
              <w:autoSpaceDN w:val="0"/>
              <w:adjustRightInd w:val="0"/>
              <w:jc w:val="center"/>
              <w:rPr>
                <w:rFonts w:ascii="TimesNewRomanPS-ItalicMT" w:hAnsi="TimesNewRomanPS-ItalicMT" w:cs="TimesNewRomanPS-ItalicMT"/>
                <w:b w:val="0"/>
                <w:i/>
                <w:iCs/>
                <w:szCs w:val="20"/>
                <w:lang w:val="en-US"/>
              </w:rPr>
            </w:pPr>
            <w:r w:rsidRPr="00324206">
              <w:rPr>
                <w:rFonts w:ascii="TimesNewRomanPS-ItalicMT" w:hAnsi="TimesNewRomanPS-ItalicMT" w:cs="TimesNewRomanPS-ItalicMT"/>
                <w:b w:val="0"/>
                <w:i/>
                <w:iCs/>
                <w:szCs w:val="20"/>
                <w:vertAlign w:val="superscript"/>
              </w:rPr>
              <w:t>1,2,3</w:t>
            </w:r>
            <w:r w:rsidRPr="00324206">
              <w:rPr>
                <w:rFonts w:ascii="TimesNewRomanPS-ItalicMT" w:hAnsi="TimesNewRomanPS-ItalicMT" w:cs="TimesNewRomanPS-ItalicMT"/>
                <w:b w:val="0"/>
                <w:i/>
                <w:iCs/>
                <w:szCs w:val="20"/>
              </w:rPr>
              <w:t xml:space="preserve"> </w:t>
            </w:r>
            <w:r w:rsidR="00373B88" w:rsidRPr="00324206">
              <w:rPr>
                <w:rFonts w:ascii="TimesNewRomanPS-ItalicMT" w:hAnsi="TimesNewRomanPS-ItalicMT" w:cs="TimesNewRomanPS-ItalicMT"/>
                <w:b w:val="0"/>
                <w:i/>
                <w:iCs/>
                <w:szCs w:val="20"/>
                <w:lang w:val="en-US"/>
              </w:rPr>
              <w:t xml:space="preserve">Maritime Institute </w:t>
            </w:r>
            <w:r w:rsidR="00373B88" w:rsidRPr="00324206">
              <w:rPr>
                <w:rFonts w:ascii="TimesNewRomanPS-ItalicMT" w:hAnsi="TimesNewRomanPS-ItalicMT" w:cs="TimesNewRomanPS-ItalicMT"/>
                <w:b w:val="0"/>
                <w:i/>
                <w:iCs/>
                <w:szCs w:val="20"/>
              </w:rPr>
              <w:t xml:space="preserve">of </w:t>
            </w:r>
            <w:r w:rsidR="00373B88" w:rsidRPr="00324206">
              <w:rPr>
                <w:rFonts w:ascii="TimesNewRomanPS-ItalicMT" w:hAnsi="TimesNewRomanPS-ItalicMT" w:cs="TimesNewRomanPS-ItalicMT"/>
                <w:b w:val="0"/>
                <w:i/>
                <w:iCs/>
                <w:szCs w:val="20"/>
                <w:lang w:val="en-US"/>
              </w:rPr>
              <w:t>Jakarta (S</w:t>
            </w:r>
            <w:r w:rsidR="00373B88" w:rsidRPr="00324206">
              <w:rPr>
                <w:rFonts w:ascii="TimesNewRomanPS-ItalicMT" w:hAnsi="TimesNewRomanPS-ItalicMT" w:cs="TimesNewRomanPS-ItalicMT"/>
                <w:b w:val="0"/>
                <w:i/>
                <w:iCs/>
                <w:szCs w:val="20"/>
              </w:rPr>
              <w:t xml:space="preserve">ekolah </w:t>
            </w:r>
            <w:r w:rsidR="00373B88" w:rsidRPr="00324206">
              <w:rPr>
                <w:rFonts w:ascii="TimesNewRomanPS-ItalicMT" w:hAnsi="TimesNewRomanPS-ItalicMT" w:cs="TimesNewRomanPS-ItalicMT"/>
                <w:b w:val="0"/>
                <w:i/>
                <w:iCs/>
                <w:szCs w:val="20"/>
                <w:lang w:val="en-US"/>
              </w:rPr>
              <w:t>T</w:t>
            </w:r>
            <w:r w:rsidR="00373B88" w:rsidRPr="00324206">
              <w:rPr>
                <w:rFonts w:ascii="TimesNewRomanPS-ItalicMT" w:hAnsi="TimesNewRomanPS-ItalicMT" w:cs="TimesNewRomanPS-ItalicMT"/>
                <w:b w:val="0"/>
                <w:i/>
                <w:iCs/>
                <w:szCs w:val="20"/>
              </w:rPr>
              <w:t xml:space="preserve">inggi </w:t>
            </w:r>
            <w:r w:rsidR="00373B88" w:rsidRPr="00324206">
              <w:rPr>
                <w:rFonts w:ascii="TimesNewRomanPS-ItalicMT" w:hAnsi="TimesNewRomanPS-ItalicMT" w:cs="TimesNewRomanPS-ItalicMT"/>
                <w:b w:val="0"/>
                <w:i/>
                <w:iCs/>
                <w:szCs w:val="20"/>
                <w:lang w:val="en-US"/>
              </w:rPr>
              <w:t>I</w:t>
            </w:r>
            <w:r w:rsidR="00373B88" w:rsidRPr="00324206">
              <w:rPr>
                <w:rFonts w:ascii="TimesNewRomanPS-ItalicMT" w:hAnsi="TimesNewRomanPS-ItalicMT" w:cs="TimesNewRomanPS-ItalicMT"/>
                <w:b w:val="0"/>
                <w:i/>
                <w:iCs/>
                <w:szCs w:val="20"/>
              </w:rPr>
              <w:t xml:space="preserve">lmu </w:t>
            </w:r>
            <w:r w:rsidR="00373B88" w:rsidRPr="00324206">
              <w:rPr>
                <w:rFonts w:ascii="TimesNewRomanPS-ItalicMT" w:hAnsi="TimesNewRomanPS-ItalicMT" w:cs="TimesNewRomanPS-ItalicMT"/>
                <w:b w:val="0"/>
                <w:i/>
                <w:iCs/>
                <w:szCs w:val="20"/>
                <w:lang w:val="en-US"/>
              </w:rPr>
              <w:t>P</w:t>
            </w:r>
            <w:r w:rsidR="00373B88" w:rsidRPr="00324206">
              <w:rPr>
                <w:rFonts w:ascii="TimesNewRomanPS-ItalicMT" w:hAnsi="TimesNewRomanPS-ItalicMT" w:cs="TimesNewRomanPS-ItalicMT"/>
                <w:b w:val="0"/>
                <w:i/>
                <w:iCs/>
                <w:szCs w:val="20"/>
              </w:rPr>
              <w:t xml:space="preserve">elayaran - </w:t>
            </w:r>
            <w:r w:rsidR="00373B88" w:rsidRPr="00324206">
              <w:rPr>
                <w:rFonts w:ascii="TimesNewRomanPS-ItalicMT" w:hAnsi="TimesNewRomanPS-ItalicMT" w:cs="TimesNewRomanPS-ItalicMT"/>
                <w:b w:val="0"/>
                <w:i/>
                <w:iCs/>
                <w:szCs w:val="20"/>
                <w:lang w:val="en-US"/>
              </w:rPr>
              <w:t xml:space="preserve"> Jakarta)</w:t>
            </w:r>
          </w:p>
          <w:p w:rsidR="004E4C6F" w:rsidRPr="00324206" w:rsidRDefault="004E4C6F" w:rsidP="004E4C6F">
            <w:pPr>
              <w:autoSpaceDE w:val="0"/>
              <w:autoSpaceDN w:val="0"/>
              <w:adjustRightInd w:val="0"/>
              <w:jc w:val="center"/>
              <w:rPr>
                <w:rFonts w:ascii="Times New Roman" w:eastAsia="Calibri" w:hAnsi="Times New Roman" w:cs="Times New Roman"/>
                <w:b w:val="0"/>
                <w:i/>
                <w:iCs/>
                <w:szCs w:val="20"/>
                <w:lang w:val="en-US"/>
              </w:rPr>
            </w:pPr>
            <w:r w:rsidRPr="00324206">
              <w:rPr>
                <w:rFonts w:ascii="Times New Roman" w:eastAsia="Calibri" w:hAnsi="Times New Roman" w:cs="Times New Roman"/>
                <w:b w:val="0"/>
                <w:i/>
                <w:iCs/>
                <w:szCs w:val="20"/>
                <w:vertAlign w:val="superscript"/>
              </w:rPr>
              <w:t>4</w:t>
            </w:r>
            <w:r w:rsidRPr="00324206">
              <w:rPr>
                <w:rFonts w:ascii="Times New Roman" w:eastAsia="Calibri" w:hAnsi="Times New Roman" w:cs="Times New Roman"/>
                <w:b w:val="0"/>
                <w:i/>
                <w:iCs/>
                <w:szCs w:val="20"/>
                <w:lang w:val="en-US"/>
              </w:rPr>
              <w:t>Aviation Polytechnic of Surabaya</w:t>
            </w:r>
          </w:p>
          <w:p w:rsidR="004E4C6F" w:rsidRPr="00324206" w:rsidRDefault="004E4C6F" w:rsidP="004E4C6F">
            <w:pPr>
              <w:autoSpaceDE w:val="0"/>
              <w:autoSpaceDN w:val="0"/>
              <w:adjustRightInd w:val="0"/>
              <w:jc w:val="center"/>
              <w:rPr>
                <w:rFonts w:ascii="TimesNewRomanPS-ItalicMT" w:eastAsia="Calibri" w:hAnsi="TimesNewRomanPS-ItalicMT" w:cs="TimesNewRomanPS-ItalicMT"/>
                <w:b w:val="0"/>
                <w:i/>
                <w:iCs/>
                <w:szCs w:val="20"/>
                <w:lang w:val="en-US"/>
              </w:rPr>
            </w:pPr>
            <w:r w:rsidRPr="00324206">
              <w:rPr>
                <w:rFonts w:ascii="Times New Roman" w:eastAsia="Calibri" w:hAnsi="Times New Roman" w:cs="Times New Roman"/>
                <w:b w:val="0"/>
                <w:i/>
                <w:iCs/>
                <w:szCs w:val="20"/>
                <w:vertAlign w:val="superscript"/>
              </w:rPr>
              <w:t>5</w:t>
            </w:r>
            <w:r w:rsidRPr="00324206">
              <w:rPr>
                <w:rFonts w:ascii="Times New Roman" w:eastAsia="Calibri" w:hAnsi="Times New Roman" w:cs="Times New Roman"/>
                <w:b w:val="0"/>
                <w:i/>
                <w:iCs/>
                <w:szCs w:val="20"/>
              </w:rPr>
              <w:t>Moriah Theological Seminary (STT Moriah - Tangerang)</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C0730A" w:rsidP="008D0AEE">
      <w:pPr>
        <w:spacing w:after="0" w:line="240" w:lineRule="auto"/>
        <w:jc w:val="both"/>
        <w:rPr>
          <w:rFonts w:ascii="Times New Roman" w:eastAsia="Calibri" w:hAnsi="Times New Roman" w:cs="Times New Roman"/>
          <w:i/>
          <w:sz w:val="20"/>
          <w:szCs w:val="20"/>
        </w:rPr>
      </w:pPr>
      <w:r w:rsidRPr="00C0730A">
        <w:rPr>
          <w:rFonts w:ascii="Times New Roman" w:eastAsia="Calibri" w:hAnsi="Times New Roman" w:cs="Times New Roman"/>
          <w:i/>
          <w:sz w:val="20"/>
          <w:szCs w:val="20"/>
        </w:rPr>
        <w:t>This research delves into the integration of STEM Education in Nautical and Technical Majors among junior cadets in maritime institutes, marine schools, and vocational institutions. Through qualitative analysis, including participant interviews and document scrutiny, the study explores challenges, opportunities, and implications within the maritime education sector. Findings reveal a majority perception of alignment with international standards, emphasizing the importance of preparing students to meet industry requirements outlined by the International Maritime Organization's Standards of Training, Certification, and Watchkeeping (STCW) convention. Identified needs encompass practical training opportunities, technological integration, industry exposure, and soft skills development, highlighting the evolving nature of the maritime industry and the demands placed on future professionals. Moreover, the study underscores the significance of professionalism in maritime education, emphasizing the cultivation of a culture of excellence, integrity, and ethical behavior among students. The research contributes to ongoing discourse surrounding maritime education reform, curriculum development, and professionalization efforts, offering insights to enhance the quality, relevance, and effectiveness of maritime education programs.</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C0730A" w:rsidRDefault="00E26505" w:rsidP="00C0730A">
            <w:pPr>
              <w:autoSpaceDE w:val="0"/>
              <w:autoSpaceDN w:val="0"/>
              <w:adjustRightInd w:val="0"/>
              <w:ind w:left="-105"/>
              <w:jc w:val="both"/>
              <w:rPr>
                <w:rFonts w:ascii="Times New Roman" w:eastAsia="Calibri" w:hAnsi="Times New Roman" w:cs="Times New Roman"/>
                <w:b w:val="0"/>
                <w:i/>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C0730A" w:rsidRPr="00C0730A">
              <w:rPr>
                <w:rFonts w:ascii="Times New Roman" w:eastAsia="Calibri" w:hAnsi="Times New Roman" w:cs="Times New Roman"/>
                <w:b w:val="0"/>
                <w:i/>
                <w:sz w:val="20"/>
                <w:szCs w:val="20"/>
                <w:lang w:val="en-US"/>
              </w:rPr>
              <w:t>STEM Education, Maritime Training, Integration, Internati</w:t>
            </w:r>
            <w:r w:rsidR="00C0730A">
              <w:rPr>
                <w:rFonts w:ascii="Times New Roman" w:eastAsia="Calibri" w:hAnsi="Times New Roman" w:cs="Times New Roman"/>
                <w:b w:val="0"/>
                <w:i/>
                <w:sz w:val="20"/>
                <w:szCs w:val="20"/>
                <w:lang w:val="en-US"/>
              </w:rPr>
              <w:t>onal Standards, Professionalism</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4"/>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integration of Science, Technology, Engineering, and Mathematics (STEM) education has garnered significant attention in recent years, particularly within specialized fields such as Nautical and Technical majors. As we navigate through the complexities of the modern world, the demand for skilled professionals equipped with interdisciplinary knowledge and problem-solving skills has become increasingly pronounced</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{"citationItems":[{"id":"ITEM-1","itemData":{"DOI":"10.4018/978-1-7998-1534-1.ch010","ISBN":"2475-6814","abstract":"Advancing information and communication technologies (ICT) are reshaping our daily lives. Mobile communication devices, especially the introduction of smartphones, changed the way we communicate both professionally and socially. Mobile technologies are spreading our daily lives with the help of social media applications. Implementation of social networks to the education programs may encourage students to reach information, share their work, get feedback more easily, and produce content that will build up their portfolios and professional identities for their future career. However, in order to achieve such a goal, it is quite important to understand their behavioural patterns on social networks and mobile technology use. In this context, this research tries to explore architecture and interior architecture students' social network patterns under the social media literacy framework.","author":[{"dropping-particle":"","family":"Ilter","given":"A.Tolga","non-dropping-particle":"","parse-names":false,"suffix":""},{"dropping-particle":"","family":"Karacar","given":"Pelin","non-dropping-particle":"","parse-names":false,"suffix":""}],"container-title":"Advances in Media, Entertainment, and the Arts","id":"ITEM-1","issued":{"date-parts":[["2020"]]},"page":"180-196","publisher":"IGI Global","title":"Mobile Technology and Social Media Literacy","type":"article"},"uris":["http://www.mendeley.com/documents/?uuid=f3a41c50-193e-45c2-af72-5418d9ba8d1d"]}],"mendeley":{"formattedCitation":"(Ilter &amp; Karacar, 2020)","plainTextFormattedCitation":"(Ilter &amp; Karacar, 2020)","previouslyFormattedCitation":"(Ilter &amp; Karacar, 2020)"},"properties":{"noteIndex":0},"schema":"https://github.com/citation-style-language/schema/raw/master/csl-citation.json"}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(Ilter &amp; Karacar, 2020)</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In response to this paradigm shift, educational institutions, particularly those specializing in maritime education, marine engineering, and vocational training, are reassessing their pedagogical approaches to align with international standards and industry requirements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SN":"1363-6820","author":[{"dropping-particle":"","family":"Colley","given":"Helen","non-dropping-particle":"","parse-names":false,"suffix":""},{"dropping-particle":"","family":"James","given":"David","non-dropping-particle":"","parse-names":false,"suffix":""},{"dropping-particle":"","family":"Diment","given":"Kim","non-dropping-particle":"","parse-names":false,"suffix":""},{"dropping-particle":"","family":"Tedder","given":"Michael","non-dropping-particle":"","parse-names":false,"suffix":""}],"container-title":"Journal of vocational education and training","id":"ITEM-1","issue":"4","issued":{"date-parts":[["2003"]]},"page":"471-498","publisher":"Taylor &amp; Francis","title":"Learning as becoming in vocational education and training: class, gender and the role of vocational habitus","type":"article-journal","volume":"55"},"uris":["http://www.mendeley.com/documents/?uuid=32303318-1b71-4ce0-99a9-5de0e2b16b8c"]}],"mendeley":{"formattedCitation":"(Colley et al., 2003)","plainTextFormattedCitation":"(Colley et al., 2003)","previouslyFormattedCitation":"(Colley et al., 2003)"},"properties":{"noteIndex":0},"schema":"https://github.com/citation-style-language/schema/raw/master/csl-citation.json"}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(Colley et al., 2003)</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The maritime sector, characterized by its dynamic nature and technological advancements, necessitates a workforce capable of adapting to evolving challenges and embracing innovative solutions. Recognizing this imperative, educational stakeholders have embarked on initiatives to integrate STEM education into nautical and technical majors, thereby equipping students with the competencies essential for success in the maritime industry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{"citationItems":[{"id":"ITEM-1","itemData":{"ISBN":"1509015604","author":[{"dropping-particle":"","family":"Bankole","given":"Olugbenga A","non-dropping-particle":"","parse-names":false,"suffix":""},{"dropping-particle":"","family":"Lalitha","given":"V V Madhavi","non-dropping-particle":"","parse-names":false,"suffix":""},{"dropping-particle":"","family":"Khan","given":"Habib Ullah","non-dropping-particle":"","parse-names":false,"suffix":""},{"dropping-particle":"","family":"Jinugu","given":"Anjaneyulu","non-dropping-particle":"","parse-names":false,"suffix":""}],"container-title":"2017 IEEE 7th International Advance Computing Conference (IACC)","id":"ITEM-1","issued":{"date-parts":[["2017"]]},"page":"759-763","publisher":"IEEE","title":"Information technology in the maritime industry past, present and future: focus on lng carriers","type":"paper-conference"},"uris":["http://www.mendeley.com/documents/?uuid=be2b1b30-1218-43e8-86cd-147895bdb8e4"]},{"id":"ITEM-2","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Science","id":"ITEM-2","issued":{"date-parts":[["2019"]]},"page":"270-274","publisher":"Elsevier","title":"Future skills requirements analysis in maritime industry","type":"article-journal","volume":"158"},"uris":["http://www.mendeley.com/documents/?uuid=9d3896b5-9d1e-4368-8b0a-57c44f2800a5"]}],"mendeley":{"formattedCitation":"(Bankole et al., 2017; Cicek et al., 2019)","plainTextFormattedCitation":"(Bankole et al., 2017; Cicek et al., 2019)","previouslyFormattedCitation":"(Bankole et al., 2017; Cicek et al., 2019)"},"properties":{"noteIndex":0},"schema":"https://github.com/citation-style-language/schema/raw/master/csl-citation.json"}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(Bankole et al., 2017; Cicek et al., 2019)</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This integration is not merely a pedagogical strategy but a strategic imperative to bridge the gap between academic knowledge and practical application, fostering a generation of professionals poised to navigate the complexities of maritime operations effectively.</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Against this backdrop, the present research embarks on a critical inquiry into the Integration of STEM Education in Nautical and Technical Majors: A Comparative Analysis. This study is situated within the context of maritime institutes, marine schools, and vocational institutions, which serve as crucibles for nurturing the next generation of maritime professionals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author":[{"dropping-particle":"","family":"Neilson","given":"Brett","non-dropping-particle":"","parse-names":false,"suffix":""},{"dropping-particle":"","family":"Rossiter","given":"Ned","non-dropping-particle":"","parse-names":false,"suffix":""}],"container-title":"Stillness in a mobile world","id":"ITEM-1","issued":{"date-parts":[["2013"]]},"page":"51-68","publisher":"Routledge","title":"Still waiting, still moving: On labour, logistics and maritime industries","type":"chapter"},"uris":["http://www.mendeley.com/documents/?uuid=e4b2b77e-b511-437b-bfd8-892e60ceb485"]}],"mendeley":{"formattedCitation":"(Neilson &amp; Rossiter, 2013)","plainTextFormattedCitation":"(Neilson &amp; Rossiter, 2013)","previouslyFormattedCitation":"(Neilson &amp; Rossiter, 2013)"},"properties":{"noteIndex":0},"schema":"https://github.com/citation-style-language/schema/raw/master/csl-citation.json"}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(Neilson &amp; Rossiter, 2013)</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xml:space="preserve">. By undertaking a qualitative research </w:t>
      </w:r>
      <w:r w:rsidRPr="00C0730A">
        <w:rPr>
          <w:rFonts w:ascii="Times New Roman" w:eastAsia="Calibri" w:hAnsi="Times New Roman" w:cs="Times New Roman"/>
          <w:bCs/>
          <w:lang w:val="en-ID"/>
        </w:rPr>
        <w:lastRenderedPageBreak/>
        <w:t>approach coupled with descriptive analysis, this research seeks to unravel the intricacies of STEM integration within the specialized domains of nautical and technical majors.</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The impetus for this research stems from the imperative to understand and enhance educational practices tailored to meet the demands of contemporary maritime industries. With the globalization of maritime trade and the proliferation of technological innovations, there exists a pressing need to equip students with a holistic skill set encompassing scientific inquiry, technological proficiency, engineering principles, and mathematical acumen. However, the efficacy of STEM integration within nautical and technical majors remains a subject of inquiry, warranting a nuanced examination of pedagogical approaches and curricular frameworks across diverse educational settings.</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xml:space="preserve">The overarching purpose of this research is twofold: firstly, to critically evaluate the implementation of STEM education in nautical and technical majors; and secondly, to offer insights into enhancing educational practices and curriculum development aligned with international standards, particularly those prescribed by the International Maritime Organization (IMO) through its Standards of Training, Certification, and </w:t>
      </w:r>
      <w:proofErr w:type="spellStart"/>
      <w:r w:rsidRPr="00C0730A">
        <w:rPr>
          <w:rFonts w:ascii="Times New Roman" w:eastAsia="Calibri" w:hAnsi="Times New Roman" w:cs="Times New Roman"/>
          <w:bCs/>
          <w:lang w:val="en-ID"/>
        </w:rPr>
        <w:t>Watchkeeping</w:t>
      </w:r>
      <w:proofErr w:type="spellEnd"/>
      <w:r w:rsidRPr="00C0730A">
        <w:rPr>
          <w:rFonts w:ascii="Times New Roman" w:eastAsia="Calibri" w:hAnsi="Times New Roman" w:cs="Times New Roman"/>
          <w:bCs/>
          <w:lang w:val="en-ID"/>
        </w:rPr>
        <w:t xml:space="preserve"> (STCW) convention</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author":[{"dropping-particle":"","family":"Sharma","given":"A","non-dropping-particle":"","parse-names":false,"suffix":""},{"dropping-particle":"","family":"Kim","given":"T-e","non-dropping-particle":"","parse-names":false,"suffix":""},{"dropping-particle":"","family":"Nazir","given":"S","non-dropping-particle":"","parse-names":false,"suffix":""},{"dropping-particle":"","family":"Chae","given":"C","non-dropping-particle":"","parse-names":false,"suffix":""}],"container-title":"Proceedings of the Ergoship Conference, Haugesund, Norway","id":"ITEM-1","issued":{"date-parts":[["2019"]]},"page":"24-25","title":"Catching up with time? Examining the STCW competence framework for autonomous shipping","type":"paper-conference"},"uris":["http://www.mendeley.com/documents/?uuid=9304f6e2-44a1-478a-bcc9-82c766931093"]},{"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examinations","type":"book"},"uris":["http://www.mendeley.com/documents/?uuid=df3436ef-f62f-472e-9711-aa0119512366"]}],"mendeley":{"formattedCitation":"(House &amp; Saeed, 2016; Sharma et al., 2019)","plainTextFormattedCitation":"(House &amp; Saeed, 2016; Sharma et al., 2019)","previouslyFormattedCitation":"(House &amp; Saeed, 2016; Sharma et al., 2019)"},"properties":{"noteIndex":0},"schema":"https://github.com/citation-style-language/schema/raw/master/csl-citation.json"}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(House &amp; Saeed, 2016; Sharma et al., 2019)</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xml:space="preserve">. By elucidating the strengths and weaknesses of existing integration efforts, this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to inform strategic interventions aimed at optimizing STEM education delivery and fostering a conducive learning environment conducive to the holistic development of maritime professionals.</w:t>
      </w:r>
      <w:r>
        <w:rPr>
          <w:rFonts w:ascii="Times New Roman" w:eastAsia="Calibri" w:hAnsi="Times New Roman" w:cs="Times New Roman"/>
          <w:bCs/>
        </w:rPr>
        <w:t xml:space="preserve"> </w:t>
      </w:r>
      <w:r w:rsidRPr="00C0730A">
        <w:rPr>
          <w:rFonts w:ascii="Times New Roman" w:eastAsia="Calibri" w:hAnsi="Times New Roman" w:cs="Times New Roman"/>
          <w:bCs/>
          <w:lang w:val="en-ID"/>
        </w:rPr>
        <w:t>Moreover, this research is underpinned by a comparative analysis framework, which seeks to juxtapose STEM integration across different educational institutions. The inclusion of forty-five junior cadets from diverse educational backgrounds serves as a cornerstone for this comparative analysis, enabling a nuanced understanding of the variations in STEM implementation strategies, pedagogical approaches, and student outcomes. Through this comparative lens, this research aims to discern best practices, identify challenges, and propose recommendations to enhance the efficacy and sustainability of STEM integration initiatives within nautical and technical majors.</w:t>
      </w:r>
    </w:p>
    <w:p w:rsidR="00DA1E36"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 xml:space="preserve">he integration of STEM education in nautical and technical majors represents a multifaceted </w:t>
      </w:r>
      <w:proofErr w:type="spellStart"/>
      <w:r w:rsidRPr="00C0730A">
        <w:rPr>
          <w:rFonts w:ascii="Times New Roman" w:eastAsia="Calibri" w:hAnsi="Times New Roman" w:cs="Times New Roman"/>
          <w:bCs/>
          <w:lang w:val="en-ID"/>
        </w:rPr>
        <w:t>endeavor</w:t>
      </w:r>
      <w:proofErr w:type="spellEnd"/>
      <w:r w:rsidRPr="00C0730A">
        <w:rPr>
          <w:rFonts w:ascii="Times New Roman" w:eastAsia="Calibri" w:hAnsi="Times New Roman" w:cs="Times New Roman"/>
          <w:bCs/>
          <w:lang w:val="en-ID"/>
        </w:rPr>
        <w:t xml:space="preserve"> aimed at preparing students for the rigors of contemporary maritime industries. By delving into the nuances of STEM integration through a comparative analysis lens, this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to contribute to the ongoing discourse surrounding educational reform and curriculum development within specialized fields. Through critical inquiry and evidence-based analysis, this research aspires to offer actionable insights that can inform policy decisions, pedagogical practices, and curriculum design, thereby fostering a generation of maritime professionals equipped to navigate the complexities of the maritime domain with competence and confidence.</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present research adopts a qualitative approach to investigate the integration of STEM Education in Nautical and Technical Majors among junior cadets. This section delineates the research design, data collection methods, participant selection criteria, and data analysis te</w:t>
      </w:r>
      <w:r>
        <w:rPr>
          <w:rFonts w:ascii="Times New Roman" w:eastAsia="Calibri" w:hAnsi="Times New Roman" w:cs="Times New Roman"/>
          <w:bCs/>
          <w:lang w:val="en-ID"/>
        </w:rPr>
        <w:t>chniques employed in the study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{"citationItems":[{"id":"ITEM-1","itemData":{"DOI":"10.4018/978-1-7998-3022-1.ch070","abstract":"This study aimed to examine the psychometric properties (reliability and validity) of the Arabic version of Sherouk's Critical Thinking Test. This test has four parts, each of which provides a story that is divided into an introduction and a scene; each story is then followed by a list of sensitive questions featuring two response options (Agree/Disagree). A sample of 158 university students participated in this study. The results showed that the reliability of the entire scale was 0.885, and the reliability of each of its four parts was 0.885, 0.829, 0.772, and 0.721, respectively. Confirmatory factor analysis of the collected data revealed a good fit with the latent constructs (CMIN/DF: 1.446; CMIN/DF: 1.357; CMIN/DF: 1.417; and CMIN/DF: 1.151) for parts one to four, respectively. The test's adaptability was considered when designing this instrument, and examinees were invited to review it. This paper recommended using this instrument in the fields of performance, leadership, selection, training, and improvement, and it was also created as a tool to measure individuals' critical thinking skills and abilities in organizations, companies, and academic environments. The English and German versions of this test were also examined; these versions are now currently available for use.","author":[{"dropping-particle":"","family":"Kadhm","given":"Sherouk J","non-dropping-particle":"","parse-names":false,"suffix":""}],"container-title":"Research Anthology on Developing Critical Thinking Skills in Students","id":"ITEM-1","issued":{"date-parts":[["2021"]]},"page":"1345-1356","publisher":"IGI Global","title":"Validation of Sherouk's Critical Thinking Test (SH-CTT)","type":"article"},"uris":["http://www.mendeley.com/documents/?uuid=71499f6a-387e-48d9-8adb-1fdccda73425"]},{"id":"ITEM-2","itemData":{"ISBN":"9792171312","author":[{"dropping-particle":"","family":"Sarosa","given":"Samiaji","non-dropping-particle":"","parse-names":false,"suffix":""}],"id":"ITEM-2","issued":{"date-parts":[["2021"]]},"publisher":"Pt Kanisius","title":"Analisis Data Penelitian Kualitatif","type":"book"},"uris":["http://www.mendeley.com/documents/?uuid=fc4a06ca-b28b-4f00-8b76-29873b6aa261"]}],"mendeley":{"formattedCitation":"(Kadhm, 2021; Sarosa, 2021)","plainTextFormattedCitation":"(Kadhm, 2021; Sarosa, 2021)","previouslyFormattedCitation":"(Kadhm, 2021; Sarosa, 2021)"},"properties":{"noteIndex":0},"schema":"https://github.com/citation-style-language/schema/raw/master/csl-citation.json"}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(Kadhm, 2021; Sarosa, 2021)</w:t>
      </w:r>
      <w:r w:rsidR="00F01A26">
        <w:rPr>
          <w:rFonts w:ascii="Times New Roman" w:eastAsia="Calibri" w:hAnsi="Times New Roman" w:cs="Times New Roman"/>
          <w:bCs/>
        </w:rPr>
        <w:fldChar w:fldCharType="end"/>
      </w:r>
      <w:r>
        <w:rPr>
          <w:rFonts w:ascii="Times New Roman" w:eastAsia="Calibri" w:hAnsi="Times New Roman" w:cs="Times New Roman"/>
          <w:bCs/>
          <w:lang w:val="en-ID"/>
        </w:rPr>
        <w:t>.</w:t>
      </w:r>
      <w:r>
        <w:rPr>
          <w:rFonts w:ascii="Times New Roman" w:eastAsia="Calibri" w:hAnsi="Times New Roman" w:cs="Times New Roman"/>
          <w:bCs/>
        </w:rPr>
        <w:t xml:space="preserve"> </w:t>
      </w:r>
      <w:r w:rsidRPr="00C0730A">
        <w:rPr>
          <w:rFonts w:ascii="Times New Roman" w:eastAsia="Calibri" w:hAnsi="Times New Roman" w:cs="Times New Roman"/>
          <w:bCs/>
          <w:lang w:val="en-ID"/>
        </w:rPr>
        <w:t xml:space="preserve">The qualitative research design is well-suited for exploring complex phenomena within their natural context, allowing for an in-depth understanding of participants' perspectives, experiences, and </w:t>
      </w:r>
      <w:proofErr w:type="spellStart"/>
      <w:r w:rsidRPr="00C0730A">
        <w:rPr>
          <w:rFonts w:ascii="Times New Roman" w:eastAsia="Calibri" w:hAnsi="Times New Roman" w:cs="Times New Roman"/>
          <w:bCs/>
          <w:lang w:val="en-ID"/>
        </w:rPr>
        <w:t>behaviors</w:t>
      </w:r>
      <w:proofErr w:type="spellEnd"/>
      <w:r w:rsidRPr="00C0730A">
        <w:rPr>
          <w:rFonts w:ascii="Times New Roman" w:eastAsia="Calibri" w:hAnsi="Times New Roman" w:cs="Times New Roman"/>
          <w:bCs/>
          <w:lang w:val="en-ID"/>
        </w:rPr>
        <w:t>. In this study, qualitative methods are employed to elucidate the nuances of STEM integration in nautical and technical majors, offering rich insights into the challenges, successes, and areas for improvement within educational settings.</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rPr>
      </w:pPr>
      <w:r w:rsidRPr="00C0730A">
        <w:rPr>
          <w:rFonts w:ascii="Times New Roman" w:eastAsia="Calibri" w:hAnsi="Times New Roman" w:cs="Times New Roman"/>
          <w:bCs/>
          <w:lang w:val="en-ID"/>
        </w:rPr>
        <w:t>Data collection primarily comprises semi-structured interviews and document analysis. Semi-structured interviews enable researchers to engage in open-ended dialogue with participants, probing into their perceptions, attitudes, and experiences regarding STEM integration in their educational journey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research","type":"book","volume":"36"},"uris":["http://www.mendeley.com/documents/?uuid=3dd2009f-9a1f-49de-80ec-390d71a71b05"]}],"mendeley":{"formattedCitation":"(Padgett, 2016)","plainTextFormattedCitation":"(Padgett, 2016)","previouslyFormattedCitation":"(Padgett, 2016)"},"properties":{"noteIndex":0},"schema":"https://github.com/citation-style-language/schema/raw/master/csl-citation.json"}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(Padgett, 2016)</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These interviews are conducted in a conversational manner, allowing participants to articulate their thoughts and reflections freely. Additionally, document analysis involves scrutinizing educational materials, curricular documents, and institutional policies related to STEM education, providing contextual information and triangul</w:t>
      </w:r>
      <w:r>
        <w:rPr>
          <w:rFonts w:ascii="Times New Roman" w:eastAsia="Calibri" w:hAnsi="Times New Roman" w:cs="Times New Roman"/>
          <w:bCs/>
          <w:lang w:val="en-ID"/>
        </w:rPr>
        <w:t>ating findings from interviews.</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The study targets junior cadets enrolled in maritime institutes, marine schools, and vocational institutions, reflecting the diverse spectrum of educational settings within the maritime domain</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1420043420","author":[{"dropping-particle":"","family":"Grech","given":"Michelle","non-dropping-particle":"","parse-names":false,"suffix":""},{"dropping-particle":"","family":"Horberry","given":"Tim","non-dropping-particle":"","parse-names":false,"suffix":""},{"dropping-particle":"","family":"Koester","given":"Thomas","non-dropping-particle":"","parse-names":false,"suffix":""}],"id":"ITEM-1","issued":{"date-parts":[["2008"]]},"publisher":"CRC press","title":"Human factors in the maritime domain","type":"book"},"uris":["http://www.mendeley.com/documents/?uuid=8b65b832-387c-4983-8c83-0195405870b3"]}],"mendeley":{"formattedCitation":"(Grech et al., 2008)","plainTextFormattedCitation":"(Grech et al., 2008)","previouslyFormattedCitation":"(Grech et al., 2008)"},"properties":{"noteIndex":0},"schema":"https://github.com/citation-style-language/schema/raw/master/csl-citation.json"}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(Grech et al., 2008)</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The selection criteria encompass cadets currently undergoing training in nautical and technical majors, ensuring relevance to the research topic. A purposive sampling approach is employed to recruit participants based on their educational background, academic performance, and willingness to participate in the study. The inclusion of junior cadets offers a unique perspective on STEM integration, capturing the experiences of emerging professionals poised to enter the maritime industry.</w:t>
      </w:r>
      <w:r>
        <w:rPr>
          <w:rFonts w:ascii="Times New Roman" w:eastAsia="Calibri" w:hAnsi="Times New Roman" w:cs="Times New Roman"/>
          <w:bCs/>
        </w:rPr>
        <w:t xml:space="preserve"> </w:t>
      </w:r>
    </w:p>
    <w:p w:rsidR="00B53B02"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Data analysis is conducted iteratively, employing thematic analysis to identify recurring patterns, themes, and sub-themes within the qualitative data</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research","type":"book","volume":"36"},"uris":["http://www.mendeley.com/documents/?uuid=3dd2009f-9a1f-49de-80ec-390d71a71b05"]}],"mendeley":{"formattedCitation":"(Padgett, 2016)","plainTextFormattedCitation":"(Padgett, 2016)","previouslyFormattedCitation":"(Padgett, 2016)"},"properties":{"noteIndex":0},"schema":"https://github.com/citation-style-language/schema/raw/master/csl-citation.json"}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(Padgett, 2016)</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xml:space="preserve">. Thematic analysis involves systematically organizing and categorizing interview transcripts and documentary evidence, followed by the identification of overarching themes that encapsulate participants' perspectives on STEM integration. Through a process of coding, categorization, and interpretation, the researcher extracts meaningful insights from the data, facilitating </w:t>
      </w:r>
      <w:r w:rsidRPr="00C0730A">
        <w:rPr>
          <w:rFonts w:ascii="Times New Roman" w:eastAsia="Calibri" w:hAnsi="Times New Roman" w:cs="Times New Roman"/>
          <w:bCs/>
          <w:lang w:val="en-ID"/>
        </w:rPr>
        <w:lastRenderedPageBreak/>
        <w:t>a nuanced understanding of the research phenomenon. The iterative nature of thematic analysis allows for reflexivity and validation of emerging themes, ensuring rigor and reliability in the interpretation of findings.</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C0730A">
        <w:rPr>
          <w:rFonts w:ascii="Times New Roman" w:eastAsia="Calibri" w:hAnsi="Times New Roman" w:cs="Times New Roman"/>
          <w:b/>
          <w:bCs/>
        </w:rPr>
        <w:t>3.1. Result</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findings of the research offer valuable insights into the integration of STEM Education in Nautical and Technical Majors among junior cadets. Through a qualitative analysis of semi-structured interviews and document analysis, coupled with thematic analysis, the study elucidates the perspectives, experiences, and challenges faced by participants in navigating STEM education within the maritime domain.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Participant Demographics: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study comprised 45 junior cadets from diverse educational backgrounds, enrolled in maritime institutes, marine schools, and vocational institutions. Table 1 provides an overview of the demographic characteristics of the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93"/>
        <w:gridCol w:w="2773"/>
        <w:gridCol w:w="2874"/>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Demographic</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Gender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Male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71.1%</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Female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28.9%</w:t>
            </w:r>
          </w:p>
        </w:tc>
      </w:tr>
      <w:tr w:rsidR="00C0730A" w:rsidRPr="00C0730A" w:rsidTr="00CE4A12">
        <w:trPr>
          <w:tblCellSpacing w:w="15" w:type="dxa"/>
        </w:trPr>
        <w:tc>
          <w:tcPr>
            <w:tcW w:w="0" w:type="auto"/>
            <w:gridSpan w:val="3"/>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center"/>
              <w:rPr>
                <w:rFonts w:ascii="Times New Roman" w:eastAsia="Calibri" w:hAnsi="Times New Roman" w:cs="Times New Roman"/>
                <w:b/>
                <w:bCs/>
                <w:lang w:val="en-ID"/>
              </w:rPr>
            </w:pPr>
            <w:r w:rsidRPr="00C0730A">
              <w:rPr>
                <w:rFonts w:ascii="Times New Roman" w:eastAsia="Calibri" w:hAnsi="Times New Roman" w:cs="Times New Roman"/>
                <w:b/>
                <w:bCs/>
                <w:lang w:val="en-ID"/>
              </w:rPr>
              <w:t>Educational Level</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Nautical Major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44.4%</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Technical Major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55.6%</w:t>
            </w:r>
          </w:p>
        </w:tc>
      </w:tr>
      <w:tr w:rsidR="00C0730A" w:rsidRPr="00C0730A" w:rsidTr="00F4601F">
        <w:trPr>
          <w:tblCellSpacing w:w="15" w:type="dxa"/>
        </w:trPr>
        <w:tc>
          <w:tcPr>
            <w:tcW w:w="0" w:type="auto"/>
            <w:gridSpan w:val="3"/>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center"/>
              <w:rPr>
                <w:rFonts w:ascii="Times New Roman" w:eastAsia="Calibri" w:hAnsi="Times New Roman" w:cs="Times New Roman"/>
                <w:b/>
                <w:bCs/>
                <w:lang w:val="en-ID"/>
              </w:rPr>
            </w:pPr>
            <w:r w:rsidRPr="00C0730A">
              <w:rPr>
                <w:rFonts w:ascii="Times New Roman" w:eastAsia="Calibri" w:hAnsi="Times New Roman" w:cs="Times New Roman"/>
                <w:b/>
                <w:bCs/>
                <w:lang w:val="en-ID"/>
              </w:rPr>
              <w:t>Institution Type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Maritime Institute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33.3%</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Marine School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44.4%</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Vocational School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22.2%</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Perceptions of STEM Integration: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expressed varying perceptions regarding the integration of STEM education in their respective majors. Table 2 illustrates the distribution of responses based on participants' perceptions.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9"/>
        <w:gridCol w:w="3228"/>
        <w:gridCol w:w="3343"/>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Perception</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Positive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27</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60.0%</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Neutral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Negative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6</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13.3%</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majority of participants (60.0%) held positive perceptions of STEM integration, citing its relevance to their future careers, enhancement of critical thinking skills, and alignment with industry demands. However, a notable proportion (13.3%) expressed negative perceptions, highlighting challenges such as inadequate resources, lack of qualified instructors, and disconnect between theoretical learning and practical application.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Challenges of STEM Integration: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identified several challenges associated with STEM integration in nautical and technical majors. Table 3 presents the distribution of challenges reported by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1"/>
        <w:gridCol w:w="2410"/>
        <w:gridCol w:w="2499"/>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Challenges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Inadequate Resources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40.0%</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Lack of Qualified Instructors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33.3%</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Theoretical-Practical Divide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Curriculum Rigidity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17.8%</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Technological Infrastructure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6</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13.3%</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xml:space="preserve">The most prevalent challenge reported by participants was inadequate resources, including limited laboratory facilities, outdated equipment, and insufficient instructional materials. This was followed closely by the lack of qualified instructors capable of delivering STEM-focused instruction effectively. Additionally, participants highlighted </w:t>
      </w:r>
      <w:proofErr w:type="gramStart"/>
      <w:r w:rsidRPr="00C0730A">
        <w:rPr>
          <w:rFonts w:ascii="Times New Roman" w:eastAsia="Calibri" w:hAnsi="Times New Roman" w:cs="Times New Roman"/>
          <w:bCs/>
          <w:lang w:val="en-ID"/>
        </w:rPr>
        <w:t>the disconnect</w:t>
      </w:r>
      <w:proofErr w:type="gramEnd"/>
      <w:r w:rsidRPr="00C0730A">
        <w:rPr>
          <w:rFonts w:ascii="Times New Roman" w:eastAsia="Calibri" w:hAnsi="Times New Roman" w:cs="Times New Roman"/>
          <w:bCs/>
          <w:lang w:val="en-ID"/>
        </w:rPr>
        <w:t xml:space="preserve"> between theoretical learning and practical application, suggesting a need for greater integration of hands-on learning experiences into the curriculum.</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lastRenderedPageBreak/>
        <w:t>Impact of STEM Integration on Learning Outcomes: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reflected on the impact of STEM integration on their learning outcomes and skill development. Table 4 illustrates the distribution of responses regarding the perceived impact of STEM integration.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73"/>
        <w:gridCol w:w="2291"/>
        <w:gridCol w:w="2376"/>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Impact on Learning Outcomes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Positive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55.6%</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Neutral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Negative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17.8%</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majority of participants (55.6%) reported a positive impact of STEM integration on their learning outcomes, citing improvements in problem-solving abilities, critical thinking skills, and practical competency. However, a notable proportion (17.8%) expressed negative perceptions, indicating challenges such as increased workload, difficulty in grasping complex STEM concepts, and lack of support mechanisms.</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Suggestions for Improvement:</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offered valuable suggestions for enhancing STEM integration in nautical and technical majors. Table 5 presents the distribution of suggestions provided by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61"/>
        <w:gridCol w:w="2051"/>
        <w:gridCol w:w="2128"/>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Suggestions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Increase Resource Allocation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44.4%</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Enhance Teacher Training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33.3%</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Foster Interdisciplinary Collaboration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Promote Hands-on Learning Experiences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22.2%</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most frequently cited suggestion was to increase resource allocation, including investment in laboratory facilities, technology upgrades, and provision of adequate instructional materials. Participants also emphasized the importance of enhancing teacher training to ensure educators are equipped with the necessary pedagogical skills and subject expertise. Furthermore, fostering interdisciplinary collaboration and promoting hands-on learning experiences emerged as key recommendations for enriching STEM education delivery.</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he findings of the research offer valuable insights into the integration of STEM Education in Nautical and Technical Majors among junior cadets. Despite the challenges identified, participants generally perceive STEM integration positively and recognize its potential to enhance learning outcomes and prepare them for future careers in the maritime industry. By addressing the challenges highlighted and implementing the suggested improvements, educational institutions can optimize STEM integration initiatives, thereby equipping students with the requisite skills and competencies demanded by the contemporary maritime domain.</w:t>
      </w:r>
    </w:p>
    <w:p w:rsidR="00C0730A" w:rsidRDefault="00C0730A" w:rsidP="00DA1E36">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D</w:t>
      </w:r>
      <w:proofErr w:type="spellStart"/>
      <w:r w:rsidRPr="00C0730A">
        <w:rPr>
          <w:rFonts w:ascii="Times New Roman" w:eastAsia="Calibri" w:hAnsi="Times New Roman" w:cs="Times New Roman"/>
          <w:bCs/>
          <w:lang w:val="en-ID"/>
        </w:rPr>
        <w:t>elve</w:t>
      </w:r>
      <w:proofErr w:type="spellEnd"/>
      <w:r>
        <w:rPr>
          <w:rFonts w:ascii="Times New Roman" w:eastAsia="Calibri" w:hAnsi="Times New Roman" w:cs="Times New Roman"/>
          <w:bCs/>
        </w:rPr>
        <w:t>d</w:t>
      </w:r>
      <w:r w:rsidRPr="00C0730A">
        <w:rPr>
          <w:rFonts w:ascii="Times New Roman" w:eastAsia="Calibri" w:hAnsi="Times New Roman" w:cs="Times New Roman"/>
          <w:bCs/>
          <w:lang w:val="en-ID"/>
        </w:rPr>
        <w:t xml:space="preserve"> deeper into the analysis of research findings, needs, and professionalism within the maritime education sector, with a focus on supporting and empowering the integration of STEM Education in Nautical and Technical Majors. The data presented here are derived from participant responses, document analysis, and thematic analysis, aimed at elucidating the challenges and opportunities inherent in aligning educational practices with international standards, specifically those prescribed by the International Maritime Organization (IMO) through its Standards of Training, Certification, and </w:t>
      </w:r>
      <w:proofErr w:type="spellStart"/>
      <w:r w:rsidRPr="00C0730A">
        <w:rPr>
          <w:rFonts w:ascii="Times New Roman" w:eastAsia="Calibri" w:hAnsi="Times New Roman" w:cs="Times New Roman"/>
          <w:bCs/>
          <w:lang w:val="en-ID"/>
        </w:rPr>
        <w:t>Watchkeeping</w:t>
      </w:r>
      <w:proofErr w:type="spellEnd"/>
      <w:r w:rsidRPr="00C0730A">
        <w:rPr>
          <w:rFonts w:ascii="Times New Roman" w:eastAsia="Calibri" w:hAnsi="Times New Roman" w:cs="Times New Roman"/>
          <w:bCs/>
          <w:lang w:val="en-ID"/>
        </w:rPr>
        <w:t xml:space="preserve"> (STCW) convention.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emphasized the importance of aligning educational practices with international standards, particularly the STCW convention, which serves as the benchmark for maritime education and training worldwide. Table 1 provides an overview of participants' perceptions regarding the alignment of their educational experiences with international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45"/>
        <w:gridCol w:w="2009"/>
        <w:gridCol w:w="2086"/>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Alignment with International Standards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66.7%</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Partially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22.2%</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Not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11.1%</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majority of participants (66.7%) perceived their educational experiences as aligned with international standards, indicating that their programs encompassed the requisite STCW competencies and curriculum components. However, a significant proportion (22.2%) reported partial alignment, citing gaps in certain areas such as practical training, technological integration, and industry exposure. A smaller subset of participants (11.1%) indicated that their educational experiences were not aligned with international standards, underscoring the need for comprehensive reform and curriculum enhancement initiatives.</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lastRenderedPageBreak/>
        <w:t>Identification of Needs: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Participants identified several key areas of need within the maritime education sector, which are essential for fostering professionalism and competency among future maritime professionals. Table 2 presents the distribution of identified needs reported by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51"/>
        <w:gridCol w:w="2302"/>
        <w:gridCol w:w="2387"/>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Identified Needs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Practical Training Opportunities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55.6%</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Technological Integration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44.4%</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Industry Exposure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40.0%</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Soft Skills Development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33.3%</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xml:space="preserve">The most commonly cited need was for practical training opportunities, including </w:t>
      </w:r>
      <w:proofErr w:type="spellStart"/>
      <w:r w:rsidRPr="00C0730A">
        <w:rPr>
          <w:rFonts w:ascii="Times New Roman" w:eastAsia="Calibri" w:hAnsi="Times New Roman" w:cs="Times New Roman"/>
          <w:bCs/>
          <w:lang w:val="en-ID"/>
        </w:rPr>
        <w:t>onboard</w:t>
      </w:r>
      <w:proofErr w:type="spellEnd"/>
      <w:r w:rsidRPr="00C0730A">
        <w:rPr>
          <w:rFonts w:ascii="Times New Roman" w:eastAsia="Calibri" w:hAnsi="Times New Roman" w:cs="Times New Roman"/>
          <w:bCs/>
          <w:lang w:val="en-ID"/>
        </w:rPr>
        <w:t xml:space="preserve"> experience, simulation exercises, and hands-on workshops, to complement theoretical instruction and enhance practical competency. Participants also highlighted the importance of technological integration, emphasizing the need for access to state-of-the-art equipment, software tools, and digital learning resources to stay abreast of technological advancements in the maritime industry. Furthermore, industry exposure emerged as a critical need, with participants advocating for internships, industry partnerships, and guest lectures to provide insights into real-world maritime operations. Additionally, there was a recognized need for soft skills development, including communication, teamwork, leadership, and problem-solving skills, to complement technical proficiency and enhance overall professionalism among maritime professionals.</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Professionalism in Maritime Education: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concept of professionalism permeated discussions surrounding maritime education, reflecting the industry's stringent standards and expectations for future maritime professionals. Table 3 illustrates participants' perceptions regarding the importance of professionalism in their educational journey.</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68"/>
        <w:gridCol w:w="2293"/>
        <w:gridCol w:w="2379"/>
      </w:tblGrid>
      <w:tr w:rsidR="00C0730A" w:rsidRPr="00C0730A" w:rsidTr="00C0730A">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Importance of Professionalism</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
                <w:bCs/>
                <w:lang w:val="en-ID"/>
              </w:rPr>
            </w:pPr>
            <w:r w:rsidRPr="00C0730A">
              <w:rPr>
                <w:rFonts w:ascii="Times New Roman" w:eastAsia="Calibri" w:hAnsi="Times New Roman" w:cs="Times New Roman"/>
                <w:b/>
                <w:bCs/>
                <w:lang w:val="en-ID"/>
              </w:rPr>
              <w:t>Percentage</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Very Important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35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77.8%</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Somewhat Important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17.8%</w:t>
            </w:r>
          </w:p>
        </w:tc>
      </w:tr>
      <w:tr w:rsidR="00C0730A" w:rsidRPr="00C0730A" w:rsidTr="00C0730A">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Not Important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4.4%</w:t>
            </w:r>
          </w:p>
        </w:tc>
      </w:tr>
    </w:tbl>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overwhelming majority of participants (77.8%) deemed professionalism to be of utmost importance in their educational journey, recognizing its significance in shaping their conduct, attitudes, and work ethic as future maritime professionals. Only a small minority (4.4%) perceived professionalism as not important, highlighting a prevailing ethos of excellence and adherence to professional standards within the maritime education community.</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analysis of research findings underscores the interplay between STEM integration, international standards, identified needs, and professionalism within the maritime education sector. By aligning educational practices with international standards, particularly those outlined by the STCW convention, educational institutions can ensure that their programs meet industry requirements and equip students with the competencies needed for success in the maritime profession. Moreover, addressing the identified needs, such as providing practical training opportunities, integrating technology into the curriculum, facilitating industry exposure, and fostering soft skills development, is essential for nurturing well-rounded maritime professionals capable of navigating the complexities of the maritime domain with professionalism and competence.</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he findings highlight the imperative for holistic reform and continuous improvement initiatives within the maritime education sector to meet the evolving demands of the industry and uphold the highest standards of professionalism. By addressing the identified needs and embracing STEM integration in line with international standards, educational institutions can empower future generations of maritime professionals to excel in their careers and contribute to the advancement of the maritime industry on a global scale.</w:t>
      </w:r>
    </w:p>
    <w:p w:rsid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3.2. Discussion</w:t>
      </w: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Cs/>
          <w:lang w:val="en-ID"/>
        </w:rPr>
        <w:tab/>
      </w:r>
      <w:r w:rsidRPr="00C0730A">
        <w:rPr>
          <w:rFonts w:ascii="Times New Roman" w:eastAsia="Calibri" w:hAnsi="Times New Roman" w:cs="Times New Roman"/>
          <w:bCs/>
          <w:lang w:val="en-ID"/>
        </w:rPr>
        <w:t xml:space="preserve">The discussion section synthesizes and interprets the findings presented in the previous sections, elucidating the implications, significance, and broader implications of the research on the integration of STEM Education in Nautical and Technical Majors among junior cadets. By examining the alignment with international standards, identifying needs within the maritime education sector, and </w:t>
      </w:r>
      <w:proofErr w:type="spellStart"/>
      <w:r w:rsidRPr="00C0730A">
        <w:rPr>
          <w:rFonts w:ascii="Times New Roman" w:eastAsia="Calibri" w:hAnsi="Times New Roman" w:cs="Times New Roman"/>
          <w:bCs/>
          <w:lang w:val="en-ID"/>
        </w:rPr>
        <w:t>analyzing</w:t>
      </w:r>
      <w:proofErr w:type="spellEnd"/>
      <w:r w:rsidRPr="00C0730A">
        <w:rPr>
          <w:rFonts w:ascii="Times New Roman" w:eastAsia="Calibri" w:hAnsi="Times New Roman" w:cs="Times New Roman"/>
          <w:bCs/>
          <w:lang w:val="en-ID"/>
        </w:rPr>
        <w:t xml:space="preserve"> the importance of professionalism, this discussion seeks to provide a comprehensive understanding of the research findings and their implications for educational practice, policy, and future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 xml:space="preserve">The findings indicate that a majority of participants perceive their educational experiences as aligned with international standards, particularly those outlined by the International Maritime Organization's (IMO) Standards of Training, Certification, and </w:t>
      </w:r>
      <w:proofErr w:type="spellStart"/>
      <w:r w:rsidRPr="00C0730A">
        <w:rPr>
          <w:rFonts w:ascii="Times New Roman" w:eastAsia="Calibri" w:hAnsi="Times New Roman" w:cs="Times New Roman"/>
          <w:bCs/>
          <w:lang w:val="en-ID"/>
        </w:rPr>
        <w:t>Watchkeeping</w:t>
      </w:r>
      <w:proofErr w:type="spellEnd"/>
      <w:r w:rsidRPr="00C0730A">
        <w:rPr>
          <w:rFonts w:ascii="Times New Roman" w:eastAsia="Calibri" w:hAnsi="Times New Roman" w:cs="Times New Roman"/>
          <w:bCs/>
          <w:lang w:val="en-ID"/>
        </w:rPr>
        <w:t xml:space="preserve"> </w:t>
      </w:r>
      <w:r w:rsidRPr="00C0730A">
        <w:rPr>
          <w:rFonts w:ascii="Times New Roman" w:eastAsia="Calibri" w:hAnsi="Times New Roman" w:cs="Times New Roman"/>
          <w:bCs/>
          <w:lang w:val="en-ID"/>
        </w:rPr>
        <w:lastRenderedPageBreak/>
        <w:t>(STCW) convention. This alignment is essential for ensuring that maritime education programs meet industry requirements and equip students with the competencies necessary for success in the maritime profession. However, the presence of partial alignment and instances of non-alignment underscore the need for ongoing efforts to enhance curriculum development, instructional practices, and institutional policies to align more closely with international standards. Educational institutions must prioritize alignment with the STCW convention to ensure that graduates are adequately prepared to meet the demands of the global maritime industry and contribute effectively to maritime operations, safety, and sustainability</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examinations","type":"book"},"uris":["http://www.mendeley.com/documents/?uuid=df3436ef-f62f-472e-9711-aa0119512366"]}],"mendeley":{"formattedCitation":"(House &amp; Saeed, 2016)","plainTextFormattedCitation":"(House &amp; Saeed, 2016)","previouslyFormattedCitation":"(House &amp; Saeed, 2016)"},"properties":{"noteIndex":0},"schema":"https://github.com/citation-style-language/schema/raw/master/csl-citation.json"}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(House &amp; Saeed, 2016)</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Identification of Needs: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research findings highlight several key areas of need within the maritime education sector, including the provision of practical training opportunities, technological integration, industry exposure, and soft skills development. These needs reflect the evolving nature of the maritime industry and the demands placed on future maritime professionals to possess a diverse skill set encompassing technical proficiency, problem-solving abilities, and interpersonal skills. Addressing these needs requires collaborative efforts among educational institutions, industry stakeholders, and regulatory bodies to develop comprehensive strategies and initiatives that promote experiential learning, foster technological innovation, facilitate industry engagement, and cultivate professionalism among maritime professionals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{"citationItems":[{"id":"ITEM-1","itemData":{"ISSN":"1845640586","author":[{"dropping-particle":"","family":"WEINTRIT","given":"Adam","non-dropping-particle":"","parse-names":false,"suffix":""}],"container-title":"Maritime Security and MET","id":"ITEM-1","issued":{"date-parts":[["2005"]]},"page":"35-44","publisher":"WIT Press","title":"IAMU model course on ECDIS","type":"article-journal"},"uris":["http://www.mendeley.com/documents/?uuid=39445a7e-d75f-48d3-9604-2d5213ecb85d"]}],"mendeley":{"formattedCitation":"(WEINTRIT, 2005)","plainTextFormattedCitation":"(WEINTRIT, 2005)","previouslyFormattedCitation":"(WEINTRIT, 2005)"},"properties":{"noteIndex":0},"schema":"https://github.com/citation-style-language/schema/raw/master/csl-citation.json"}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(WEINTRIT, 2005)</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 By prioritizing these areas of need, educational institutions can enhance the quality and relevance of maritime education programs, thereby better preparing students for successful careers in the maritime industry.</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Professionalism in Maritime Education:</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 xml:space="preserve">The findings underscore the importance of professionalism in maritime education, with the overwhelming majority of participants recognizing its significance in shaping their conduct, attitudes, and work ethic as future maritime professionals. Professionalism encompasses a range of attributes, including integrity, accountability, reliability, and adherence to ethical standards, which are essential for maintaining safety, efficiency, and integrity within the maritime industry. Educational institutions play a crucial role in fostering professionalism among students by instilling a culture of excellence, emphasizing the importance of ethical </w:t>
      </w:r>
      <w:proofErr w:type="spellStart"/>
      <w:r w:rsidRPr="00C0730A">
        <w:rPr>
          <w:rFonts w:ascii="Times New Roman" w:eastAsia="Calibri" w:hAnsi="Times New Roman" w:cs="Times New Roman"/>
          <w:bCs/>
          <w:lang w:val="en-ID"/>
        </w:rPr>
        <w:t>behavior</w:t>
      </w:r>
      <w:proofErr w:type="spellEnd"/>
      <w:r w:rsidRPr="00C0730A">
        <w:rPr>
          <w:rFonts w:ascii="Times New Roman" w:eastAsia="Calibri" w:hAnsi="Times New Roman" w:cs="Times New Roman"/>
          <w:bCs/>
          <w:lang w:val="en-ID"/>
        </w:rPr>
        <w:t>, and providing opportunities for professional development and growth. By promoting professionalism within the educational environment, institutions can empower students to become responsible, ethical, and conscientious maritime professionals capable of upholding the highest standards of conduct and contributing positively to the maritime industry.</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Implications for Educational Practice and Policy:</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The research findings have several implications for educational practice and policy within the maritime education sector. Firstly, educational institutions must prioritize alignment with international standards, particularly the STCW convention, to ensure that their programs meet industry requirements and prepare students for successful careers in the maritime industry. This may entail revising curriculum frameworks, enhancing instructional practices, and investing in faculty development initiatives to align more closely with international standards and best practices in maritime education.</w:t>
      </w:r>
      <w:r>
        <w:rPr>
          <w:rFonts w:ascii="Times New Roman" w:eastAsia="Calibri" w:hAnsi="Times New Roman" w:cs="Times New Roman"/>
          <w:bCs/>
        </w:rPr>
        <w:t xml:space="preserve"> </w:t>
      </w:r>
      <w:r w:rsidRPr="00C0730A">
        <w:rPr>
          <w:rFonts w:ascii="Times New Roman" w:eastAsia="Calibri" w:hAnsi="Times New Roman" w:cs="Times New Roman"/>
          <w:bCs/>
          <w:lang w:val="en-ID"/>
        </w:rPr>
        <w:t>Secondly, addressing the identified needs within the maritime education sector requires a multifaceted approach that involves collaboration among educational institutions, industry stakeholders, and regulatory bodies. This may include expanding practical training opportunities, integrating technology into the curriculum, establishing industry partnerships, and implementing soft skills development programs to enhance the overall quality and relevance of maritime education programs</w:t>
      </w:r>
      <w:r w:rsidR="00F01A26">
        <w:rPr>
          <w:rFonts w:ascii="Times New Roman" w:eastAsia="Calibri" w:hAnsi="Times New Roman" w:cs="Times New Roman"/>
          <w:bCs/>
        </w:rPr>
        <w:t xml:space="preserve"> </w:t>
      </w:r>
      <w:r w:rsidR="00F01A26">
        <w:rPr>
          <w:rFonts w:ascii="Times New Roman" w:eastAsia="Calibri" w:hAnsi="Times New Roman" w:cs="Times New Roman"/>
          <w:bCs/>
        </w:rPr>
        <w:fldChar w:fldCharType="begin" w:fldLock="1"/>
      </w:r>
      <w:r w:rsidR="00F01A26">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revolution","type":"article-journal"},"uris":["http://www.mendeley.com/documents/?uuid=7d973aad-6360-4973-9607-4747ba2ea68c"]}],"mendeley":{"formattedCitation":"(Nalupa, 2022)","plainTextFormattedCitation":"(Nalupa, 2022)","previouslyFormattedCitation":"(Nalupa, 2022)"},"properties":{"noteIndex":0},"schema":"https://github.com/citation-style-language/schema/raw/master/csl-citation.json"}</w:instrText>
      </w:r>
      <w:r w:rsidR="00F01A26">
        <w:rPr>
          <w:rFonts w:ascii="Times New Roman" w:eastAsia="Calibri" w:hAnsi="Times New Roman" w:cs="Times New Roman"/>
          <w:bCs/>
        </w:rPr>
        <w:fldChar w:fldCharType="separate"/>
      </w:r>
      <w:r w:rsidR="00F01A26" w:rsidRPr="00F01A26">
        <w:rPr>
          <w:rFonts w:ascii="Times New Roman" w:eastAsia="Calibri" w:hAnsi="Times New Roman" w:cs="Times New Roman"/>
          <w:bCs/>
          <w:noProof/>
        </w:rPr>
        <w:t>(Nalupa, 2022)</w:t>
      </w:r>
      <w:r w:rsidR="00F01A26">
        <w:rPr>
          <w:rFonts w:ascii="Times New Roman" w:eastAsia="Calibri" w:hAnsi="Times New Roman" w:cs="Times New Roman"/>
          <w:bCs/>
        </w:rPr>
        <w:fldChar w:fldCharType="end"/>
      </w:r>
      <w:r w:rsidRPr="00C0730A">
        <w:rPr>
          <w:rFonts w:ascii="Times New Roman" w:eastAsia="Calibri" w:hAnsi="Times New Roman" w:cs="Times New Roman"/>
          <w:bCs/>
          <w:lang w:val="en-ID"/>
        </w:rPr>
        <w:t>.</w:t>
      </w:r>
      <w:r>
        <w:rPr>
          <w:rFonts w:ascii="Times New Roman" w:eastAsia="Calibri" w:hAnsi="Times New Roman" w:cs="Times New Roman"/>
          <w:bCs/>
        </w:rPr>
        <w:t xml:space="preserve"> </w:t>
      </w:r>
      <w:r w:rsidRPr="00C0730A">
        <w:rPr>
          <w:rFonts w:ascii="Times New Roman" w:eastAsia="Calibri" w:hAnsi="Times New Roman" w:cs="Times New Roman"/>
          <w:bCs/>
          <w:lang w:val="en-ID"/>
        </w:rPr>
        <w:t>Thirdly, promoting professionalism within the educational environment is essential for nurturing ethical, responsible, and conscientious maritime professionals. Educational institutions must prioritize the cultivation of professionalism through curricular and extracurricular activities, mentorship programs, and opportunities for professional development and growth. By instilling a culture of professionalism within the educational setting, institutions can prepare students to navigate the complexities of the maritime industry with integrity, competence, and confidence.</w:t>
      </w:r>
    </w:p>
    <w:p w:rsid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sidRPr="00C0730A">
        <w:rPr>
          <w:rFonts w:ascii="Times New Roman" w:eastAsia="Calibri" w:hAnsi="Times New Roman" w:cs="Times New Roman"/>
          <w:b/>
          <w:bCs/>
          <w:lang w:val="en-ID"/>
        </w:rPr>
        <w:t>Future Research Directions:</w:t>
      </w:r>
      <w:r>
        <w:rPr>
          <w:rFonts w:ascii="Times New Roman" w:eastAsia="Calibri" w:hAnsi="Times New Roman" w:cs="Times New Roman"/>
          <w:b/>
          <w:bCs/>
        </w:rPr>
        <w:t xml:space="preserve"> </w:t>
      </w:r>
      <w:r w:rsidRPr="00C0730A">
        <w:rPr>
          <w:rFonts w:ascii="Times New Roman" w:eastAsia="Calibri" w:hAnsi="Times New Roman" w:cs="Times New Roman"/>
          <w:bCs/>
          <w:lang w:val="en-ID"/>
        </w:rPr>
        <w:t>While the present research offers valuable insights into the integration of STEM Education in Nautical and Technical Majors among junior cadets, several avenues for future research merit consideration. Firstly, longitudinal studies tracking the career trajectories and professional outcomes of graduates from maritime education programs could provide valuable insights into the long-term impact of STEM integration on career success and industry contributions. Secondly, comparative studies examining STEM integration initiatives across different educational settings, geographic regions, and cultural contexts could offer insights into the factors influencing the effectiveness and sustainability of STEM integration efforts. Additionally, qualitative studies exploring the perspectives and experiences of industry stakeholders, including employers, maritime professionals, and regulatory authorities, could provide valuable insights into the alignment between educational outcomes and industry expectations. By addressing these research gaps, future studies can contribute to the ongoing discourse surrounding maritime education reform, curriculum development, and professionalization efforts within the maritime industry.</w:t>
      </w:r>
    </w:p>
    <w:p w:rsidR="00C0730A" w:rsidRPr="00C0730A" w:rsidRDefault="00C0730A" w:rsidP="00C0730A">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lastRenderedPageBreak/>
        <w:t>T</w:t>
      </w:r>
      <w:r w:rsidRPr="00C0730A">
        <w:rPr>
          <w:rFonts w:ascii="Times New Roman" w:eastAsia="Calibri" w:hAnsi="Times New Roman" w:cs="Times New Roman"/>
          <w:bCs/>
          <w:lang w:val="en-ID"/>
        </w:rPr>
        <w:t xml:space="preserve">he discussion highlights the significance of the research findings on the integration of STEM Education in Nautical and Technical Majors among junior cadets for educational practice, policy, and future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within the maritime education sector. By aligning with international standards, addressing identified needs, promoting professionalism, and exploring future research directions, educational institutions can enhance the quality, relevance, and effectiveness of maritime education programs, thereby better preparing students for successful careers in the maritime industry.</w:t>
      </w:r>
    </w:p>
    <w:p w:rsidR="00C0730A" w:rsidRPr="00C0730A"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The research on the integration of STEM Education in Nautical and Technical Majors among junior cadets has provided valuable insights into the challenges, opportunities, and implications within the maritime education sector. Through qualitative analysis, participant interviews, and document scrutiny, the study has illuminated the complex interplay between STEM integration, international standards, identified needs, and professionalism, shedding light on the multifaceted nature of educational practices and pol</w:t>
      </w:r>
      <w:r>
        <w:rPr>
          <w:rFonts w:ascii="Times New Roman" w:eastAsia="Calibri" w:hAnsi="Times New Roman" w:cs="Times New Roman"/>
          <w:bCs/>
          <w:lang w:val="en-ID"/>
        </w:rPr>
        <w:t>icy within the maritime domain.</w:t>
      </w:r>
      <w:r>
        <w:rPr>
          <w:rFonts w:ascii="Times New Roman" w:eastAsia="Calibri" w:hAnsi="Times New Roman" w:cs="Times New Roman"/>
          <w:bCs/>
        </w:rPr>
        <w:t xml:space="preserve"> T</w:t>
      </w:r>
      <w:r w:rsidRPr="00C0730A">
        <w:rPr>
          <w:rFonts w:ascii="Times New Roman" w:eastAsia="Calibri" w:hAnsi="Times New Roman" w:cs="Times New Roman"/>
          <w:bCs/>
          <w:lang w:val="en-ID"/>
        </w:rPr>
        <w:t xml:space="preserve">he findings underscore the importance of aligning educational practices with international standards, particularly those outlined by the International Maritime Organization's (IMO) Standards of Training, Certification, and </w:t>
      </w:r>
      <w:proofErr w:type="spellStart"/>
      <w:r w:rsidRPr="00C0730A">
        <w:rPr>
          <w:rFonts w:ascii="Times New Roman" w:eastAsia="Calibri" w:hAnsi="Times New Roman" w:cs="Times New Roman"/>
          <w:bCs/>
          <w:lang w:val="en-ID"/>
        </w:rPr>
        <w:t>Watchkeeping</w:t>
      </w:r>
      <w:proofErr w:type="spellEnd"/>
      <w:r w:rsidRPr="00C0730A">
        <w:rPr>
          <w:rFonts w:ascii="Times New Roman" w:eastAsia="Calibri" w:hAnsi="Times New Roman" w:cs="Times New Roman"/>
          <w:bCs/>
          <w:lang w:val="en-ID"/>
        </w:rPr>
        <w:t xml:space="preserve"> (STCW) convention, to ensure that maritime education programs meet industry requirements and equip students with the competencies necessary for success in the maritime profession. The identification of needs within the maritime education sector, including the provision of practical training opportunities, technological integration, industry exposure, and soft skills development, highlights the evolving nature of the maritime industry and the demands placed on future maritime professionals to possess a diverse skill set.</w:t>
      </w:r>
    </w:p>
    <w:p w:rsidR="00C0730A" w:rsidRPr="00C0730A"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sidRPr="00C0730A">
        <w:rPr>
          <w:rFonts w:ascii="Times New Roman" w:eastAsia="Calibri" w:hAnsi="Times New Roman" w:cs="Times New Roman"/>
          <w:bCs/>
          <w:lang w:val="en-ID"/>
        </w:rPr>
        <w:t xml:space="preserve">Moreover, the emphasis on professionalism within maritime education underscores the importance of fostering a culture of excellence, integrity, and ethical </w:t>
      </w:r>
      <w:proofErr w:type="spellStart"/>
      <w:r w:rsidRPr="00C0730A">
        <w:rPr>
          <w:rFonts w:ascii="Times New Roman" w:eastAsia="Calibri" w:hAnsi="Times New Roman" w:cs="Times New Roman"/>
          <w:bCs/>
          <w:lang w:val="en-ID"/>
        </w:rPr>
        <w:t>behavior</w:t>
      </w:r>
      <w:proofErr w:type="spellEnd"/>
      <w:r w:rsidRPr="00C0730A">
        <w:rPr>
          <w:rFonts w:ascii="Times New Roman" w:eastAsia="Calibri" w:hAnsi="Times New Roman" w:cs="Times New Roman"/>
          <w:bCs/>
          <w:lang w:val="en-ID"/>
        </w:rPr>
        <w:t xml:space="preserve"> among students, preparing them to navigate the complexities of the maritime industry with competence and confidence. By addressing these challenges and opportunities, educational institutions can enhance the quality, relevance, and effectiveness of maritime education programs, thereby better preparing students for successful ca</w:t>
      </w:r>
      <w:r>
        <w:rPr>
          <w:rFonts w:ascii="Times New Roman" w:eastAsia="Calibri" w:hAnsi="Times New Roman" w:cs="Times New Roman"/>
          <w:bCs/>
          <w:lang w:val="en-ID"/>
        </w:rPr>
        <w:t>reers in the maritime industry.</w:t>
      </w:r>
      <w:r>
        <w:rPr>
          <w:rFonts w:ascii="Times New Roman" w:eastAsia="Calibri" w:hAnsi="Times New Roman" w:cs="Times New Roman"/>
          <w:bCs/>
        </w:rPr>
        <w:t xml:space="preserve"> </w:t>
      </w:r>
      <w:r w:rsidRPr="00C0730A">
        <w:rPr>
          <w:rFonts w:ascii="Times New Roman" w:eastAsia="Calibri" w:hAnsi="Times New Roman" w:cs="Times New Roman"/>
          <w:bCs/>
          <w:lang w:val="en-ID"/>
        </w:rPr>
        <w:t xml:space="preserve">Moving forward, future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should focus on longitudinal studies tracking the career trajectories of graduates from maritime education programs, comparative studies examining STEM integration initiatives across different educational settings, and qualitative studies exploring the perspectives of industry stakeholders. By addressing these research gaps, future studies can contribute to the ongoing discourse surrounding maritime education reform, curriculum development, and professionalization efforts within the maritime industry.</w:t>
      </w:r>
    </w:p>
    <w:p w:rsidR="00A20815"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C0730A">
        <w:rPr>
          <w:rFonts w:ascii="Times New Roman" w:eastAsia="Calibri" w:hAnsi="Times New Roman" w:cs="Times New Roman"/>
          <w:bCs/>
          <w:lang w:val="en-ID"/>
        </w:rPr>
        <w:t xml:space="preserve">he research on the integration of STEM Education in Nautical and Technical Majors among junior cadets has significant implications for educational practice, policy, and future research </w:t>
      </w:r>
      <w:proofErr w:type="spellStart"/>
      <w:r w:rsidRPr="00C0730A">
        <w:rPr>
          <w:rFonts w:ascii="Times New Roman" w:eastAsia="Calibri" w:hAnsi="Times New Roman" w:cs="Times New Roman"/>
          <w:bCs/>
          <w:lang w:val="en-ID"/>
        </w:rPr>
        <w:t>endeavors</w:t>
      </w:r>
      <w:proofErr w:type="spellEnd"/>
      <w:r w:rsidRPr="00C0730A">
        <w:rPr>
          <w:rFonts w:ascii="Times New Roman" w:eastAsia="Calibri" w:hAnsi="Times New Roman" w:cs="Times New Roman"/>
          <w:bCs/>
          <w:lang w:val="en-ID"/>
        </w:rPr>
        <w:t xml:space="preserve"> within the maritime education sector. By aligning with international standards, addressing identified needs, promoting professionalism, and exploring future research directions, educational institutions can enhance the quality, relevance, and effectiveness of maritime education programs, thereby better preparing students for successful careers in the maritime industry.</w:t>
      </w:r>
      <w:r w:rsidR="00DA1E36" w:rsidRPr="00DA1E36">
        <w:rPr>
          <w:rFonts w:ascii="Times New Roman" w:eastAsia="Calibri" w:hAnsi="Times New Roman" w:cs="Times New Roman"/>
          <w:bCs/>
          <w:lang w:val="en-ID"/>
        </w:rPr>
        <w:t xml:space="preserve"> </w:t>
      </w:r>
    </w:p>
    <w:p w:rsidR="00A20815"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F01A26">
        <w:rPr>
          <w:rFonts w:ascii="Times New Roman" w:hAnsi="Times New Roman" w:cs="Times New Roman"/>
          <w:noProof/>
          <w:szCs w:val="24"/>
        </w:rPr>
        <w:t xml:space="preserve">Bankole, O. A., Lalitha, V. V. M., Khan, H. U., &amp; Jinugu, A. (2017). Information technology in the maritime industry past, present and future: focus on lng carriers. </w:t>
      </w:r>
      <w:r w:rsidRPr="00F01A26">
        <w:rPr>
          <w:rFonts w:ascii="Times New Roman" w:hAnsi="Times New Roman" w:cs="Times New Roman"/>
          <w:i/>
          <w:iCs/>
          <w:noProof/>
          <w:szCs w:val="24"/>
        </w:rPr>
        <w:t>2017 IEEE 7th International Advance Computing Conference (IACC)</w:t>
      </w:r>
      <w:r w:rsidRPr="00F01A26">
        <w:rPr>
          <w:rFonts w:ascii="Times New Roman" w:hAnsi="Times New Roman" w:cs="Times New Roman"/>
          <w:noProof/>
          <w:szCs w:val="24"/>
        </w:rPr>
        <w:t>, 759–763.</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Cicek, K., Akyuz, E., &amp; Celik, M. (2019). Future skills requirements analysis in maritime industry. </w:t>
      </w:r>
      <w:r w:rsidRPr="00F01A26">
        <w:rPr>
          <w:rFonts w:ascii="Times New Roman" w:hAnsi="Times New Roman" w:cs="Times New Roman"/>
          <w:i/>
          <w:iCs/>
          <w:noProof/>
          <w:szCs w:val="24"/>
        </w:rPr>
        <w:t>Procedia Computer Science</w:t>
      </w:r>
      <w:r w:rsidRPr="00F01A26">
        <w:rPr>
          <w:rFonts w:ascii="Times New Roman" w:hAnsi="Times New Roman" w:cs="Times New Roman"/>
          <w:noProof/>
          <w:szCs w:val="24"/>
        </w:rPr>
        <w:t xml:space="preserve">, </w:t>
      </w:r>
      <w:r w:rsidRPr="00F01A26">
        <w:rPr>
          <w:rFonts w:ascii="Times New Roman" w:hAnsi="Times New Roman" w:cs="Times New Roman"/>
          <w:i/>
          <w:iCs/>
          <w:noProof/>
          <w:szCs w:val="24"/>
        </w:rPr>
        <w:t>158</w:t>
      </w:r>
      <w:r w:rsidRPr="00F01A26">
        <w:rPr>
          <w:rFonts w:ascii="Times New Roman" w:hAnsi="Times New Roman" w:cs="Times New Roman"/>
          <w:noProof/>
          <w:szCs w:val="24"/>
        </w:rPr>
        <w:t>, 270–274.</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Colley, H., James, D., Diment, K., &amp; Tedder, M. (2003). Learning as becoming in vocational education and training: class, gender and the role of vocational habitus. </w:t>
      </w:r>
      <w:r w:rsidRPr="00F01A26">
        <w:rPr>
          <w:rFonts w:ascii="Times New Roman" w:hAnsi="Times New Roman" w:cs="Times New Roman"/>
          <w:i/>
          <w:iCs/>
          <w:noProof/>
          <w:szCs w:val="24"/>
        </w:rPr>
        <w:t>Journal of Vocational Education and Training</w:t>
      </w:r>
      <w:r w:rsidRPr="00F01A26">
        <w:rPr>
          <w:rFonts w:ascii="Times New Roman" w:hAnsi="Times New Roman" w:cs="Times New Roman"/>
          <w:noProof/>
          <w:szCs w:val="24"/>
        </w:rPr>
        <w:t xml:space="preserve">, </w:t>
      </w:r>
      <w:r w:rsidRPr="00F01A26">
        <w:rPr>
          <w:rFonts w:ascii="Times New Roman" w:hAnsi="Times New Roman" w:cs="Times New Roman"/>
          <w:i/>
          <w:iCs/>
          <w:noProof/>
          <w:szCs w:val="24"/>
        </w:rPr>
        <w:t>55</w:t>
      </w:r>
      <w:r w:rsidRPr="00F01A26">
        <w:rPr>
          <w:rFonts w:ascii="Times New Roman" w:hAnsi="Times New Roman" w:cs="Times New Roman"/>
          <w:noProof/>
          <w:szCs w:val="24"/>
        </w:rPr>
        <w:t>(4), 471–498.</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Grech, M., Horberry, T., &amp; Koester, T. (2008). </w:t>
      </w:r>
      <w:r w:rsidRPr="00F01A26">
        <w:rPr>
          <w:rFonts w:ascii="Times New Roman" w:hAnsi="Times New Roman" w:cs="Times New Roman"/>
          <w:i/>
          <w:iCs/>
          <w:noProof/>
          <w:szCs w:val="24"/>
        </w:rPr>
        <w:t>Human factors in the maritime domain</w:t>
      </w:r>
      <w:r w:rsidRPr="00F01A26">
        <w:rPr>
          <w:rFonts w:ascii="Times New Roman" w:hAnsi="Times New Roman" w:cs="Times New Roman"/>
          <w:noProof/>
          <w:szCs w:val="24"/>
        </w:rPr>
        <w:t>. CRC press.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House, D., &amp; Saeed, F. (2016). </w:t>
      </w:r>
      <w:r w:rsidRPr="00F01A26">
        <w:rPr>
          <w:rFonts w:ascii="Times New Roman" w:hAnsi="Times New Roman" w:cs="Times New Roman"/>
          <w:i/>
          <w:iCs/>
          <w:noProof/>
          <w:szCs w:val="24"/>
        </w:rPr>
        <w:t>The seamanship examiner: for STCW certification examinations</w:t>
      </w:r>
      <w:r w:rsidRPr="00F01A26">
        <w:rPr>
          <w:rFonts w:ascii="Times New Roman" w:hAnsi="Times New Roman" w:cs="Times New Roman"/>
          <w:noProof/>
          <w:szCs w:val="24"/>
        </w:rPr>
        <w:t>. Taylor &amp; Francis.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Ilter, A. T., &amp; Karacar, P. (2020). Mobile Technology and Social Media Literacy. In </w:t>
      </w:r>
      <w:r w:rsidRPr="00F01A26">
        <w:rPr>
          <w:rFonts w:ascii="Times New Roman" w:hAnsi="Times New Roman" w:cs="Times New Roman"/>
          <w:i/>
          <w:iCs/>
          <w:noProof/>
          <w:szCs w:val="24"/>
        </w:rPr>
        <w:t>Advances in Media, Entertainment, and the Arts</w:t>
      </w:r>
      <w:r w:rsidRPr="00F01A26">
        <w:rPr>
          <w:rFonts w:ascii="Times New Roman" w:hAnsi="Times New Roman" w:cs="Times New Roman"/>
          <w:noProof/>
          <w:szCs w:val="24"/>
        </w:rPr>
        <w:t xml:space="preserve"> (pp. 180–196). IGI Global. https://doi.org/10.4018/978-1-7998-1534-1.ch010</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Kadhm, S. J. (2021). Validation of Sherouk’s Critical Thinking Test (SH-CTT). In </w:t>
      </w:r>
      <w:r w:rsidRPr="00F01A26">
        <w:rPr>
          <w:rFonts w:ascii="Times New Roman" w:hAnsi="Times New Roman" w:cs="Times New Roman"/>
          <w:i/>
          <w:iCs/>
          <w:noProof/>
          <w:szCs w:val="24"/>
        </w:rPr>
        <w:t>Research Anthology on Developing Critical Thinking Skills in Students</w:t>
      </w:r>
      <w:r w:rsidRPr="00F01A26">
        <w:rPr>
          <w:rFonts w:ascii="Times New Roman" w:hAnsi="Times New Roman" w:cs="Times New Roman"/>
          <w:noProof/>
          <w:szCs w:val="24"/>
        </w:rPr>
        <w:t xml:space="preserve"> (pp. 1345–1356). IGI Global. https://doi.org/10.4018/978-1-7998-3022-1.ch070</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lastRenderedPageBreak/>
        <w:t xml:space="preserve">Nalupa, H. D. V. (2022). </w:t>
      </w:r>
      <w:r w:rsidRPr="00F01A26">
        <w:rPr>
          <w:rFonts w:ascii="Times New Roman" w:hAnsi="Times New Roman" w:cs="Times New Roman"/>
          <w:i/>
          <w:iCs/>
          <w:noProof/>
          <w:szCs w:val="24"/>
        </w:rPr>
        <w:t>Challenges and opportunities for maritime education and training in the 4th industrial revolution</w:t>
      </w:r>
      <w:r w:rsidRPr="00F01A26">
        <w:rPr>
          <w:rFonts w:ascii="Times New Roman" w:hAnsi="Times New Roman" w:cs="Times New Roman"/>
          <w:noProof/>
          <w:szCs w:val="24"/>
        </w:rPr>
        <w:t>.</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Neilson, B., &amp; Rossiter, N. (2013). Still waiting, still moving: On labour, logistics and maritime industries. In </w:t>
      </w:r>
      <w:r w:rsidRPr="00F01A26">
        <w:rPr>
          <w:rFonts w:ascii="Times New Roman" w:hAnsi="Times New Roman" w:cs="Times New Roman"/>
          <w:i/>
          <w:iCs/>
          <w:noProof/>
          <w:szCs w:val="24"/>
        </w:rPr>
        <w:t>Stillness in a mobile world</w:t>
      </w:r>
      <w:r w:rsidRPr="00F01A26">
        <w:rPr>
          <w:rFonts w:ascii="Times New Roman" w:hAnsi="Times New Roman" w:cs="Times New Roman"/>
          <w:noProof/>
          <w:szCs w:val="24"/>
        </w:rPr>
        <w:t xml:space="preserve"> (pp. 51–68). Routledge.</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Padgett, D. K. (2016). </w:t>
      </w:r>
      <w:r w:rsidRPr="00F01A26">
        <w:rPr>
          <w:rFonts w:ascii="Times New Roman" w:hAnsi="Times New Roman" w:cs="Times New Roman"/>
          <w:i/>
          <w:iCs/>
          <w:noProof/>
          <w:szCs w:val="24"/>
        </w:rPr>
        <w:t>Qualitative methods in social work research</w:t>
      </w:r>
      <w:r w:rsidRPr="00F01A26">
        <w:rPr>
          <w:rFonts w:ascii="Times New Roman" w:hAnsi="Times New Roman" w:cs="Times New Roman"/>
          <w:noProof/>
          <w:szCs w:val="24"/>
        </w:rPr>
        <w:t xml:space="preserve"> (Vol. 36). Sage publications.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Sarosa, S. (2021). </w:t>
      </w:r>
      <w:r w:rsidRPr="00F01A26">
        <w:rPr>
          <w:rFonts w:ascii="Times New Roman" w:hAnsi="Times New Roman" w:cs="Times New Roman"/>
          <w:i/>
          <w:iCs/>
          <w:noProof/>
          <w:szCs w:val="24"/>
        </w:rPr>
        <w:t>Analisis Data Penelitian Kualitatif</w:t>
      </w:r>
      <w:r w:rsidRPr="00F01A26">
        <w:rPr>
          <w:rFonts w:ascii="Times New Roman" w:hAnsi="Times New Roman" w:cs="Times New Roman"/>
          <w:noProof/>
          <w:szCs w:val="24"/>
        </w:rPr>
        <w:t>. Pt Kanisius.</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szCs w:val="24"/>
        </w:rPr>
      </w:pPr>
      <w:r w:rsidRPr="00F01A26">
        <w:rPr>
          <w:rFonts w:ascii="Times New Roman" w:hAnsi="Times New Roman" w:cs="Times New Roman"/>
          <w:noProof/>
          <w:szCs w:val="24"/>
        </w:rPr>
        <w:t xml:space="preserve">Sharma, A., Kim, T., Nazir, S., &amp; Chae, C. (2019). Catching up with time? Examining the STCW competence framework for autonomous shipping. </w:t>
      </w:r>
      <w:r w:rsidRPr="00F01A26">
        <w:rPr>
          <w:rFonts w:ascii="Times New Roman" w:hAnsi="Times New Roman" w:cs="Times New Roman"/>
          <w:i/>
          <w:iCs/>
          <w:noProof/>
          <w:szCs w:val="24"/>
        </w:rPr>
        <w:t>Proceedings of the Ergoship Conference, Haugesund, Norway</w:t>
      </w:r>
      <w:r w:rsidRPr="00F01A26">
        <w:rPr>
          <w:rFonts w:ascii="Times New Roman" w:hAnsi="Times New Roman" w:cs="Times New Roman"/>
          <w:noProof/>
          <w:szCs w:val="24"/>
        </w:rPr>
        <w:t>, 24–25.</w:t>
      </w:r>
    </w:p>
    <w:p w:rsidR="00F01A26" w:rsidRPr="00F01A26" w:rsidRDefault="00F01A26" w:rsidP="00F01A26">
      <w:pPr>
        <w:widowControl w:val="0"/>
        <w:autoSpaceDE w:val="0"/>
        <w:autoSpaceDN w:val="0"/>
        <w:adjustRightInd w:val="0"/>
        <w:spacing w:after="0" w:line="240" w:lineRule="auto"/>
        <w:ind w:left="480" w:hanging="480"/>
        <w:rPr>
          <w:rFonts w:ascii="Times New Roman" w:hAnsi="Times New Roman" w:cs="Times New Roman"/>
          <w:noProof/>
        </w:rPr>
      </w:pPr>
      <w:r w:rsidRPr="00F01A26">
        <w:rPr>
          <w:rFonts w:ascii="Times New Roman" w:hAnsi="Times New Roman" w:cs="Times New Roman"/>
          <w:noProof/>
          <w:szCs w:val="24"/>
        </w:rPr>
        <w:t xml:space="preserve">WEINTRIT, A. (2005). IAMU model course on ECDIS. </w:t>
      </w:r>
      <w:r w:rsidRPr="00F01A26">
        <w:rPr>
          <w:rFonts w:ascii="Times New Roman" w:hAnsi="Times New Roman" w:cs="Times New Roman"/>
          <w:i/>
          <w:iCs/>
          <w:noProof/>
          <w:szCs w:val="24"/>
        </w:rPr>
        <w:t>Maritime Security and MET</w:t>
      </w:r>
      <w:r w:rsidRPr="00F01A26">
        <w:rPr>
          <w:rFonts w:ascii="Times New Roman" w:hAnsi="Times New Roman" w:cs="Times New Roman"/>
          <w:noProof/>
          <w:szCs w:val="24"/>
        </w:rPr>
        <w:t>, 35–44.</w:t>
      </w:r>
    </w:p>
    <w:p w:rsidR="00A20815" w:rsidRDefault="00F01A26"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A5F" w:rsidRDefault="002C0A5F" w:rsidP="00BD3DF2">
      <w:pPr>
        <w:spacing w:after="0" w:line="240" w:lineRule="auto"/>
      </w:pPr>
      <w:r>
        <w:separator/>
      </w:r>
    </w:p>
  </w:endnote>
  <w:endnote w:type="continuationSeparator" w:id="0">
    <w:p w:rsidR="002C0A5F" w:rsidRDefault="002C0A5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324206">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A5F" w:rsidRDefault="002C0A5F" w:rsidP="00BD3DF2">
      <w:pPr>
        <w:spacing w:after="0" w:line="240" w:lineRule="auto"/>
      </w:pPr>
      <w:r>
        <w:separator/>
      </w:r>
    </w:p>
  </w:footnote>
  <w:footnote w:type="continuationSeparator" w:id="0">
    <w:p w:rsidR="002C0A5F" w:rsidRDefault="002C0A5F"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A7733"/>
    <w:rsid w:val="000B2834"/>
    <w:rsid w:val="000C17E4"/>
    <w:rsid w:val="000C31DF"/>
    <w:rsid w:val="000C5A7E"/>
    <w:rsid w:val="000C6E91"/>
    <w:rsid w:val="000D0AC6"/>
    <w:rsid w:val="000E5FB5"/>
    <w:rsid w:val="000E6927"/>
    <w:rsid w:val="001221B0"/>
    <w:rsid w:val="0014123F"/>
    <w:rsid w:val="001423B4"/>
    <w:rsid w:val="00166D83"/>
    <w:rsid w:val="00167ABC"/>
    <w:rsid w:val="001807B9"/>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9725F"/>
    <w:rsid w:val="002A73E1"/>
    <w:rsid w:val="002B31E0"/>
    <w:rsid w:val="002C0A5F"/>
    <w:rsid w:val="002D5658"/>
    <w:rsid w:val="002F11B1"/>
    <w:rsid w:val="00314187"/>
    <w:rsid w:val="00315AC0"/>
    <w:rsid w:val="00324206"/>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1329"/>
    <w:rsid w:val="004A318B"/>
    <w:rsid w:val="004B27FD"/>
    <w:rsid w:val="004B2F9C"/>
    <w:rsid w:val="004D666F"/>
    <w:rsid w:val="004E4C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51C98"/>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97073"/>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170B"/>
    <w:rsid w:val="00AA4294"/>
    <w:rsid w:val="00AC532E"/>
    <w:rsid w:val="00AF5ED5"/>
    <w:rsid w:val="00AF623A"/>
    <w:rsid w:val="00B03EFF"/>
    <w:rsid w:val="00B0553E"/>
    <w:rsid w:val="00B249C9"/>
    <w:rsid w:val="00B3034B"/>
    <w:rsid w:val="00B329CF"/>
    <w:rsid w:val="00B5153F"/>
    <w:rsid w:val="00B53B02"/>
    <w:rsid w:val="00B57E80"/>
    <w:rsid w:val="00B6161E"/>
    <w:rsid w:val="00B71E3A"/>
    <w:rsid w:val="00B81A52"/>
    <w:rsid w:val="00B81D9E"/>
    <w:rsid w:val="00BA1FD2"/>
    <w:rsid w:val="00BC2F62"/>
    <w:rsid w:val="00BC75CA"/>
    <w:rsid w:val="00BD3DF2"/>
    <w:rsid w:val="00C050E6"/>
    <w:rsid w:val="00C05853"/>
    <w:rsid w:val="00C0730A"/>
    <w:rsid w:val="00C12717"/>
    <w:rsid w:val="00C23B5D"/>
    <w:rsid w:val="00C31ED1"/>
    <w:rsid w:val="00C35A97"/>
    <w:rsid w:val="00C41A0A"/>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5A9E"/>
    <w:rsid w:val="00E07381"/>
    <w:rsid w:val="00E20CEC"/>
    <w:rsid w:val="00E2165D"/>
    <w:rsid w:val="00E26505"/>
    <w:rsid w:val="00E75F8F"/>
    <w:rsid w:val="00E80032"/>
    <w:rsid w:val="00E82193"/>
    <w:rsid w:val="00EA3E26"/>
    <w:rsid w:val="00EC0792"/>
    <w:rsid w:val="00EF1263"/>
    <w:rsid w:val="00EF2E8F"/>
    <w:rsid w:val="00F01A26"/>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75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C073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65063686">
      <w:bodyDiv w:val="1"/>
      <w:marLeft w:val="0"/>
      <w:marRight w:val="0"/>
      <w:marTop w:val="0"/>
      <w:marBottom w:val="0"/>
      <w:divBdr>
        <w:top w:val="none" w:sz="0" w:space="0" w:color="auto"/>
        <w:left w:val="none" w:sz="0" w:space="0" w:color="auto"/>
        <w:bottom w:val="none" w:sz="0" w:space="0" w:color="auto"/>
        <w:right w:val="none" w:sz="0" w:space="0" w:color="auto"/>
      </w:divBdr>
      <w:divsChild>
        <w:div w:id="321857933">
          <w:marLeft w:val="0"/>
          <w:marRight w:val="0"/>
          <w:marTop w:val="0"/>
          <w:marBottom w:val="0"/>
          <w:divBdr>
            <w:top w:val="single" w:sz="2" w:space="0" w:color="E3E3E3"/>
            <w:left w:val="single" w:sz="2" w:space="0" w:color="E3E3E3"/>
            <w:bottom w:val="single" w:sz="2" w:space="0" w:color="E3E3E3"/>
            <w:right w:val="single" w:sz="2" w:space="0" w:color="E3E3E3"/>
          </w:divBdr>
          <w:divsChild>
            <w:div w:id="169904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96760740">
      <w:bodyDiv w:val="1"/>
      <w:marLeft w:val="0"/>
      <w:marRight w:val="0"/>
      <w:marTop w:val="0"/>
      <w:marBottom w:val="0"/>
      <w:divBdr>
        <w:top w:val="none" w:sz="0" w:space="0" w:color="auto"/>
        <w:left w:val="none" w:sz="0" w:space="0" w:color="auto"/>
        <w:bottom w:val="none" w:sz="0" w:space="0" w:color="auto"/>
        <w:right w:val="none" w:sz="0" w:space="0" w:color="auto"/>
      </w:divBdr>
    </w:div>
    <w:div w:id="1008824172">
      <w:bodyDiv w:val="1"/>
      <w:marLeft w:val="0"/>
      <w:marRight w:val="0"/>
      <w:marTop w:val="0"/>
      <w:marBottom w:val="0"/>
      <w:divBdr>
        <w:top w:val="none" w:sz="0" w:space="0" w:color="auto"/>
        <w:left w:val="none" w:sz="0" w:space="0" w:color="auto"/>
        <w:bottom w:val="none" w:sz="0" w:space="0" w:color="auto"/>
        <w:right w:val="none" w:sz="0" w:space="0" w:color="auto"/>
      </w:divBdr>
    </w:div>
    <w:div w:id="1442842680">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885192">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51654780">
      <w:bodyDiv w:val="1"/>
      <w:marLeft w:val="0"/>
      <w:marRight w:val="0"/>
      <w:marTop w:val="0"/>
      <w:marBottom w:val="0"/>
      <w:divBdr>
        <w:top w:val="none" w:sz="0" w:space="0" w:color="auto"/>
        <w:left w:val="none" w:sz="0" w:space="0" w:color="auto"/>
        <w:bottom w:val="none" w:sz="0" w:space="0" w:color="auto"/>
        <w:right w:val="none" w:sz="0" w:space="0" w:color="auto"/>
      </w:divBdr>
    </w:div>
    <w:div w:id="2026010826">
      <w:bodyDiv w:val="1"/>
      <w:marLeft w:val="0"/>
      <w:marRight w:val="0"/>
      <w:marTop w:val="0"/>
      <w:marBottom w:val="0"/>
      <w:divBdr>
        <w:top w:val="none" w:sz="0" w:space="0" w:color="auto"/>
        <w:left w:val="none" w:sz="0" w:space="0" w:color="auto"/>
        <w:bottom w:val="none" w:sz="0" w:space="0" w:color="auto"/>
        <w:right w:val="none" w:sz="0" w:space="0" w:color="auto"/>
      </w:divBdr>
    </w:div>
    <w:div w:id="2082756142">
      <w:bodyDiv w:val="1"/>
      <w:marLeft w:val="0"/>
      <w:marRight w:val="0"/>
      <w:marTop w:val="0"/>
      <w:marBottom w:val="0"/>
      <w:divBdr>
        <w:top w:val="none" w:sz="0" w:space="0" w:color="auto"/>
        <w:left w:val="none" w:sz="0" w:space="0" w:color="auto"/>
        <w:bottom w:val="none" w:sz="0" w:space="0" w:color="auto"/>
        <w:right w:val="none" w:sz="0" w:space="0" w:color="auto"/>
      </w:divBdr>
    </w:div>
    <w:div w:id="21370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de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pambud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dmarudu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nde.sijaba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441D958-1327-4E0B-B3C6-01AA09B9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7230</Words>
  <Characters>41215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3</cp:revision>
  <cp:lastPrinted>2019-05-24T02:53:00Z</cp:lastPrinted>
  <dcterms:created xsi:type="dcterms:W3CDTF">2024-02-16T02:56:00Z</dcterms:created>
  <dcterms:modified xsi:type="dcterms:W3CDTF">2024-02-16T03:17:00Z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