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0E" w:rsidRPr="00156D00" w:rsidRDefault="002930A1" w:rsidP="003C5E0E">
      <w:pPr>
        <w:spacing w:after="0" w:line="240" w:lineRule="auto"/>
        <w:jc w:val="center"/>
        <w:rPr>
          <w:rFonts w:ascii="Times New Roman" w:hAnsi="Times New Roman" w:cs="Times New Roman"/>
          <w:color w:val="FF0000"/>
          <w:lang w:val="en-US"/>
        </w:rPr>
      </w:pPr>
      <w:r w:rsidRPr="00156D00">
        <w:rPr>
          <w:rFonts w:ascii="Times New Roman" w:hAnsi="Times New Roman" w:cs="Times New Roman"/>
          <w:color w:val="FF0000"/>
          <w:lang w:val="en-US"/>
        </w:rPr>
        <w:t>http://ejournal.stipjakarta.</w:t>
      </w:r>
      <w:r w:rsidR="005E3175" w:rsidRPr="00156D00">
        <w:rPr>
          <w:rFonts w:ascii="Times New Roman" w:hAnsi="Times New Roman" w:cs="Times New Roman"/>
          <w:color w:val="FF0000"/>
          <w:lang w:val="en-US"/>
        </w:rPr>
        <w:t>ac</w:t>
      </w:r>
      <w:r w:rsidRPr="00156D00">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RPr="00156D00"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Pr="00156D00" w:rsidRDefault="00DB5E65" w:rsidP="0025468B">
            <w:pPr>
              <w:autoSpaceDE w:val="0"/>
              <w:autoSpaceDN w:val="0"/>
              <w:adjustRightInd w:val="0"/>
              <w:jc w:val="center"/>
              <w:rPr>
                <w:rFonts w:ascii="Times New Roman" w:hAnsi="Times New Roman" w:cs="Times New Roman"/>
                <w:noProof/>
                <w:lang w:eastAsia="id-ID"/>
              </w:rPr>
            </w:pPr>
            <w:bookmarkStart w:id="0" w:name="_Hlk480318415"/>
            <w:r w:rsidRPr="00156D00">
              <w:rPr>
                <w:rFonts w:ascii="Times New Roman" w:hAnsi="Times New Roman" w:cs="Times New Roman"/>
                <w:noProof/>
                <w:lang w:val="en-ID" w:eastAsia="en-ID"/>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156D0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56D00">
              <w:rPr>
                <w:rFonts w:ascii="Times New Roman" w:eastAsia="Calibri" w:hAnsi="Times New Roman" w:cs="Times New Roman"/>
                <w:b w:val="0"/>
                <w:i/>
                <w:color w:val="1F497D" w:themeColor="text2"/>
                <w:sz w:val="66"/>
                <w:szCs w:val="66"/>
                <w:lang w:val="en-US"/>
              </w:rPr>
              <w:t>METEOR</w:t>
            </w:r>
            <w:r w:rsidR="001C79A0" w:rsidRPr="00156D00">
              <w:rPr>
                <w:rFonts w:ascii="Times New Roman" w:eastAsia="Calibri" w:hAnsi="Times New Roman" w:cs="Times New Roman"/>
                <w:b w:val="0"/>
                <w:i/>
                <w:color w:val="1F497D" w:themeColor="text2"/>
                <w:sz w:val="66"/>
                <w:szCs w:val="66"/>
                <w:lang w:val="en-US"/>
              </w:rPr>
              <w:t xml:space="preserve"> STIP MARUNDA</w:t>
            </w:r>
          </w:p>
        </w:tc>
      </w:tr>
      <w:tr w:rsidR="00DB5E65" w:rsidRPr="00156D00"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Pr="00156D00"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156D00">
              <w:rPr>
                <w:rFonts w:ascii="Times New Roman" w:hAnsi="Times New Roman" w:cs="Times New Roman"/>
                <w:b w:val="0"/>
                <w:noProof/>
                <w:sz w:val="16"/>
                <w:szCs w:val="16"/>
                <w:lang w:eastAsia="id-ID"/>
              </w:rPr>
              <w:t>ISSN</w:t>
            </w:r>
            <w:r w:rsidR="00893A3F" w:rsidRPr="00156D00">
              <w:rPr>
                <w:rFonts w:ascii="Times New Roman" w:hAnsi="Times New Roman" w:cs="Times New Roman"/>
                <w:b w:val="0"/>
                <w:noProof/>
                <w:sz w:val="16"/>
                <w:szCs w:val="16"/>
                <w:lang w:val="en-US" w:eastAsia="id-ID"/>
              </w:rPr>
              <w:t xml:space="preserve">  </w:t>
            </w:r>
            <w:r w:rsidRPr="00156D00">
              <w:rPr>
                <w:rFonts w:ascii="Times New Roman" w:hAnsi="Times New Roman" w:cs="Times New Roman"/>
                <w:b w:val="0"/>
                <w:noProof/>
                <w:sz w:val="16"/>
                <w:szCs w:val="16"/>
                <w:lang w:eastAsia="id-ID"/>
              </w:rPr>
              <w:t xml:space="preserve"> </w:t>
            </w:r>
            <w:r w:rsidR="00893A3F" w:rsidRPr="00156D00">
              <w:rPr>
                <w:rFonts w:ascii="Times New Roman" w:hAnsi="Times New Roman" w:cs="Times New Roman"/>
                <w:b w:val="0"/>
                <w:noProof/>
                <w:sz w:val="16"/>
                <w:szCs w:val="16"/>
                <w:lang w:val="en-US" w:eastAsia="id-ID"/>
              </w:rPr>
              <w:t xml:space="preserve"> </w:t>
            </w:r>
            <w:r w:rsidRPr="00156D00">
              <w:rPr>
                <w:rFonts w:ascii="Times New Roman" w:hAnsi="Times New Roman" w:cs="Times New Roman"/>
                <w:b w:val="0"/>
                <w:noProof/>
                <w:sz w:val="16"/>
                <w:szCs w:val="16"/>
                <w:lang w:eastAsia="id-ID"/>
              </w:rPr>
              <w:t xml:space="preserve">: </w:t>
            </w:r>
            <w:r w:rsidR="005F4B71" w:rsidRPr="00156D00">
              <w:rPr>
                <w:rFonts w:ascii="Times New Roman" w:hAnsi="Times New Roman" w:cs="Times New Roman"/>
                <w:b w:val="0"/>
                <w:noProof/>
                <w:sz w:val="16"/>
                <w:szCs w:val="16"/>
                <w:lang w:eastAsia="id-ID"/>
              </w:rPr>
              <w:t>1</w:t>
            </w:r>
            <w:r w:rsidR="005F4B71" w:rsidRPr="00156D00">
              <w:rPr>
                <w:rFonts w:ascii="Times New Roman" w:hAnsi="Times New Roman" w:cs="Times New Roman"/>
                <w:b w:val="0"/>
                <w:noProof/>
                <w:sz w:val="16"/>
                <w:szCs w:val="16"/>
                <w:lang w:val="en-US" w:eastAsia="id-ID"/>
              </w:rPr>
              <w:t xml:space="preserve">979 </w:t>
            </w:r>
            <w:r w:rsidR="002930A1" w:rsidRPr="00156D00">
              <w:rPr>
                <w:rFonts w:ascii="Times New Roman" w:hAnsi="Times New Roman" w:cs="Times New Roman"/>
                <w:b w:val="0"/>
                <w:noProof/>
                <w:sz w:val="16"/>
                <w:szCs w:val="16"/>
                <w:lang w:val="en-US" w:eastAsia="id-ID"/>
              </w:rPr>
              <w:t>–</w:t>
            </w:r>
            <w:r w:rsidR="005F4B71" w:rsidRPr="00156D00">
              <w:rPr>
                <w:rFonts w:ascii="Times New Roman" w:hAnsi="Times New Roman" w:cs="Times New Roman"/>
                <w:b w:val="0"/>
                <w:noProof/>
                <w:sz w:val="16"/>
                <w:szCs w:val="16"/>
                <w:lang w:val="en-US" w:eastAsia="id-ID"/>
              </w:rPr>
              <w:t xml:space="preserve"> 4746</w:t>
            </w:r>
          </w:p>
          <w:p w:rsidR="002930A1" w:rsidRPr="00156D00" w:rsidRDefault="002930A1" w:rsidP="002930A1">
            <w:pPr>
              <w:autoSpaceDE w:val="0"/>
              <w:autoSpaceDN w:val="0"/>
              <w:adjustRightInd w:val="0"/>
              <w:ind w:left="-90"/>
              <w:rPr>
                <w:rFonts w:ascii="Times New Roman" w:hAnsi="Times New Roman" w:cs="Times New Roman"/>
                <w:b w:val="0"/>
                <w:noProof/>
                <w:sz w:val="16"/>
                <w:szCs w:val="16"/>
                <w:lang w:val="en-US" w:eastAsia="id-ID"/>
              </w:rPr>
            </w:pPr>
            <w:r w:rsidRPr="00156D00">
              <w:rPr>
                <w:rFonts w:ascii="Times New Roman" w:hAnsi="Times New Roman" w:cs="Times New Roman"/>
                <w:b w:val="0"/>
                <w:noProof/>
                <w:sz w:val="16"/>
                <w:szCs w:val="16"/>
                <w:lang w:val="en-US" w:eastAsia="id-ID"/>
              </w:rPr>
              <w:t xml:space="preserve">EISSN </w:t>
            </w:r>
            <w:r w:rsidR="00893A3F" w:rsidRPr="00156D00">
              <w:rPr>
                <w:rFonts w:ascii="Times New Roman" w:hAnsi="Times New Roman" w:cs="Times New Roman"/>
                <w:b w:val="0"/>
                <w:noProof/>
                <w:sz w:val="16"/>
                <w:szCs w:val="16"/>
                <w:lang w:val="en-US" w:eastAsia="id-ID"/>
              </w:rPr>
              <w:t xml:space="preserve"> </w:t>
            </w:r>
            <w:r w:rsidRPr="00156D00">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Pr="00156D00"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56D00">
              <w:rPr>
                <w:rFonts w:ascii="Times New Roman" w:eastAsia="Calibri" w:hAnsi="Times New Roman" w:cs="Times New Roman"/>
                <w:b/>
                <w:i/>
                <w:color w:val="1F497D" w:themeColor="text2"/>
                <w:sz w:val="24"/>
                <w:szCs w:val="24"/>
                <w:lang w:val="en-US"/>
              </w:rPr>
              <w:t xml:space="preserve">JURNAL PENELITIAN ILMIAH </w:t>
            </w:r>
          </w:p>
          <w:p w:rsidR="0025468B" w:rsidRPr="00156D00"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6D00">
              <w:rPr>
                <w:rFonts w:ascii="Times New Roman" w:eastAsia="Calibri" w:hAnsi="Times New Roman" w:cs="Times New Roman"/>
                <w:b/>
                <w:i/>
                <w:color w:val="1F497D" w:themeColor="text2"/>
                <w:sz w:val="24"/>
                <w:szCs w:val="24"/>
                <w:lang w:val="en-US"/>
              </w:rPr>
              <w:t>SEKOLAH TINGGI ILMU PELAYARAN</w:t>
            </w:r>
          </w:p>
        </w:tc>
      </w:tr>
      <w:bookmarkEnd w:id="0"/>
    </w:tbl>
    <w:p w:rsidR="009C4BE4" w:rsidRPr="00156D00"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156D00"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2516A8" w:rsidRPr="00156D00" w:rsidRDefault="002516A8" w:rsidP="002516A8">
            <w:pPr>
              <w:jc w:val="center"/>
              <w:rPr>
                <w:rFonts w:ascii="Times New Roman" w:eastAsia="Calibri" w:hAnsi="Times New Roman" w:cs="Times New Roman"/>
                <w:sz w:val="28"/>
                <w:szCs w:val="32"/>
                <w:lang w:val="en-ID"/>
              </w:rPr>
            </w:pPr>
            <w:r w:rsidRPr="00156D00">
              <w:rPr>
                <w:rFonts w:ascii="Times New Roman" w:eastAsia="Calibri" w:hAnsi="Times New Roman" w:cs="Times New Roman"/>
                <w:sz w:val="28"/>
                <w:szCs w:val="32"/>
                <w:lang w:val="en-ID"/>
              </w:rPr>
              <w:t>Simulation-Based Learning in Maritime Training: Enhancing Competency and Preparedness</w:t>
            </w:r>
          </w:p>
          <w:p w:rsidR="0094162E" w:rsidRPr="00FE58DC" w:rsidRDefault="0094162E" w:rsidP="00373B88">
            <w:pPr>
              <w:autoSpaceDE w:val="0"/>
              <w:autoSpaceDN w:val="0"/>
              <w:adjustRightInd w:val="0"/>
              <w:jc w:val="center"/>
              <w:rPr>
                <w:rFonts w:ascii="Times New Roman" w:hAnsi="Times New Roman" w:cs="Times New Roman"/>
                <w:b w:val="0"/>
                <w:iCs/>
                <w:szCs w:val="20"/>
              </w:rPr>
            </w:pPr>
          </w:p>
          <w:p w:rsidR="00FE58DC" w:rsidRPr="00EB375B" w:rsidRDefault="00EF66AF" w:rsidP="00FE58DC">
            <w:pPr>
              <w:autoSpaceDE w:val="0"/>
              <w:autoSpaceDN w:val="0"/>
              <w:adjustRightInd w:val="0"/>
              <w:jc w:val="center"/>
              <w:rPr>
                <w:rFonts w:ascii="Times New Roman" w:eastAsia="Calibri" w:hAnsi="Times New Roman" w:cs="Times New Roman"/>
                <w:b w:val="0"/>
                <w:i/>
                <w:iCs/>
                <w:szCs w:val="20"/>
              </w:rPr>
            </w:pPr>
            <w:r w:rsidRPr="00E26D16">
              <w:rPr>
                <w:rFonts w:ascii="Times New Roman" w:hAnsi="Times New Roman" w:cs="Times New Roman"/>
                <w:b w:val="0"/>
                <w:i/>
                <w:iCs/>
                <w:szCs w:val="20"/>
              </w:rPr>
              <w:t>Asman Ala</w:t>
            </w:r>
            <w:r>
              <w:rPr>
                <w:rFonts w:ascii="Times New Roman" w:hAnsi="Times New Roman" w:cs="Times New Roman"/>
                <w:b w:val="0"/>
                <w:i/>
                <w:iCs/>
                <w:szCs w:val="20"/>
                <w:vertAlign w:val="superscript"/>
              </w:rPr>
              <w:t>1</w:t>
            </w:r>
            <w:r w:rsidRPr="00EB375B">
              <w:rPr>
                <w:rFonts w:ascii="Times New Roman" w:hAnsi="Times New Roman" w:cs="Times New Roman"/>
                <w:b w:val="0"/>
                <w:i/>
                <w:iCs/>
                <w:szCs w:val="20"/>
                <w:vertAlign w:val="superscript"/>
              </w:rPr>
              <w:t>)</w:t>
            </w:r>
            <w:r w:rsidRPr="00EB375B">
              <w:rPr>
                <w:rFonts w:ascii="Times New Roman" w:hAnsi="Times New Roman" w:cs="Times New Roman"/>
                <w:b w:val="0"/>
                <w:i/>
                <w:iCs/>
                <w:szCs w:val="20"/>
              </w:rPr>
              <w:t xml:space="preserve">  </w:t>
            </w:r>
            <w:r w:rsidR="00C622CB">
              <w:rPr>
                <w:rFonts w:ascii="Times New Roman" w:hAnsi="Times New Roman" w:cs="Times New Roman"/>
                <w:b w:val="0"/>
                <w:i/>
                <w:iCs/>
                <w:szCs w:val="20"/>
              </w:rPr>
              <w:t xml:space="preserve">, </w:t>
            </w:r>
            <w:r>
              <w:rPr>
                <w:rFonts w:ascii="Times New Roman" w:hAnsi="Times New Roman" w:cs="Times New Roman"/>
                <w:b w:val="0"/>
                <w:i/>
                <w:iCs/>
                <w:szCs w:val="20"/>
              </w:rPr>
              <w:t>Nazilul Hamidi</w:t>
            </w:r>
            <w:r>
              <w:rPr>
                <w:rFonts w:ascii="Times New Roman" w:hAnsi="Times New Roman" w:cs="Times New Roman"/>
                <w:b w:val="0"/>
                <w:i/>
                <w:iCs/>
                <w:szCs w:val="20"/>
                <w:vertAlign w:val="superscript"/>
              </w:rPr>
              <w:t>2</w:t>
            </w:r>
            <w:r w:rsidR="00373B88" w:rsidRPr="00EB375B">
              <w:rPr>
                <w:rFonts w:ascii="Times New Roman" w:hAnsi="Times New Roman" w:cs="Times New Roman"/>
                <w:b w:val="0"/>
                <w:i/>
                <w:iCs/>
                <w:szCs w:val="20"/>
                <w:vertAlign w:val="superscript"/>
              </w:rPr>
              <w:t>)</w:t>
            </w:r>
            <w:r w:rsidR="00C622CB">
              <w:rPr>
                <w:rFonts w:ascii="Times New Roman" w:hAnsi="Times New Roman" w:cs="Times New Roman"/>
                <w:b w:val="0"/>
                <w:i/>
                <w:iCs/>
                <w:szCs w:val="20"/>
              </w:rPr>
              <w:t xml:space="preserve">, </w:t>
            </w:r>
            <w:r w:rsidR="00A20475" w:rsidRPr="00A20475">
              <w:rPr>
                <w:rFonts w:ascii="Times New Roman" w:eastAsia="Calibri" w:hAnsi="Times New Roman" w:cs="Times New Roman"/>
                <w:b w:val="0"/>
                <w:i/>
                <w:iCs/>
                <w:szCs w:val="20"/>
              </w:rPr>
              <w:t>Siska Yoniessa</w:t>
            </w:r>
            <w:r w:rsidR="004F3260" w:rsidRPr="00EB375B">
              <w:rPr>
                <w:rFonts w:ascii="Times New Roman" w:eastAsia="Calibri" w:hAnsi="Times New Roman" w:cs="Times New Roman"/>
                <w:b w:val="0"/>
                <w:i/>
                <w:iCs/>
                <w:szCs w:val="20"/>
                <w:vertAlign w:val="superscript"/>
              </w:rPr>
              <w:t>3)</w:t>
            </w:r>
            <w:r w:rsidR="00C622CB">
              <w:rPr>
                <w:rFonts w:ascii="Times New Roman" w:eastAsia="Calibri" w:hAnsi="Times New Roman" w:cs="Times New Roman"/>
                <w:b w:val="0"/>
                <w:i/>
                <w:iCs/>
                <w:szCs w:val="20"/>
              </w:rPr>
              <w:t xml:space="preserve">, </w:t>
            </w:r>
            <w:r w:rsidR="00FE58DC" w:rsidRPr="00EB375B">
              <w:rPr>
                <w:rFonts w:ascii="Times New Roman" w:eastAsia="Calibri" w:hAnsi="Times New Roman" w:cs="Times New Roman"/>
                <w:b w:val="0"/>
                <w:i/>
                <w:iCs/>
                <w:szCs w:val="20"/>
              </w:rPr>
              <w:t>Fitri Masito</w:t>
            </w:r>
            <w:r w:rsidR="00EB375B" w:rsidRPr="00EB375B">
              <w:rPr>
                <w:rFonts w:ascii="Times New Roman" w:eastAsia="Calibri" w:hAnsi="Times New Roman" w:cs="Times New Roman"/>
                <w:b w:val="0"/>
                <w:i/>
                <w:iCs/>
                <w:szCs w:val="20"/>
                <w:vertAlign w:val="superscript"/>
              </w:rPr>
              <w:t>4)</w:t>
            </w:r>
            <w:r w:rsidR="00FE58DC" w:rsidRPr="00EB375B">
              <w:rPr>
                <w:rFonts w:ascii="Times New Roman" w:eastAsia="Calibri" w:hAnsi="Times New Roman" w:cs="Times New Roman"/>
                <w:b w:val="0"/>
                <w:i/>
                <w:iCs/>
                <w:szCs w:val="20"/>
              </w:rPr>
              <w:t xml:space="preserve"> </w:t>
            </w:r>
            <w:r w:rsidR="00C622CB">
              <w:rPr>
                <w:rFonts w:ascii="Times New Roman" w:eastAsia="Calibri" w:hAnsi="Times New Roman" w:cs="Times New Roman"/>
                <w:b w:val="0"/>
                <w:i/>
                <w:iCs/>
                <w:szCs w:val="20"/>
              </w:rPr>
              <w:t xml:space="preserve">, </w:t>
            </w:r>
            <w:r w:rsidR="00FE58DC" w:rsidRPr="00EB375B">
              <w:rPr>
                <w:rFonts w:ascii="Times New Roman" w:eastAsia="Calibri" w:hAnsi="Times New Roman" w:cs="Times New Roman"/>
                <w:b w:val="0"/>
                <w:i/>
                <w:iCs/>
                <w:szCs w:val="20"/>
              </w:rPr>
              <w:t>Muhammad Abdul Muis</w:t>
            </w:r>
            <w:r w:rsidR="00EB375B" w:rsidRPr="00EB375B">
              <w:rPr>
                <w:rFonts w:ascii="Times New Roman" w:eastAsia="Calibri" w:hAnsi="Times New Roman" w:cs="Times New Roman"/>
                <w:b w:val="0"/>
                <w:i/>
                <w:iCs/>
                <w:szCs w:val="20"/>
                <w:vertAlign w:val="superscript"/>
              </w:rPr>
              <w:t>5)</w:t>
            </w:r>
            <w:r w:rsidR="00FE58DC" w:rsidRPr="00EB375B">
              <w:rPr>
                <w:rFonts w:ascii="Times New Roman" w:eastAsia="Calibri" w:hAnsi="Times New Roman" w:cs="Times New Roman"/>
                <w:b w:val="0"/>
                <w:i/>
                <w:iCs/>
                <w:szCs w:val="20"/>
              </w:rPr>
              <w:t xml:space="preserve"> </w:t>
            </w:r>
          </w:p>
          <w:p w:rsidR="009E2290" w:rsidRPr="00EB375B" w:rsidRDefault="00EB375B" w:rsidP="003C5E0E">
            <w:pPr>
              <w:autoSpaceDE w:val="0"/>
              <w:autoSpaceDN w:val="0"/>
              <w:adjustRightInd w:val="0"/>
              <w:jc w:val="center"/>
              <w:rPr>
                <w:rFonts w:ascii="Times New Roman" w:hAnsi="Times New Roman" w:cs="Times New Roman"/>
                <w:b w:val="0"/>
                <w:i/>
                <w:iCs/>
                <w:szCs w:val="20"/>
                <w:lang w:val="en-US"/>
              </w:rPr>
            </w:pPr>
            <w:r w:rsidRPr="00EB375B">
              <w:rPr>
                <w:rFonts w:ascii="Times New Roman" w:hAnsi="Times New Roman" w:cs="Times New Roman"/>
                <w:b w:val="0"/>
                <w:i/>
                <w:iCs/>
                <w:szCs w:val="20"/>
                <w:vertAlign w:val="superscript"/>
              </w:rPr>
              <w:t>1,2,3</w:t>
            </w:r>
            <w:r w:rsidR="00373B88" w:rsidRPr="00EB375B">
              <w:rPr>
                <w:rFonts w:ascii="Times New Roman" w:hAnsi="Times New Roman" w:cs="Times New Roman"/>
                <w:b w:val="0"/>
                <w:i/>
                <w:iCs/>
                <w:szCs w:val="20"/>
                <w:lang w:val="en-US"/>
              </w:rPr>
              <w:t xml:space="preserve">Maritime Institute </w:t>
            </w:r>
            <w:r w:rsidR="00373B88" w:rsidRPr="00EB375B">
              <w:rPr>
                <w:rFonts w:ascii="Times New Roman" w:hAnsi="Times New Roman" w:cs="Times New Roman"/>
                <w:b w:val="0"/>
                <w:i/>
                <w:iCs/>
                <w:szCs w:val="20"/>
              </w:rPr>
              <w:t xml:space="preserve">of </w:t>
            </w:r>
            <w:r w:rsidR="00373B88" w:rsidRPr="00EB375B">
              <w:rPr>
                <w:rFonts w:ascii="Times New Roman" w:hAnsi="Times New Roman" w:cs="Times New Roman"/>
                <w:b w:val="0"/>
                <w:i/>
                <w:iCs/>
                <w:szCs w:val="20"/>
                <w:lang w:val="en-US"/>
              </w:rPr>
              <w:t>Jakarta (S</w:t>
            </w:r>
            <w:r w:rsidR="00373B88" w:rsidRPr="00EB375B">
              <w:rPr>
                <w:rFonts w:ascii="Times New Roman" w:hAnsi="Times New Roman" w:cs="Times New Roman"/>
                <w:b w:val="0"/>
                <w:i/>
                <w:iCs/>
                <w:szCs w:val="20"/>
              </w:rPr>
              <w:t xml:space="preserve">ekolah </w:t>
            </w:r>
            <w:r w:rsidR="00373B88" w:rsidRPr="00EB375B">
              <w:rPr>
                <w:rFonts w:ascii="Times New Roman" w:hAnsi="Times New Roman" w:cs="Times New Roman"/>
                <w:b w:val="0"/>
                <w:i/>
                <w:iCs/>
                <w:szCs w:val="20"/>
                <w:lang w:val="en-US"/>
              </w:rPr>
              <w:t>T</w:t>
            </w:r>
            <w:r w:rsidR="00373B88" w:rsidRPr="00EB375B">
              <w:rPr>
                <w:rFonts w:ascii="Times New Roman" w:hAnsi="Times New Roman" w:cs="Times New Roman"/>
                <w:b w:val="0"/>
                <w:i/>
                <w:iCs/>
                <w:szCs w:val="20"/>
              </w:rPr>
              <w:t xml:space="preserve">inggi </w:t>
            </w:r>
            <w:r w:rsidR="00373B88" w:rsidRPr="00EB375B">
              <w:rPr>
                <w:rFonts w:ascii="Times New Roman" w:hAnsi="Times New Roman" w:cs="Times New Roman"/>
                <w:b w:val="0"/>
                <w:i/>
                <w:iCs/>
                <w:szCs w:val="20"/>
                <w:lang w:val="en-US"/>
              </w:rPr>
              <w:t>I</w:t>
            </w:r>
            <w:r w:rsidR="00373B88" w:rsidRPr="00EB375B">
              <w:rPr>
                <w:rFonts w:ascii="Times New Roman" w:hAnsi="Times New Roman" w:cs="Times New Roman"/>
                <w:b w:val="0"/>
                <w:i/>
                <w:iCs/>
                <w:szCs w:val="20"/>
              </w:rPr>
              <w:t xml:space="preserve">lmu </w:t>
            </w:r>
            <w:r w:rsidR="00373B88" w:rsidRPr="00EB375B">
              <w:rPr>
                <w:rFonts w:ascii="Times New Roman" w:hAnsi="Times New Roman" w:cs="Times New Roman"/>
                <w:b w:val="0"/>
                <w:i/>
                <w:iCs/>
                <w:szCs w:val="20"/>
                <w:lang w:val="en-US"/>
              </w:rPr>
              <w:t>P</w:t>
            </w:r>
            <w:r w:rsidR="00373B88" w:rsidRPr="00EB375B">
              <w:rPr>
                <w:rFonts w:ascii="Times New Roman" w:hAnsi="Times New Roman" w:cs="Times New Roman"/>
                <w:b w:val="0"/>
                <w:i/>
                <w:iCs/>
                <w:szCs w:val="20"/>
              </w:rPr>
              <w:t xml:space="preserve">elayaran - </w:t>
            </w:r>
            <w:r w:rsidR="00373B88" w:rsidRPr="00EB375B">
              <w:rPr>
                <w:rFonts w:ascii="Times New Roman" w:hAnsi="Times New Roman" w:cs="Times New Roman"/>
                <w:b w:val="0"/>
                <w:i/>
                <w:iCs/>
                <w:szCs w:val="20"/>
                <w:lang w:val="en-US"/>
              </w:rPr>
              <w:t xml:space="preserve"> Jakarta)</w:t>
            </w:r>
          </w:p>
          <w:p w:rsidR="00EB375B" w:rsidRPr="00EB375B" w:rsidRDefault="00EB375B" w:rsidP="003C5E0E">
            <w:pPr>
              <w:autoSpaceDE w:val="0"/>
              <w:autoSpaceDN w:val="0"/>
              <w:adjustRightInd w:val="0"/>
              <w:jc w:val="center"/>
              <w:rPr>
                <w:rFonts w:ascii="Times New Roman" w:hAnsi="Times New Roman" w:cs="Times New Roman"/>
                <w:b w:val="0"/>
                <w:i/>
                <w:iCs/>
                <w:szCs w:val="20"/>
                <w:lang w:val="en-US"/>
              </w:rPr>
            </w:pPr>
            <w:r w:rsidRPr="00EB375B">
              <w:rPr>
                <w:rFonts w:ascii="Times New Roman" w:hAnsi="Times New Roman" w:cs="Times New Roman"/>
                <w:b w:val="0"/>
                <w:i/>
                <w:iCs/>
                <w:szCs w:val="20"/>
                <w:vertAlign w:val="superscript"/>
              </w:rPr>
              <w:t>4</w:t>
            </w:r>
            <w:r w:rsidRPr="00EB375B">
              <w:rPr>
                <w:rFonts w:ascii="Times New Roman" w:hAnsi="Times New Roman" w:cs="Times New Roman"/>
                <w:b w:val="0"/>
                <w:i/>
                <w:iCs/>
                <w:szCs w:val="20"/>
              </w:rPr>
              <w:t>Aviation Polytechnic of Palembang</w:t>
            </w:r>
          </w:p>
          <w:p w:rsidR="003C5E0E" w:rsidRPr="00156D00" w:rsidRDefault="00EB375B" w:rsidP="00F6141E">
            <w:pPr>
              <w:autoSpaceDE w:val="0"/>
              <w:autoSpaceDN w:val="0"/>
              <w:adjustRightInd w:val="0"/>
              <w:jc w:val="center"/>
              <w:rPr>
                <w:rFonts w:ascii="Times New Roman" w:hAnsi="Times New Roman" w:cs="Times New Roman"/>
                <w:b w:val="0"/>
                <w:color w:val="000000" w:themeColor="text1"/>
                <w:sz w:val="20"/>
                <w:szCs w:val="20"/>
              </w:rPr>
            </w:pPr>
            <w:r w:rsidRPr="00EB375B">
              <w:rPr>
                <w:rFonts w:ascii="Times New Roman" w:hAnsi="Times New Roman" w:cs="Times New Roman"/>
                <w:b w:val="0"/>
                <w:i/>
                <w:iCs/>
                <w:color w:val="000000" w:themeColor="text1"/>
                <w:sz w:val="20"/>
                <w:szCs w:val="20"/>
                <w:vertAlign w:val="superscript"/>
              </w:rPr>
              <w:t>5</w:t>
            </w:r>
            <w:r w:rsidRPr="00EB375B">
              <w:rPr>
                <w:rFonts w:ascii="Times New Roman" w:hAnsi="Times New Roman" w:cs="Times New Roman"/>
                <w:b w:val="0"/>
                <w:i/>
                <w:iCs/>
                <w:color w:val="000000" w:themeColor="text1"/>
                <w:sz w:val="20"/>
                <w:szCs w:val="20"/>
              </w:rPr>
              <w:t>Politeknik Bisnis dan Pasar Modal</w:t>
            </w:r>
          </w:p>
        </w:tc>
      </w:tr>
    </w:tbl>
    <w:p w:rsidR="00F356F5" w:rsidRPr="00156D00" w:rsidRDefault="00E26505" w:rsidP="00635CBD">
      <w:pPr>
        <w:spacing w:after="0" w:line="240" w:lineRule="auto"/>
        <w:jc w:val="center"/>
        <w:rPr>
          <w:rFonts w:ascii="Times New Roman" w:hAnsi="Times New Roman" w:cs="Times New Roman"/>
          <w:b/>
          <w:i/>
          <w:color w:val="000000" w:themeColor="text1"/>
          <w:sz w:val="20"/>
          <w:szCs w:val="20"/>
        </w:rPr>
      </w:pPr>
      <w:r w:rsidRPr="00156D00">
        <w:rPr>
          <w:rFonts w:ascii="Times New Roman" w:hAnsi="Times New Roman" w:cs="Times New Roman"/>
          <w:b/>
          <w:i/>
          <w:color w:val="000000" w:themeColor="text1"/>
          <w:sz w:val="20"/>
          <w:szCs w:val="20"/>
        </w:rPr>
        <w:t>Abstract</w:t>
      </w:r>
    </w:p>
    <w:p w:rsidR="008D0AEE" w:rsidRPr="00156D00" w:rsidRDefault="002516A8" w:rsidP="008D0AEE">
      <w:pPr>
        <w:spacing w:after="0" w:line="240" w:lineRule="auto"/>
        <w:jc w:val="both"/>
        <w:rPr>
          <w:rFonts w:ascii="Times New Roman" w:eastAsia="Calibri" w:hAnsi="Times New Roman" w:cs="Times New Roman"/>
          <w:i/>
          <w:sz w:val="20"/>
          <w:szCs w:val="20"/>
        </w:rPr>
      </w:pPr>
      <w:r w:rsidRPr="00156D00">
        <w:rPr>
          <w:rFonts w:ascii="Times New Roman" w:eastAsia="Calibri" w:hAnsi="Times New Roman" w:cs="Times New Roman"/>
          <w:i/>
          <w:sz w:val="20"/>
          <w:szCs w:val="20"/>
        </w:rPr>
        <w:t xml:space="preserve">Simulation-Based Learning (SBL) is a pivotal component in maritime education, offering realistic and immersive experiences for cadets. This research critically evaluates SBL's efficacy among 30 cadets undergoing vocational practice or internships, aligning with International Maritime Organization (IMO) - Standards of Training, Certification, and Watchkeeping (STCW). Through qualitative analysis, SBL was found to significantly enhance cadets' competency, decision-making skills, and confidence in handling maritime challenges. Challenges such as technical issues and fidelity discrepancies were noted, underscoring the need for ongoing improvement. Furthermore, the study emphasizes the </w:t>
      </w:r>
      <w:bookmarkStart w:id="1" w:name="_GoBack"/>
      <w:bookmarkEnd w:id="1"/>
      <w:r w:rsidRPr="00156D00">
        <w:rPr>
          <w:rFonts w:ascii="Times New Roman" w:eastAsia="Calibri" w:hAnsi="Times New Roman" w:cs="Times New Roman"/>
          <w:i/>
          <w:sz w:val="20"/>
          <w:szCs w:val="20"/>
        </w:rPr>
        <w:t>importance of aligning maritime education with international standards to ensure standardized and comprehensive training. The findings contribute to the discourse on SBL's role in maritime education, highlighting its potential to prepare cadets for real-world scenarios effectively.</w:t>
      </w:r>
    </w:p>
    <w:p w:rsidR="00E26505" w:rsidRPr="00156D00" w:rsidRDefault="00E26505" w:rsidP="008D0AEE">
      <w:pPr>
        <w:spacing w:after="0" w:line="240" w:lineRule="auto"/>
        <w:jc w:val="both"/>
        <w:rPr>
          <w:rFonts w:ascii="Times New Roman" w:eastAsia="Calibri" w:hAnsi="Times New Roman" w:cs="Times New Roman"/>
          <w:i/>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156D00"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Pr="00156D00" w:rsidRDefault="00E26505" w:rsidP="002516A8">
            <w:pPr>
              <w:autoSpaceDE w:val="0"/>
              <w:autoSpaceDN w:val="0"/>
              <w:adjustRightInd w:val="0"/>
              <w:ind w:left="-105"/>
              <w:jc w:val="both"/>
              <w:rPr>
                <w:rFonts w:ascii="Times New Roman" w:hAnsi="Times New Roman" w:cs="Times New Roman"/>
                <w:b w:val="0"/>
                <w:color w:val="000000" w:themeColor="text1"/>
                <w:sz w:val="20"/>
                <w:szCs w:val="20"/>
              </w:rPr>
            </w:pPr>
            <w:r w:rsidRPr="00156D00">
              <w:rPr>
                <w:rFonts w:ascii="Times New Roman" w:eastAsia="Calibri" w:hAnsi="Times New Roman" w:cs="Times New Roman"/>
                <w:b w:val="0"/>
                <w:i/>
                <w:sz w:val="20"/>
                <w:szCs w:val="20"/>
              </w:rPr>
              <w:t>Keywords</w:t>
            </w:r>
            <w:r w:rsidR="003D1666" w:rsidRPr="00156D00">
              <w:rPr>
                <w:rFonts w:ascii="Times New Roman" w:eastAsia="Calibri" w:hAnsi="Times New Roman" w:cs="Times New Roman"/>
                <w:b w:val="0"/>
                <w:i/>
                <w:sz w:val="20"/>
                <w:szCs w:val="20"/>
              </w:rPr>
              <w:t xml:space="preserve"> : </w:t>
            </w:r>
            <w:r w:rsidR="002516A8" w:rsidRPr="00156D00">
              <w:rPr>
                <w:rFonts w:ascii="Times New Roman" w:eastAsia="Calibri" w:hAnsi="Times New Roman" w:cs="Times New Roman"/>
                <w:b w:val="0"/>
                <w:i/>
                <w:sz w:val="20"/>
                <w:szCs w:val="20"/>
              </w:rPr>
              <w:t>Simulation-Based Learning, Maritime Training, Competency, International Standards, Vocational Practice</w:t>
            </w:r>
          </w:p>
        </w:tc>
      </w:tr>
    </w:tbl>
    <w:p w:rsidR="00E26505" w:rsidRPr="00156D00" w:rsidRDefault="00E26505" w:rsidP="00635CBD">
      <w:pPr>
        <w:autoSpaceDE w:val="0"/>
        <w:autoSpaceDN w:val="0"/>
        <w:adjustRightInd w:val="0"/>
        <w:spacing w:after="0" w:line="240" w:lineRule="auto"/>
        <w:rPr>
          <w:rFonts w:ascii="Times New Roman" w:eastAsia="Calibri" w:hAnsi="Times New Roman" w:cs="Times New Roman"/>
          <w:bCs/>
          <w:sz w:val="20"/>
          <w:szCs w:val="20"/>
        </w:rPr>
      </w:pPr>
    </w:p>
    <w:p w:rsidR="00B6161E" w:rsidRPr="00156D00" w:rsidRDefault="00B6161E"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sectPr w:rsidR="00B6161E" w:rsidRPr="00156D00" w:rsidSect="001E325F">
          <w:footerReference w:type="default" r:id="rId10"/>
          <w:type w:val="continuous"/>
          <w:pgSz w:w="11906" w:h="16838"/>
          <w:pgMar w:top="1134" w:right="1134" w:bottom="1134" w:left="1134" w:header="709" w:footer="709" w:gutter="0"/>
          <w:cols w:space="708"/>
          <w:docGrid w:linePitch="360"/>
        </w:sectPr>
      </w:pPr>
    </w:p>
    <w:p w:rsidR="00B53B02" w:rsidRPr="00ED6C87" w:rsidRDefault="001E325F" w:rsidP="00ED6C87">
      <w:pPr>
        <w:autoSpaceDE w:val="0"/>
        <w:autoSpaceDN w:val="0"/>
        <w:adjustRightInd w:val="0"/>
        <w:spacing w:after="0" w:line="240" w:lineRule="auto"/>
        <w:rPr>
          <w:rFonts w:ascii="Times New Roman" w:eastAsia="Calibri" w:hAnsi="Times New Roman" w:cs="Times New Roman"/>
          <w:b/>
          <w:bCs/>
          <w:lang w:val="en-US"/>
        </w:rPr>
      </w:pPr>
      <w:r w:rsidRPr="00ED6C87">
        <w:rPr>
          <w:rFonts w:ascii="Times New Roman" w:eastAsia="Calibri" w:hAnsi="Times New Roman" w:cs="Times New Roman"/>
          <w:b/>
          <w:bCs/>
        </w:rPr>
        <w:lastRenderedPageBreak/>
        <w:t>INTRODUCTION</w:t>
      </w:r>
    </w:p>
    <w:p w:rsidR="004F6862" w:rsidRDefault="002516A8" w:rsidP="004F6862">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Simulation-Based Learning (SBL) has emerged as a cornerstone in contemporary maritime education, offering a dynamic platform for the acquisition and refinement of critical skills necessary for navigating the complexities of the maritime industry</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4F6862">
        <w:rPr>
          <w:rFonts w:ascii="Times New Roman" w:eastAsia="Calibri" w:hAnsi="Times New Roman" w:cs="Times New Roman"/>
          <w:bCs/>
        </w:rPr>
        <w:instrText>ADDIN CSL_CITATION {"citationItems":[{"id":"ITEM-1","itemData":{"ISBN":"3030538281","author":[{"dropping-particle":"","family":"Plaza-Hernández","given":"Marta","non-dropping-particle":"","parse-names":false,"suffix":""},{"dropping-particle":"","family":"Gil-González","given":"Ana Belén","non-dropping-particle":"","parse-names":false,"suffix":""},{"dropping-particle":"","family":"Rodríguez-González","given":"Sara","non-dropping-particle":"","parse-names":false,"suffix":""},{"dropping-particle":"","family":"Prieto-Tejedor","given":"Javier","non-dropping-particle":"","parse-names":false,"suffix":""},{"dropping-particle":"","family":"Corchado-Rodríguez","given":"Juan Manuel","non-dropping-particle":"","parse-names":false,"suffix":""}],"container-title":"Distributed Computing and Artificial Intelligence, Special Sessions, 17th International Conference","id":"ITEM-1","issued":{"date-parts":[["2021"]]},"page":"107-115","publisher":"Springer","title":"Integration of IoT technologies in the maritime industry","type":"paper-conference"},"uris":["http://www.mendeley.com/documents/?uuid=d9db06d6-f094-44a3-9b38-0b2cfd91e9e3"]}],"mendeley":{"formattedCitation":"[1]","plainTextFormattedCitation":"[1]","previouslyFormattedCitation":"[1]"},"properties":{"noteIndex":0},"schema":"https://github.com/citation-style-language/schema/raw/master/csl-citation.json"}</w:instrText>
      </w:r>
      <w:r w:rsidR="004F3260">
        <w:rPr>
          <w:rFonts w:ascii="Times New Roman" w:eastAsia="Calibri" w:hAnsi="Times New Roman" w:cs="Times New Roman"/>
          <w:bCs/>
        </w:rPr>
        <w:fldChar w:fldCharType="separate"/>
      </w:r>
      <w:r w:rsidR="00E26D16" w:rsidRPr="00E26D16">
        <w:rPr>
          <w:rFonts w:ascii="Times New Roman" w:eastAsia="Calibri" w:hAnsi="Times New Roman" w:cs="Times New Roman"/>
          <w:bCs/>
          <w:noProof/>
        </w:rPr>
        <w:t>[1]</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 As the maritime sector continues to evolve, driven by technological advancements and regulatory imperatives, the need for innovative educational approaches becomes increasingly pronounced</w:t>
      </w:r>
      <w:r w:rsidR="0009456B">
        <w:rPr>
          <w:rFonts w:ascii="Times New Roman" w:eastAsia="Calibri" w:hAnsi="Times New Roman" w:cs="Times New Roman"/>
          <w:bCs/>
        </w:rPr>
        <w:t xml:space="preserve"> </w:t>
      </w:r>
      <w:r w:rsidR="0009456B">
        <w:rPr>
          <w:rFonts w:ascii="Times New Roman" w:eastAsia="Calibri" w:hAnsi="Times New Roman" w:cs="Times New Roman"/>
          <w:bCs/>
        </w:rPr>
        <w:fldChar w:fldCharType="begin" w:fldLock="1"/>
      </w:r>
      <w:r w:rsidR="0009456B">
        <w:rPr>
          <w:rFonts w:ascii="Times New Roman" w:eastAsia="Calibri" w:hAnsi="Times New Roman" w:cs="Times New Roman"/>
          <w:bCs/>
        </w:rPr>
        <w:instrText>ADDIN CSL_CITATION {"citationItems":[{"id":"ITEM-1","itemData":{"ISSN":"2572-5084","author":[{"dropping-particle":"","family":"Autsadee","given":"Yuthana","non-dropping-particle":"","parse-names":false,"suffix":""},{"dropping-particle":"","family":"Jeevan","given":"Jagan","non-dropping-particle":"","parse-names":false,"suffix":""},{"dropping-particle":"Bin","family":"Mohd Salleh","given":"Nurul Haqimin","non-dropping-particle":"","parse-names":false,"suffix":""},{"dropping-particle":"Bin","family":"Othman","given":"Mohamad Rosni","non-dropping-particle":"","parse-names":false,"suffix":""}],"container-title":"Journal of International Maritime Safety, Environmental Affairs, and Shipping","id":"ITEM-1","issue":"4","issued":{"date-parts":[["2023"]]},"page":"2286409","publisher":"Taylor &amp; Francis","title":"Digital tools and challenges in human resource development and its potential within the maritime sector through bibliometric analysis","type":"article-journal","volume":"7"},"uris":["http://www.mendeley.com/documents/?uuid=7035ce27-a541-4346-9b7f-3cec5cfad395"]},{"id":"ITEM-2","itemData":{"DOI":"10.1093/oxfordhb/9780199336005.013.0039","ISBN":"9780199336005","abstract":"Maritime history embraces naval history, which is the relationship of human societies with the sea. Maritime history began to be recognized as a disciplinary field about half a century ago. In this context, archaeology is defined as the systematic study of past human life, behaviors, activities, and cultures using material remains and the relationships among them. Underwater archaeology defines archaeological activities carried out underwater and includes inland water activity. This article defines and underlines the distinctions between underwater archaeology, marine archaeology, and nautical archaeology. Maritime archaeology has undergone a boost in recent years. This article elucidates that both maritime archaeology and maritime history focus on the relationship between human societies and the maritime world, i.e., they have a common subject matter but have different theoretical and methodological perspectives. This is explained by a case study of the Pepper Wreck.","author":[{"dropping-particle":"","family":"Domingues","given":"Francisco C","non-dropping-particle":"","parse-names":false,"suffix":""}],"container-title":"The Oxford Handbook of Maritime Archaeology","editor":[{"dropping-particle":"","family":"Ford","given":"Ben","non-dropping-particle":"","parse-names":false,"suffix":""},{"dropping-particle":"","family":"Hamilton","given":"Donny L","non-dropping-particle":"","parse-names":false,"suffix":""},{"dropping-particle":"","family":"Catsambis","given":"Alexis","non-dropping-particle":"","parse-names":false,"suffix":""}],"id":"ITEM-2","issued":{"date-parts":[["2013","12","12"]]},"page":"0","publisher":"Oxford University Press","title":"907 Maritime History and Maritime Archaeology","type":"article"},"uris":["http://www.mendeley.com/documents/?uuid=88f43753-5c68-4d55-aa43-07ccc34a337c"]}],"mendeley":{"formattedCitation":"[2], [3]","plainTextFormattedCitation":"[2], [3]","previouslyFormattedCitation":"[2], [3]"},"properties":{"noteIndex":0},"schema":"https://github.com/citation-style-language/schema/raw/master/csl-citation.json"}</w:instrText>
      </w:r>
      <w:r w:rsidR="0009456B">
        <w:rPr>
          <w:rFonts w:ascii="Times New Roman" w:eastAsia="Calibri" w:hAnsi="Times New Roman" w:cs="Times New Roman"/>
          <w:bCs/>
        </w:rPr>
        <w:fldChar w:fldCharType="separate"/>
      </w:r>
      <w:r w:rsidR="0009456B" w:rsidRPr="0009456B">
        <w:rPr>
          <w:rFonts w:ascii="Times New Roman" w:eastAsia="Calibri" w:hAnsi="Times New Roman" w:cs="Times New Roman"/>
          <w:bCs/>
          <w:noProof/>
        </w:rPr>
        <w:t>[2], [3]</w:t>
      </w:r>
      <w:r w:rsidR="0009456B">
        <w:rPr>
          <w:rFonts w:ascii="Times New Roman" w:eastAsia="Calibri" w:hAnsi="Times New Roman" w:cs="Times New Roman"/>
          <w:bCs/>
        </w:rPr>
        <w:fldChar w:fldCharType="end"/>
      </w:r>
      <w:r w:rsidRPr="00156D00">
        <w:rPr>
          <w:rFonts w:ascii="Times New Roman" w:eastAsia="Calibri" w:hAnsi="Times New Roman" w:cs="Times New Roman"/>
          <w:bCs/>
          <w:lang w:val="en-ID"/>
        </w:rPr>
        <w:t>. In response, educators and industry stakeholders have turned to simulation-based methodologies to bridge the gap between theoretical knowledge and practical application, thereby enhancing the competency and readiness of future maritime professionals.</w:t>
      </w:r>
      <w:r w:rsidRPr="00156D00">
        <w:rPr>
          <w:rFonts w:ascii="Times New Roman" w:eastAsia="Calibri" w:hAnsi="Times New Roman" w:cs="Times New Roman"/>
          <w:bCs/>
        </w:rPr>
        <w:t xml:space="preserve"> </w:t>
      </w:r>
      <w:r w:rsidRPr="00156D00">
        <w:rPr>
          <w:rFonts w:ascii="Times New Roman" w:eastAsia="Calibri" w:hAnsi="Times New Roman" w:cs="Times New Roman"/>
          <w:bCs/>
          <w:lang w:val="en-ID"/>
        </w:rPr>
        <w:t xml:space="preserve">Within the realm of maritime training, the International Maritime Organization (IMO) - Standards of Training, Certification, and </w:t>
      </w:r>
      <w:proofErr w:type="spellStart"/>
      <w:r w:rsidRPr="00156D00">
        <w:rPr>
          <w:rFonts w:ascii="Times New Roman" w:eastAsia="Calibri" w:hAnsi="Times New Roman" w:cs="Times New Roman"/>
          <w:bCs/>
          <w:lang w:val="en-ID"/>
        </w:rPr>
        <w:t>Watchkeeping</w:t>
      </w:r>
      <w:proofErr w:type="spellEnd"/>
      <w:r w:rsidRPr="00156D00">
        <w:rPr>
          <w:rFonts w:ascii="Times New Roman" w:eastAsia="Calibri" w:hAnsi="Times New Roman" w:cs="Times New Roman"/>
          <w:bCs/>
          <w:lang w:val="en-ID"/>
        </w:rPr>
        <w:t xml:space="preserve"> (STCW) regulations serve as the guiding framework, outlining the minimum competency requirements for seafarers worldwide</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09456B">
        <w:rPr>
          <w:rFonts w:ascii="Times New Roman" w:eastAsia="Calibri" w:hAnsi="Times New Roman" w:cs="Times New Roman"/>
          <w:bCs/>
        </w:rPr>
        <w:instrText>ADDIN CSL_CITATION {"citationItems":[{"id":"ITEM-1","itemData":{"ISSN":"3540727507","author":[{"dropping-particle":"","family":"Christodoulou-Varotsi","given":"Iliana","non-dropping-particle":"","parse-names":false,"suffix":""},{"dropping-particle":"","family":"Pentsov","given":"Dmitry A","non-dropping-particle":"","parse-names":false,"suffix":""}],"container-title":"Maritime Work Law Fundamentals: Responsible Shipowners, Reliable Seafarers","id":"ITEM-1","issued":{"date-parts":[["2008"]]},"page":"422-639","publisher":"Springer","title":"The STCW Convention and related instruments","type":"article-journal"},"uris":["http://www.mendeley.com/documents/?uuid=944bbbf8-2e5a-4fe6-84c5-9503a15d4213"]},{"id":"ITEM-2","itemData":{"author":[{"dropping-particle":"","family":"Young","given":"Christopher","non-dropping-particle":"","parse-names":false,"suffix":""}],"container-title":"J. Mar. L. &amp; Com.","id":"ITEM-2","issued":{"date-parts":[["1995"]]},"page":"1","publisher":"HeinOnline","title":"Comprehensive Revision of the STCW convention: an overview","type":"article-journal","volume":"26"},"uris":["http://www.mendeley.com/documents/?uuid=d299914b-b300-4e8f-b5fe-848e2881423c"]}],"mendeley":{"formattedCitation":"[4], [5]","plainTextFormattedCitation":"[4], [5]","previouslyFormattedCitation":"[4], [5]"},"properties":{"noteIndex":0},"schema":"https://github.com/citation-style-language/schema/raw/master/csl-citation.json"}</w:instrText>
      </w:r>
      <w:r w:rsidR="004F3260">
        <w:rPr>
          <w:rFonts w:ascii="Times New Roman" w:eastAsia="Calibri" w:hAnsi="Times New Roman" w:cs="Times New Roman"/>
          <w:bCs/>
        </w:rPr>
        <w:fldChar w:fldCharType="separate"/>
      </w:r>
      <w:r w:rsidR="0009456B" w:rsidRPr="0009456B">
        <w:rPr>
          <w:rFonts w:ascii="Times New Roman" w:eastAsia="Calibri" w:hAnsi="Times New Roman" w:cs="Times New Roman"/>
          <w:bCs/>
          <w:noProof/>
        </w:rPr>
        <w:t>[4], [5]</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 xml:space="preserve">. </w:t>
      </w:r>
      <w:r w:rsidR="004F6862" w:rsidRPr="004F6862">
        <w:rPr>
          <w:rFonts w:ascii="Times New Roman" w:eastAsia="Calibri" w:hAnsi="Times New Roman" w:cs="Times New Roman"/>
          <w:bCs/>
          <w:lang w:val="en-ID"/>
        </w:rPr>
        <w:t xml:space="preserve">Aligned with these global standards, maritime institutes, marine schools, and vocational institutions have </w:t>
      </w:r>
      <w:proofErr w:type="spellStart"/>
      <w:r w:rsidR="004F6862" w:rsidRPr="004F6862">
        <w:rPr>
          <w:rFonts w:ascii="Times New Roman" w:eastAsia="Calibri" w:hAnsi="Times New Roman" w:cs="Times New Roman"/>
          <w:bCs/>
          <w:lang w:val="en-ID"/>
        </w:rPr>
        <w:t>endeavored</w:t>
      </w:r>
      <w:proofErr w:type="spellEnd"/>
      <w:r w:rsidR="004F6862" w:rsidRPr="004F6862">
        <w:rPr>
          <w:rFonts w:ascii="Times New Roman" w:eastAsia="Calibri" w:hAnsi="Times New Roman" w:cs="Times New Roman"/>
          <w:bCs/>
          <w:lang w:val="en-ID"/>
        </w:rPr>
        <w:t xml:space="preserve"> to develop programs that not only meet but exceed these stipulated benchmarks.</w:t>
      </w:r>
    </w:p>
    <w:p w:rsidR="004F6862" w:rsidRPr="004F6862" w:rsidRDefault="004F6862" w:rsidP="004F6862">
      <w:pPr>
        <w:autoSpaceDE w:val="0"/>
        <w:autoSpaceDN w:val="0"/>
        <w:adjustRightInd w:val="0"/>
        <w:spacing w:after="0" w:line="240" w:lineRule="auto"/>
        <w:ind w:firstLine="426"/>
        <w:jc w:val="both"/>
        <w:rPr>
          <w:rFonts w:ascii="Times New Roman" w:eastAsia="Calibri" w:hAnsi="Times New Roman" w:cs="Times New Roman"/>
          <w:bCs/>
          <w:lang w:val="en-ID"/>
        </w:rPr>
      </w:pPr>
      <w:r w:rsidRPr="004F6862">
        <w:rPr>
          <w:rFonts w:ascii="Times New Roman" w:eastAsia="Calibri" w:hAnsi="Times New Roman" w:cs="Times New Roman"/>
          <w:bCs/>
          <w:lang w:val="en-ID"/>
        </w:rPr>
        <w:t xml:space="preserve"> Central to this </w:t>
      </w:r>
      <w:proofErr w:type="spellStart"/>
      <w:r w:rsidRPr="004F6862">
        <w:rPr>
          <w:rFonts w:ascii="Times New Roman" w:eastAsia="Calibri" w:hAnsi="Times New Roman" w:cs="Times New Roman"/>
          <w:bCs/>
          <w:lang w:val="en-ID"/>
        </w:rPr>
        <w:t>endeavor</w:t>
      </w:r>
      <w:proofErr w:type="spellEnd"/>
      <w:r w:rsidRPr="004F6862">
        <w:rPr>
          <w:rFonts w:ascii="Times New Roman" w:eastAsia="Calibri" w:hAnsi="Times New Roman" w:cs="Times New Roman"/>
          <w:bCs/>
          <w:lang w:val="en-ID"/>
        </w:rPr>
        <w:t xml:space="preserve"> is the integration of simulation-based learning, recognized for its ability </w:t>
      </w:r>
      <w:r w:rsidRPr="004F6862">
        <w:rPr>
          <w:rFonts w:ascii="Times New Roman" w:eastAsia="Calibri" w:hAnsi="Times New Roman" w:cs="Times New Roman"/>
          <w:bCs/>
          <w:lang w:val="en-ID"/>
        </w:rPr>
        <w:lastRenderedPageBreak/>
        <w:t>to replicate real-world scenarios in a controlled environment, facilitating experiential learning and skills development. Simulation-based learning offers a unique opportunity for maritime cadets to immerse themselves in simulated maritime operations, allowing them to practice critical decision-making, problem-solving, and teamwork skills in a safe and controlled setting</w:t>
      </w:r>
      <w:r w:rsidR="0009456B">
        <w:rPr>
          <w:rFonts w:ascii="Times New Roman" w:eastAsia="Calibri" w:hAnsi="Times New Roman" w:cs="Times New Roman"/>
          <w:bCs/>
        </w:rPr>
        <w:t xml:space="preserve"> </w:t>
      </w:r>
      <w:r w:rsidR="0009456B">
        <w:rPr>
          <w:rFonts w:ascii="Times New Roman" w:eastAsia="Calibri" w:hAnsi="Times New Roman" w:cs="Times New Roman"/>
          <w:bCs/>
        </w:rPr>
        <w:fldChar w:fldCharType="begin" w:fldLock="1"/>
      </w:r>
      <w:r w:rsidR="0009456B">
        <w:rPr>
          <w:rFonts w:ascii="Times New Roman" w:eastAsia="Calibri" w:hAnsi="Times New Roman" w:cs="Times New Roman"/>
          <w:bCs/>
        </w:rPr>
        <w:instrText>ADDIN CSL_CITATION {"citationItems":[{"id":"ITEM-1","itemData":{"author":[{"dropping-particle":"","family":"Jamil","given":"Md Golam","non-dropping-particle":"","parse-names":false,"suffix":""},{"dropping-particle":"","family":"Isiaq","given":"Sakirulai Olufemi","non-dropping-particle":"","parse-names":false,"suffix":""}],"container-title":"International Journal of Educational Technology in Higher Education","id":"ITEM-1","issued":{"date-parts":[["2019"]]},"page":"1-21","publisher":"Springer","title":"Teaching technology with technology: approaches to bridging learning and teaching gaps in simulation-based programming education","type":"article-journal","volume":"16"},"uris":["http://www.mendeley.com/documents/?uuid=bd027c98-9381-4994-9048-8b1d524d87aa"]},{"id":"ITEM-2","itemData":{"ISBN":"3030538281","author":[{"dropping-particle":"","family":"Plaza-Hernández","given":"Marta","non-dropping-particle":"","parse-names":false,"suffix":""},{"dropping-particle":"","family":"Gil-González","given":"Ana Belén","non-dropping-particle":"","parse-names":false,"suffix":""},{"dropping-particle":"","family":"Rodríguez-González","given":"Sara","non-dropping-particle":"","parse-names":false,"suffix":""},{"dropping-particle":"","family":"Prieto-Tejedor","given":"Javier","non-dropping-particle":"","parse-names":false,"suffix":""},{"dropping-particle":"","family":"Corchado-Rodríguez","given":"Juan Manuel","non-dropping-particle":"","parse-names":false,"suffix":""}],"container-title":"Distributed Computing and Artificial Intelligence, Special Sessions, 17th International Conference","id":"ITEM-2","issued":{"date-parts":[["2021"]]},"page":"107-115","publisher":"Springer","title":"Integration of IoT technologies in the maritime industry","type":"paper-conference"},"uris":["http://www.mendeley.com/documents/?uuid=d9db06d6-f094-44a3-9b38-0b2cfd91e9e3"]}],"mendeley":{"formattedCitation":"[1], [6]","plainTextFormattedCitation":"[1], [6]","previouslyFormattedCitation":"[1], [6]"},"properties":{"noteIndex":0},"schema":"https://github.com/citation-style-language/schema/raw/master/csl-citation.json"}</w:instrText>
      </w:r>
      <w:r w:rsidR="0009456B">
        <w:rPr>
          <w:rFonts w:ascii="Times New Roman" w:eastAsia="Calibri" w:hAnsi="Times New Roman" w:cs="Times New Roman"/>
          <w:bCs/>
        </w:rPr>
        <w:fldChar w:fldCharType="separate"/>
      </w:r>
      <w:r w:rsidR="0009456B" w:rsidRPr="0009456B">
        <w:rPr>
          <w:rFonts w:ascii="Times New Roman" w:eastAsia="Calibri" w:hAnsi="Times New Roman" w:cs="Times New Roman"/>
          <w:bCs/>
          <w:noProof/>
        </w:rPr>
        <w:t>[1], [6]</w:t>
      </w:r>
      <w:r w:rsidR="0009456B">
        <w:rPr>
          <w:rFonts w:ascii="Times New Roman" w:eastAsia="Calibri" w:hAnsi="Times New Roman" w:cs="Times New Roman"/>
          <w:bCs/>
        </w:rPr>
        <w:fldChar w:fldCharType="end"/>
      </w:r>
      <w:r w:rsidRPr="004F6862">
        <w:rPr>
          <w:rFonts w:ascii="Times New Roman" w:eastAsia="Calibri" w:hAnsi="Times New Roman" w:cs="Times New Roman"/>
          <w:bCs/>
          <w:lang w:val="en-ID"/>
        </w:rPr>
        <w:t xml:space="preserve">. Moreover, simulation-based learning can provide cadets with exposure to a wide range of scenarios, including emergency situations, adverse weather conditions, and navigational challenges, which may be difficult to replicate in traditional classroom settings or </w:t>
      </w:r>
      <w:proofErr w:type="spellStart"/>
      <w:r w:rsidRPr="004F6862">
        <w:rPr>
          <w:rFonts w:ascii="Times New Roman" w:eastAsia="Calibri" w:hAnsi="Times New Roman" w:cs="Times New Roman"/>
          <w:bCs/>
          <w:lang w:val="en-ID"/>
        </w:rPr>
        <w:t>onboard</w:t>
      </w:r>
      <w:proofErr w:type="spellEnd"/>
      <w:r w:rsidRPr="004F6862">
        <w:rPr>
          <w:rFonts w:ascii="Times New Roman" w:eastAsia="Calibri" w:hAnsi="Times New Roman" w:cs="Times New Roman"/>
          <w:bCs/>
          <w:lang w:val="en-ID"/>
        </w:rPr>
        <w:t xml:space="preserve"> vessels. By engaging in realistic simulations, cadets can develop the confidence and competence needed to navigate complex maritime environments effectively</w:t>
      </w:r>
      <w:r w:rsidR="0009456B">
        <w:rPr>
          <w:rFonts w:ascii="Times New Roman" w:eastAsia="Calibri" w:hAnsi="Times New Roman" w:cs="Times New Roman"/>
          <w:bCs/>
        </w:rPr>
        <w:t xml:space="preserve"> </w:t>
      </w:r>
      <w:r w:rsidR="0009456B">
        <w:rPr>
          <w:rFonts w:ascii="Times New Roman" w:eastAsia="Calibri" w:hAnsi="Times New Roman" w:cs="Times New Roman"/>
          <w:bCs/>
        </w:rPr>
        <w:fldChar w:fldCharType="begin" w:fldLock="1"/>
      </w:r>
      <w:r w:rsidR="0009456B">
        <w:rPr>
          <w:rFonts w:ascii="Times New Roman" w:eastAsia="Calibri" w:hAnsi="Times New Roman" w:cs="Times New Roman"/>
          <w:bCs/>
        </w:rPr>
        <w:instrText>ADDIN CSL_CITATION {"citationItems":[{"id":"ITEM-1","itemData":{"ISSN":"1784663476","author":[{"dropping-particle":"","family":"Kidd","given":"Robert","non-dropping-particle":"","parse-names":false,"suffix":""},{"dropping-particle":"","family":"McCarthy","given":"Elizabeth","non-dropping-particle":"","parse-names":false,"suffix":""}],"container-title":"WIT Transactions on The Built Environment","id":"ITEM-1","issued":{"date-parts":[["2019"]]},"page":"221-230","publisher":"WIT Press","title":"Maritime education in the age of autonomy","type":"article-journal","volume":"187"},"uris":["http://www.mendeley.com/documents/?uuid=04189524-4042-4f0e-a457-33983aab1fbe"]},{"id":"ITEM-2","itemData":{"ISSN":"2267-1242","author":[{"dropping-particle":"","family":"Dyagileva","given":"Olena","non-dropping-particle":"","parse-names":false,"suffix":""},{"dropping-particle":"","family":"Goridko","given":"Nataliia","non-dropping-particle":"","parse-names":false,"suffix":""},{"dropping-particle":"","family":"Popova","given":"Halyna","non-dropping-particle":"","parse-names":false,"suffix":""},{"dropping-particle":"","family":"Voloshynov","given":"Serhii","non-dropping-particle":"","parse-names":false,"suffix":""},{"dropping-particle":"","family":"Yurzhenko","given":"Alona","non-dropping-particle":"","parse-names":false,"suffix":""}],"id":"ITEM-2","issued":{"date-parts":[["2020"]]},"publisher":"EDP Sciences","title":"Ensuring sustainable development of education of future maritime transport professionals by means of network interaction","type":"article-journal"},"uris":["http://www.mendeley.com/documents/?uuid=44f455a1-48e9-4d75-8ff4-2d5f528da6f9"]}],"mendeley":{"formattedCitation":"[7], [8]","plainTextFormattedCitation":"[7], [8]","previouslyFormattedCitation":"[7], [8]"},"properties":{"noteIndex":0},"schema":"https://github.com/citation-style-language/schema/raw/master/csl-citation.json"}</w:instrText>
      </w:r>
      <w:r w:rsidR="0009456B">
        <w:rPr>
          <w:rFonts w:ascii="Times New Roman" w:eastAsia="Calibri" w:hAnsi="Times New Roman" w:cs="Times New Roman"/>
          <w:bCs/>
        </w:rPr>
        <w:fldChar w:fldCharType="separate"/>
      </w:r>
      <w:r w:rsidR="0009456B" w:rsidRPr="0009456B">
        <w:rPr>
          <w:rFonts w:ascii="Times New Roman" w:eastAsia="Calibri" w:hAnsi="Times New Roman" w:cs="Times New Roman"/>
          <w:bCs/>
          <w:noProof/>
        </w:rPr>
        <w:t>[7], [8]</w:t>
      </w:r>
      <w:r w:rsidR="0009456B">
        <w:rPr>
          <w:rFonts w:ascii="Times New Roman" w:eastAsia="Calibri" w:hAnsi="Times New Roman" w:cs="Times New Roman"/>
          <w:bCs/>
        </w:rPr>
        <w:fldChar w:fldCharType="end"/>
      </w:r>
      <w:r w:rsidRPr="004F6862">
        <w:rPr>
          <w:rFonts w:ascii="Times New Roman" w:eastAsia="Calibri" w:hAnsi="Times New Roman" w:cs="Times New Roman"/>
          <w:bCs/>
          <w:lang w:val="en-ID"/>
        </w:rPr>
        <w:t>.</w:t>
      </w:r>
    </w:p>
    <w:p w:rsidR="004F6862" w:rsidRPr="004F6862" w:rsidRDefault="004F6862" w:rsidP="004F6862">
      <w:pPr>
        <w:autoSpaceDE w:val="0"/>
        <w:autoSpaceDN w:val="0"/>
        <w:adjustRightInd w:val="0"/>
        <w:spacing w:after="0" w:line="240" w:lineRule="auto"/>
        <w:ind w:firstLine="426"/>
        <w:jc w:val="both"/>
        <w:rPr>
          <w:rFonts w:ascii="Times New Roman" w:eastAsia="Calibri" w:hAnsi="Times New Roman" w:cs="Times New Roman"/>
          <w:bCs/>
          <w:lang w:val="en-ID"/>
        </w:rPr>
      </w:pPr>
      <w:r w:rsidRPr="004F6862">
        <w:rPr>
          <w:rFonts w:ascii="Times New Roman" w:eastAsia="Calibri" w:hAnsi="Times New Roman" w:cs="Times New Roman"/>
          <w:bCs/>
          <w:lang w:val="en-ID"/>
        </w:rPr>
        <w:t>The efficacy of simulation-based learning in maritime training warrants critical examination, particularly in light of its increasing prevalence and significance within the educational landscape</w:t>
      </w:r>
      <w:r w:rsidR="0009456B">
        <w:rPr>
          <w:rFonts w:ascii="Times New Roman" w:eastAsia="Calibri" w:hAnsi="Times New Roman" w:cs="Times New Roman"/>
          <w:bCs/>
        </w:rPr>
        <w:t xml:space="preserve"> </w:t>
      </w:r>
      <w:r w:rsidR="0009456B">
        <w:rPr>
          <w:rFonts w:ascii="Times New Roman" w:eastAsia="Calibri" w:hAnsi="Times New Roman" w:cs="Times New Roman"/>
          <w:bCs/>
        </w:rPr>
        <w:fldChar w:fldCharType="begin" w:fldLock="1"/>
      </w:r>
      <w:r w:rsidR="0009456B">
        <w:rPr>
          <w:rFonts w:ascii="Times New Roman" w:eastAsia="Calibri" w:hAnsi="Times New Roman" w:cs="Times New Roman"/>
          <w:bCs/>
        </w:rPr>
        <w:instrText>ADDIN CSL_CITATION {"citationItems":[{"id":"ITEM-1","itemData":{"author":[{"dropping-particle":"","family":"Jamil","given":"Md Golam","non-dropping-particle":"","parse-names":false,"suffix":""},{"dropping-particle":"","family":"Bhuiyan","given":"Zakirul","non-dropping-particle":"","parse-names":false,"suffix":""}],"container-title":"International Journal of Educational Technology in Higher Education","id":"ITEM-1","issued":{"date-parts":[["2021"]]},"page":"1-22","publisher":"Springer","title":"Deep learning elements in maritime simulation programmes: a pedagogical exploration of learner experiences","type":"article-journal","volume":"18"},"uris":["http://www.mendeley.com/documents/?uuid=374c9a3f-7a3e-4e73-820a-bd25e926c200"]},{"id":"ITEM-2","itemData":{"author":[{"dropping-particle":"","family":"Jamil","given":"Md Golam","non-dropping-particle":"","parse-names":false,"suffix":""},{"dropping-particle":"","family":"Isiaq","given":"Sakirulai Olufemi","non-dropping-particle":"","parse-names":false,"suffix":""}],"container-title":"International Journal of Educational Technology in Higher Education","id":"ITEM-2","issued":{"date-parts":[["2019"]]},"page":"1-21","publisher":"Springer","title":"Teaching technology with technology: approaches to bridging learning and teaching gaps in simulation-based programming education","type":"article-journal","volume":"16"},"uris":["http://www.mendeley.com/documents/?uuid=bd027c98-9381-4994-9048-8b1d524d87aa"]}],"mendeley":{"formattedCitation":"[6], [9]","plainTextFormattedCitation":"[6], [9]","previouslyFormattedCitation":"[6], [9]"},"properties":{"noteIndex":0},"schema":"https://github.com/citation-style-language/schema/raw/master/csl-citation.json"}</w:instrText>
      </w:r>
      <w:r w:rsidR="0009456B">
        <w:rPr>
          <w:rFonts w:ascii="Times New Roman" w:eastAsia="Calibri" w:hAnsi="Times New Roman" w:cs="Times New Roman"/>
          <w:bCs/>
        </w:rPr>
        <w:fldChar w:fldCharType="separate"/>
      </w:r>
      <w:r w:rsidR="0009456B" w:rsidRPr="0009456B">
        <w:rPr>
          <w:rFonts w:ascii="Times New Roman" w:eastAsia="Calibri" w:hAnsi="Times New Roman" w:cs="Times New Roman"/>
          <w:bCs/>
          <w:noProof/>
        </w:rPr>
        <w:t>[6], [9]</w:t>
      </w:r>
      <w:r w:rsidR="0009456B">
        <w:rPr>
          <w:rFonts w:ascii="Times New Roman" w:eastAsia="Calibri" w:hAnsi="Times New Roman" w:cs="Times New Roman"/>
          <w:bCs/>
        </w:rPr>
        <w:fldChar w:fldCharType="end"/>
      </w:r>
      <w:r w:rsidRPr="004F6862">
        <w:rPr>
          <w:rFonts w:ascii="Times New Roman" w:eastAsia="Calibri" w:hAnsi="Times New Roman" w:cs="Times New Roman"/>
          <w:bCs/>
          <w:lang w:val="en-ID"/>
        </w:rPr>
        <w:t xml:space="preserve">. While simulation-based learning offers numerous benefits, including enhanced engagement, improved retention of knowledge, and greater transferability of skills, its effectiveness may vary depending on various factors, such as the quality of simulation software, the fidelity of simulation scenarios, and the level of instructor support and </w:t>
      </w:r>
      <w:r w:rsidRPr="004F6862">
        <w:rPr>
          <w:rFonts w:ascii="Times New Roman" w:eastAsia="Calibri" w:hAnsi="Times New Roman" w:cs="Times New Roman"/>
          <w:bCs/>
          <w:lang w:val="en-ID"/>
        </w:rPr>
        <w:lastRenderedPageBreak/>
        <w:t>guidance. Moreover, the integration of simulation-based learning into maritime curricula may pose logistical and resource challenges for educational institutions, including the need for specialized equipment, software licenses, and trained instructors</w:t>
      </w:r>
      <w:r w:rsidR="0009456B">
        <w:rPr>
          <w:rFonts w:ascii="Times New Roman" w:eastAsia="Calibri" w:hAnsi="Times New Roman" w:cs="Times New Roman"/>
          <w:bCs/>
        </w:rPr>
        <w:t xml:space="preserve"> </w:t>
      </w:r>
      <w:r w:rsidR="0009456B">
        <w:rPr>
          <w:rFonts w:ascii="Times New Roman" w:eastAsia="Calibri" w:hAnsi="Times New Roman" w:cs="Times New Roman"/>
          <w:bCs/>
        </w:rPr>
        <w:fldChar w:fldCharType="begin" w:fldLock="1"/>
      </w:r>
      <w:r w:rsidR="0009456B">
        <w:rPr>
          <w:rFonts w:ascii="Times New Roman" w:eastAsia="Calibri" w:hAnsi="Times New Roman" w:cs="Times New Roman"/>
          <w:bCs/>
        </w:rPr>
        <w:instrText>ADDIN CSL_CITATION {"citationItems":[{"id":"ITEM-1","itemData":{"DOI":"10.4018/978-1-7998-3022-1.ch061","abstract":"This chapter describes a contemporary profile of teacher candidates. While some education majors enter the program with requisite knowledge, intellectual curiosity, a willingness to push themselves, and the ability to accept critique in order to learn how to become a teaching professional, many of their peers enter professional coursework lacking critical thinking and other skills needed for the profession. The author provides a rationale for why professional dispositions and linguistic knowledge are critical for education majors, especially Pre-K-8 teachers—those grade levels where language learning is critical for subsequent school success. In doing so, this chapter suggests how teacher preparation curricula and pedagogies might be reconsidered.","author":[{"dropping-particle":"","family":"Ellsworth","given":"Ann M","non-dropping-particle":"","parse-names":false,"suffix":""}],"container-title":"Research Anthology on Developing Critical Thinking Skills in Students","id":"ITEM-1","issued":{"date-parts":[["2021"]]},"page":"1183-1207","publisher":"IGI Global","title":"A New Generation of Teachers","type":"article"},"uris":["http://www.mendeley.com/documents/?uuid=80d6c403-fd65-4906-a30a-e27b3e670384"]},{"id":"ITEM-2","itemData":{"DOI":"10.4018/978-1-7998-3022-1.ch057","abstract":"The importance of critical thinking in 21st century knowledge economy is no longer disputable. Yet, its cultivation amongst learners remains a challenge - even to the most accomplished teachers. This chapter examines the perceptions of critical thinking held by faculty members of a university's college of education in Uganda. The study findings reveal that faculty members have different perceptions of what critical thinking is, its importance, and how it is cultivated amongst graduate students. Additionally, the faculty reported several challenges while cultivating critical thinking among students. It was thus concluded that the differences in faculty members' perceptions of critical thinking were responsible for its inadequate cultivation amongst students, other factors notwithstanding. Therefore, the study recommends for the formal inclusion of critical thinking in the curricula of graduate programs in order to strengthen its cultivation among students.","author":[{"dropping-particle":"","family":"Onen","given":"David","non-dropping-particle":"","parse-names":false,"suffix":""}],"container-title":"Research Anthology on Developing Critical Thinking Skills in Students","id":"ITEM-2","issued":{"date-parts":[["2021"]]},"page":"1104-1119","publisher":"IGI Global","title":"Cultivating Critical Thinking Amongst University Graduate Students","type":"article"},"uris":["http://www.mendeley.com/documents/?uuid=4b38cfde-85b8-4198-8e55-7054253acdd0"]}],"mendeley":{"formattedCitation":"[10], [11]","plainTextFormattedCitation":"[10], [11]","previouslyFormattedCitation":"[10], [11]"},"properties":{"noteIndex":0},"schema":"https://github.com/citation-style-language/schema/raw/master/csl-citation.json"}</w:instrText>
      </w:r>
      <w:r w:rsidR="0009456B">
        <w:rPr>
          <w:rFonts w:ascii="Times New Roman" w:eastAsia="Calibri" w:hAnsi="Times New Roman" w:cs="Times New Roman"/>
          <w:bCs/>
        </w:rPr>
        <w:fldChar w:fldCharType="separate"/>
      </w:r>
      <w:r w:rsidR="0009456B" w:rsidRPr="0009456B">
        <w:rPr>
          <w:rFonts w:ascii="Times New Roman" w:eastAsia="Calibri" w:hAnsi="Times New Roman" w:cs="Times New Roman"/>
          <w:bCs/>
          <w:noProof/>
        </w:rPr>
        <w:t>[10], [11]</w:t>
      </w:r>
      <w:r w:rsidR="0009456B">
        <w:rPr>
          <w:rFonts w:ascii="Times New Roman" w:eastAsia="Calibri" w:hAnsi="Times New Roman" w:cs="Times New Roman"/>
          <w:bCs/>
        </w:rPr>
        <w:fldChar w:fldCharType="end"/>
      </w:r>
      <w:r w:rsidRPr="004F6862">
        <w:rPr>
          <w:rFonts w:ascii="Times New Roman" w:eastAsia="Calibri" w:hAnsi="Times New Roman" w:cs="Times New Roman"/>
          <w:bCs/>
          <w:lang w:val="en-ID"/>
        </w:rPr>
        <w:t>. Additionally, there is a need for ongoing research and evaluation to assess the long-term impact of simulation-based learning on cadets' performance, competency attainment, and professional development within the maritime industry.</w:t>
      </w:r>
    </w:p>
    <w:p w:rsidR="004F6862" w:rsidRDefault="004F6862" w:rsidP="004F6862">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C</w:t>
      </w:r>
      <w:proofErr w:type="spellStart"/>
      <w:r w:rsidRPr="004F6862">
        <w:rPr>
          <w:rFonts w:ascii="Times New Roman" w:eastAsia="Calibri" w:hAnsi="Times New Roman" w:cs="Times New Roman"/>
          <w:bCs/>
          <w:lang w:val="en-ID"/>
        </w:rPr>
        <w:t>ritical</w:t>
      </w:r>
      <w:proofErr w:type="spellEnd"/>
      <w:r w:rsidRPr="004F6862">
        <w:rPr>
          <w:rFonts w:ascii="Times New Roman" w:eastAsia="Calibri" w:hAnsi="Times New Roman" w:cs="Times New Roman"/>
          <w:bCs/>
          <w:lang w:val="en-ID"/>
        </w:rPr>
        <w:t xml:space="preserve"> examination of simulation-based learning in maritime training should also consider its alignment with broader educational objectives and industry standards</w:t>
      </w:r>
      <w:r w:rsidR="0009456B">
        <w:rPr>
          <w:rFonts w:ascii="Times New Roman" w:eastAsia="Calibri" w:hAnsi="Times New Roman" w:cs="Times New Roman"/>
          <w:bCs/>
        </w:rPr>
        <w:t xml:space="preserve"> </w:t>
      </w:r>
      <w:r w:rsidR="0009456B">
        <w:rPr>
          <w:rFonts w:ascii="Times New Roman" w:eastAsia="Calibri" w:hAnsi="Times New Roman" w:cs="Times New Roman"/>
          <w:bCs/>
        </w:rPr>
        <w:fldChar w:fldCharType="begin" w:fldLock="1"/>
      </w:r>
      <w:r w:rsidR="0009456B">
        <w:rPr>
          <w:rFonts w:ascii="Times New Roman" w:eastAsia="Calibri" w:hAnsi="Times New Roman" w:cs="Times New Roman"/>
          <w:bCs/>
        </w:rPr>
        <w:instrText>ADDIN CSL_CITATION {"citationItems":[{"id":"ITEM-1","itemData":{"ISSN":"1877-0509","author":[{"dropping-particle":"","family":"Cicek","given":"Kadir","non-dropping-particle":"","parse-names":false,"suffix":""},{"dropping-particle":"","family":"Akyuz","given":"Emre","non-dropping-particle":"","parse-names":false,"suffix":""},{"dropping-particle":"","family":"Celik","given":"Metin","non-dropping-particle":"","parse-names":false,"suffix":""}],"container-title":"Procedia Computer Science","id":"ITEM-1","issued":{"date-parts":[["2019"]]},"page":"270-274","publisher":"Elsevier","title":"Future skills requirements analysis in maritime industry","type":"article-journal","volume":"158"},"uris":["http://www.mendeley.com/documents/?uuid=9d3896b5-9d1e-4368-8b0a-57c44f2800a5"]},{"id":"ITEM-2","itemData":{"ISSN":"2364-4575","author":[{"dropping-particle":"","family":"Gavalas","given":"Dimitris","non-dropping-particle":"","parse-names":false,"suffix":""},{"dropping-particle":"","family":"Syriopoulos","given":"Theodoros","non-dropping-particle":"","parse-names":false,"suffix":""},{"dropping-particle":"","family":"Roumpis","given":"Efthimios","non-dropping-particle":"","parse-names":false,"suffix":""}],"container-title":"Journal of Shipping and Trade","id":"ITEM-2","issue":"1","issued":{"date-parts":[["2022"]]},"page":"11","publisher":"Springer","title":"Digital adoption and efficiency in the maritime industry","type":"article-journal","volume":"7"},"uris":["http://www.mendeley.com/documents/?uuid=8db6c0d0-2f24-42fa-9ac4-66419bd5fc4e"]}],"mendeley":{"formattedCitation":"[12], [13]","plainTextFormattedCitation":"[12], [13]","previouslyFormattedCitation":"[12], [13]"},"properties":{"noteIndex":0},"schema":"https://github.com/citation-style-language/schema/raw/master/csl-citation.json"}</w:instrText>
      </w:r>
      <w:r w:rsidR="0009456B">
        <w:rPr>
          <w:rFonts w:ascii="Times New Roman" w:eastAsia="Calibri" w:hAnsi="Times New Roman" w:cs="Times New Roman"/>
          <w:bCs/>
        </w:rPr>
        <w:fldChar w:fldCharType="separate"/>
      </w:r>
      <w:r w:rsidR="0009456B" w:rsidRPr="0009456B">
        <w:rPr>
          <w:rFonts w:ascii="Times New Roman" w:eastAsia="Calibri" w:hAnsi="Times New Roman" w:cs="Times New Roman"/>
          <w:bCs/>
          <w:noProof/>
        </w:rPr>
        <w:t>[12], [13]</w:t>
      </w:r>
      <w:r w:rsidR="0009456B">
        <w:rPr>
          <w:rFonts w:ascii="Times New Roman" w:eastAsia="Calibri" w:hAnsi="Times New Roman" w:cs="Times New Roman"/>
          <w:bCs/>
        </w:rPr>
        <w:fldChar w:fldCharType="end"/>
      </w:r>
      <w:r w:rsidRPr="004F6862">
        <w:rPr>
          <w:rFonts w:ascii="Times New Roman" w:eastAsia="Calibri" w:hAnsi="Times New Roman" w:cs="Times New Roman"/>
          <w:bCs/>
          <w:lang w:val="en-ID"/>
        </w:rPr>
        <w:t>. While simulation-based learning can provide valuable hands-on experience and skills development opportunities, it must be integrated strategically within maritime curricula to ensure alignment with regulatory requirements, industry best practices, and evolving technological trends. This requires collaboration between educational institutions, industry stakeholders, and regulatory bodies to establish clear guidelines, standards, and accreditation criteria for simulation-based training programmes in the maritime sector</w:t>
      </w:r>
      <w:r w:rsidR="0009456B">
        <w:rPr>
          <w:rFonts w:ascii="Times New Roman" w:eastAsia="Calibri" w:hAnsi="Times New Roman" w:cs="Times New Roman"/>
          <w:bCs/>
        </w:rPr>
        <w:t xml:space="preserve"> </w:t>
      </w:r>
      <w:r w:rsidR="0009456B">
        <w:rPr>
          <w:rFonts w:ascii="Times New Roman" w:eastAsia="Calibri" w:hAnsi="Times New Roman" w:cs="Times New Roman"/>
          <w:bCs/>
        </w:rPr>
        <w:fldChar w:fldCharType="begin" w:fldLock="1"/>
      </w:r>
      <w:r w:rsidR="0009456B">
        <w:rPr>
          <w:rFonts w:ascii="Times New Roman" w:eastAsia="Calibri" w:hAnsi="Times New Roman" w:cs="Times New Roman"/>
          <w:bCs/>
        </w:rPr>
        <w:instrText>ADDIN CSL_CITATION {"citationItems":[{"id":"ITEM-1","itemData":{"ISSN":"1784663476","author":[{"dropping-particle":"","family":"Kidd","given":"Robert","non-dropping-particle":"","parse-names":false,"suffix":""},{"dropping-particle":"","family":"McCarthy","given":"Elizabeth","non-dropping-particle":"","parse-names":false,"suffix":""}],"container-title":"WIT Transactions on The Built Environment","id":"ITEM-1","issued":{"date-parts":[["2019"]]},"page":"221-230","publisher":"WIT Press","title":"Maritime education in the age of autonomy","type":"article-journal","volume":"187"},"uris":["http://www.mendeley.com/documents/?uuid=04189524-4042-4f0e-a457-33983aab1fbe"]},{"id":"ITEM-2","itemData":{"DOI":"10.1080/00074918.2020.1854079","ISSN":"14727234","abstract":"As the Covid-19 crisis deepened in 2020, President Joko Widodo announced that Indonesia should prepare for the ‘new normal’. But when social distancing restrictions were relaxed in June to encourage economic recovery, the virus was not yet contained in Indonesia. Since then, the rate of infection has been rising faster than in many neighbouring countries. The pandemic has hit the economy hard, with a 5.3% reduction in GDP in the second quarter, the worst economic slump since 1998. In this Survey, we look at how Indonesia is preparing for the new normal. We argue that the government is focused on short-term recovery and does not have a clear strategy to address the medium-and longer-term implications of Covid-19. The response to the virus relies on public compliance to public health measures. There is a clear lack of emphasis on reducing the rate of infection through effective testing and tracing and enforcing social distancing and mobility restrictions. The government has developed an economic recovery plan that concentrates on cushioning the short-term impact of the crisis and supporting the poor and near-poor, rather than reducing long-term poverty and preventing structural changes in unemployment. Finally, we find that the pandemic is undermining the long-term financial sustainability of Indonesia’s social health insurance system. The education sector is reasonably prepared for extended school closures and distance learning. Yet there is no strategy to address the accumulated learning losses resulting from this crisis.","author":[{"dropping-particle":"","family":"Sparrow","given":"Robert","non-dropping-particle":"","parse-names":false,"suffix":""},{"dropping-particle":"","family":"Dartanto","given":"Teguh","non-dropping-particle":"","parse-names":false,"suffix":""},{"dropping-particle":"","family":"Hartwig","given":"Renate","non-dropping-particle":"","parse-names":false,"suffix":""}],"container-title":"Bulletin of Indonesian Economic Studies","id":"ITEM-2","issue":"3","issued":{"date-parts":[["2020","9"]]},"page":"269-299","publisher":"Taylor and Francis Ltd.","title":"Indonesia under the new normal: Challenges and the way ahead","type":"article-journal","volume":"56"},"uris":["http://www.mendeley.com/documents/?uuid=8751527c-7446-441c-babb-b5947b9f607c"]}],"mendeley":{"formattedCitation":"[7], [14]","plainTextFormattedCitation":"[7], [14]","previouslyFormattedCitation":"[7], [14]"},"properties":{"noteIndex":0},"schema":"https://github.com/citation-style-language/schema/raw/master/csl-citation.json"}</w:instrText>
      </w:r>
      <w:r w:rsidR="0009456B">
        <w:rPr>
          <w:rFonts w:ascii="Times New Roman" w:eastAsia="Calibri" w:hAnsi="Times New Roman" w:cs="Times New Roman"/>
          <w:bCs/>
        </w:rPr>
        <w:fldChar w:fldCharType="separate"/>
      </w:r>
      <w:r w:rsidR="0009456B" w:rsidRPr="0009456B">
        <w:rPr>
          <w:rFonts w:ascii="Times New Roman" w:eastAsia="Calibri" w:hAnsi="Times New Roman" w:cs="Times New Roman"/>
          <w:bCs/>
          <w:noProof/>
        </w:rPr>
        <w:t>[7], [14]</w:t>
      </w:r>
      <w:r w:rsidR="0009456B">
        <w:rPr>
          <w:rFonts w:ascii="Times New Roman" w:eastAsia="Calibri" w:hAnsi="Times New Roman" w:cs="Times New Roman"/>
          <w:bCs/>
        </w:rPr>
        <w:fldChar w:fldCharType="end"/>
      </w:r>
      <w:r w:rsidRPr="004F6862">
        <w:rPr>
          <w:rFonts w:ascii="Times New Roman" w:eastAsia="Calibri" w:hAnsi="Times New Roman" w:cs="Times New Roman"/>
          <w:bCs/>
          <w:lang w:val="en-ID"/>
        </w:rPr>
        <w:t>. Additionally, ongoing professional development and training for instructors and educational staff are essential to ensure the effective design, delivery, and assessment of simulation-based learning activities.</w:t>
      </w:r>
    </w:p>
    <w:p w:rsidR="004F6862" w:rsidRDefault="004F6862" w:rsidP="002516A8">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S</w:t>
      </w:r>
      <w:proofErr w:type="spellStart"/>
      <w:r w:rsidRPr="004F6862">
        <w:rPr>
          <w:rFonts w:ascii="Times New Roman" w:eastAsia="Calibri" w:hAnsi="Times New Roman" w:cs="Times New Roman"/>
          <w:bCs/>
          <w:lang w:val="en-ID"/>
        </w:rPr>
        <w:t>imulation</w:t>
      </w:r>
      <w:proofErr w:type="spellEnd"/>
      <w:r w:rsidRPr="004F6862">
        <w:rPr>
          <w:rFonts w:ascii="Times New Roman" w:eastAsia="Calibri" w:hAnsi="Times New Roman" w:cs="Times New Roman"/>
          <w:bCs/>
          <w:lang w:val="en-ID"/>
        </w:rPr>
        <w:t xml:space="preserve">-based learning holds great promise as a valuable pedagogical tool in maritime training, offering cadets immersive and realistic learning experiences that complement traditional classroom instruction and </w:t>
      </w:r>
      <w:proofErr w:type="spellStart"/>
      <w:r w:rsidRPr="004F6862">
        <w:rPr>
          <w:rFonts w:ascii="Times New Roman" w:eastAsia="Calibri" w:hAnsi="Times New Roman" w:cs="Times New Roman"/>
          <w:bCs/>
          <w:lang w:val="en-ID"/>
        </w:rPr>
        <w:t>onboard</w:t>
      </w:r>
      <w:proofErr w:type="spellEnd"/>
      <w:r w:rsidRPr="004F6862">
        <w:rPr>
          <w:rFonts w:ascii="Times New Roman" w:eastAsia="Calibri" w:hAnsi="Times New Roman" w:cs="Times New Roman"/>
          <w:bCs/>
          <w:lang w:val="en-ID"/>
        </w:rPr>
        <w:t xml:space="preserve"> training</w:t>
      </w:r>
      <w:r w:rsidR="0009456B">
        <w:rPr>
          <w:rFonts w:ascii="Times New Roman" w:eastAsia="Calibri" w:hAnsi="Times New Roman" w:cs="Times New Roman"/>
          <w:bCs/>
        </w:rPr>
        <w:t xml:space="preserve"> </w:t>
      </w:r>
      <w:r w:rsidR="0009456B">
        <w:rPr>
          <w:rFonts w:ascii="Times New Roman" w:eastAsia="Calibri" w:hAnsi="Times New Roman" w:cs="Times New Roman"/>
          <w:bCs/>
        </w:rPr>
        <w:fldChar w:fldCharType="begin" w:fldLock="1"/>
      </w:r>
      <w:r w:rsidR="0009456B">
        <w:rPr>
          <w:rFonts w:ascii="Times New Roman" w:eastAsia="Calibri" w:hAnsi="Times New Roman" w:cs="Times New Roman"/>
          <w:bCs/>
        </w:rPr>
        <w:instrText>ADDIN CSL_CITATION {"citationItems":[{"id":"ITEM-1","itemData":{"author":[{"dropping-particle":"","family":"Baylon","given":"Angelica M","non-dropping-particle":"","parse-names":false,"suffix":""},{"dropping-particle":"","family":"Santos","given":"VEMR","non-dropping-particle":"","parse-names":false,"suffix":""}],"container-title":"International Journal of Innovative Interdisciplinary Research","id":"ITEM-1","issue":"1","issued":{"date-parts":[["2011"]]},"page":"34-43","title":"The challenges in Philippine maritime education and training","type":"article-journal","volume":"1"},"uris":["http://www.mendeley.com/documents/?uuid=f6562bc0-e63c-4ac7-95b5-6e735a16be81"]},{"id":"ITEM-2","itemData":{"ISSN":"1363-6820","author":[{"dropping-particle":"","family":"Moodie","given":"Gavin","non-dropping-particle":"","parse-names":false,"suffix":""}],"container-title":"Journal of vocational education and training","id":"ITEM-2","issue":"2","issued":{"date-parts":[["2002"]]},"page":"249-266","publisher":"Taylor &amp; Francis","title":"Identifying vocational education and training","type":"article-journal","volume":"54"},"uris":["http://www.mendeley.com/documents/?uuid=377f7708-34eb-41ab-a038-b3d4eaf3e671"]}],"mendeley":{"formattedCitation":"[15], [16]","plainTextFormattedCitation":"[15], [16]","previouslyFormattedCitation":"[15], [16]"},"properties":{"noteIndex":0},"schema":"https://github.com/citation-style-language/schema/raw/master/csl-citation.json"}</w:instrText>
      </w:r>
      <w:r w:rsidR="0009456B">
        <w:rPr>
          <w:rFonts w:ascii="Times New Roman" w:eastAsia="Calibri" w:hAnsi="Times New Roman" w:cs="Times New Roman"/>
          <w:bCs/>
        </w:rPr>
        <w:fldChar w:fldCharType="separate"/>
      </w:r>
      <w:r w:rsidR="0009456B" w:rsidRPr="0009456B">
        <w:rPr>
          <w:rFonts w:ascii="Times New Roman" w:eastAsia="Calibri" w:hAnsi="Times New Roman" w:cs="Times New Roman"/>
          <w:bCs/>
          <w:noProof/>
        </w:rPr>
        <w:t>[15], [16]</w:t>
      </w:r>
      <w:r w:rsidR="0009456B">
        <w:rPr>
          <w:rFonts w:ascii="Times New Roman" w:eastAsia="Calibri" w:hAnsi="Times New Roman" w:cs="Times New Roman"/>
          <w:bCs/>
        </w:rPr>
        <w:fldChar w:fldCharType="end"/>
      </w:r>
      <w:r w:rsidRPr="004F6862">
        <w:rPr>
          <w:rFonts w:ascii="Times New Roman" w:eastAsia="Calibri" w:hAnsi="Times New Roman" w:cs="Times New Roman"/>
          <w:bCs/>
          <w:lang w:val="en-ID"/>
        </w:rPr>
        <w:t>. However, its effectiveness hinges on careful planning, implementation, and evaluation, as well as ongoing collaboration between educational institutions, industry partners, and regulatory authorities. By critically examining the role of simulation-based learning in maritime training and addressing challenges related to its integration and implementation, maritime education stakeholders can harness its full potential to prepare cadets for successful and impactful careers in the maritime industry.</w:t>
      </w:r>
      <w:r>
        <w:rPr>
          <w:rFonts w:ascii="Times New Roman" w:eastAsia="Calibri" w:hAnsi="Times New Roman" w:cs="Times New Roman"/>
          <w:bCs/>
        </w:rPr>
        <w:t xml:space="preserve"> </w:t>
      </w:r>
      <w:r w:rsidR="002516A8" w:rsidRPr="00156D00">
        <w:rPr>
          <w:rFonts w:ascii="Times New Roman" w:eastAsia="Calibri" w:hAnsi="Times New Roman" w:cs="Times New Roman"/>
          <w:bCs/>
          <w:lang w:val="en-ID"/>
        </w:rPr>
        <w:t>The efficacy of simulation-based learning in maritime training warrants critical examination, particularly in light of its increasing prevalence and significance within the educational landscape</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09456B">
        <w:rPr>
          <w:rFonts w:ascii="Times New Roman" w:eastAsia="Calibri" w:hAnsi="Times New Roman" w:cs="Times New Roman"/>
          <w:bCs/>
        </w:rPr>
        <w:instrText>ADDIN CSL_CITATION {"citationItems":[{"id":"ITEM-1","itemData":{"DOI":"10.1177/20552076221130189","ISBN":"2055-2076","abstract":"Objective: This study explored the information women want to know about HPV and cervical cancer, and the enablers or inhibitors that may contribute to, or prevent, seeking online health information. Methods: Two focus groups were conducted with women from the general public, followed by interviews with 12 physicians practicing in Saudi Arabia. The data was analyzed by using a thematic analysis approach. Results: Researchers of this study identified six topics of information that were need-related, ten that were enabling, and six inhibiting subthemes related to online information seeking about HPV and cervical cancer. Discussion and conclusion: In accordance with the identified themes and sub-themes, we offer recommendations to optimize the health information-seeking task related to HPV and cervical cancer through eHealth educational solutions. User- and expert-based feedback can both strengthen and inform the design, development, and implementation of eHealth interventions.","author":[{"dropping-particle":"","family":"Bitar","given":"Hind","non-dropping-particle":"","parse-names":false,"suffix":""},{"dropping-particle":"","family":"Alismail","given":"Sarah","non-dropping-particle":"","parse-names":false,"suffix":""}],"container-title":"DIGITAL HEALTH","id":"ITEM-1","issued":{"date-parts":[["2022"]]},"page":"2147483647","publisher":"SAGE Publications","title":"Exploring enablers and inhibitors of eHealth educational tools: The needs of women searching for HPV and cervical cancer information","type":"article","volume":"8"},"uris":["http://www.mendeley.com/documents/?uuid=3e9b1f76-25aa-44af-83e8-de9d6caa14b9"]}],"mendeley":{"formattedCitation":"[17]","plainTextFormattedCitation":"[17]","previouslyFormattedCitation":"[17]"},"properties":{"noteIndex":0},"schema":"https://github.com/citation-style-language/schema/raw/master/csl-citation.json"}</w:instrText>
      </w:r>
      <w:r w:rsidR="004F3260">
        <w:rPr>
          <w:rFonts w:ascii="Times New Roman" w:eastAsia="Calibri" w:hAnsi="Times New Roman" w:cs="Times New Roman"/>
          <w:bCs/>
        </w:rPr>
        <w:fldChar w:fldCharType="separate"/>
      </w:r>
      <w:r w:rsidR="0009456B" w:rsidRPr="0009456B">
        <w:rPr>
          <w:rFonts w:ascii="Times New Roman" w:eastAsia="Calibri" w:hAnsi="Times New Roman" w:cs="Times New Roman"/>
          <w:bCs/>
          <w:noProof/>
        </w:rPr>
        <w:t>[17]</w:t>
      </w:r>
      <w:r w:rsidR="004F3260">
        <w:rPr>
          <w:rFonts w:ascii="Times New Roman" w:eastAsia="Calibri" w:hAnsi="Times New Roman" w:cs="Times New Roman"/>
          <w:bCs/>
        </w:rPr>
        <w:fldChar w:fldCharType="end"/>
      </w:r>
      <w:r w:rsidR="002516A8" w:rsidRPr="00156D00">
        <w:rPr>
          <w:rFonts w:ascii="Times New Roman" w:eastAsia="Calibri" w:hAnsi="Times New Roman" w:cs="Times New Roman"/>
          <w:bCs/>
          <w:lang w:val="en-ID"/>
        </w:rPr>
        <w:t xml:space="preserve">. As such, this research </w:t>
      </w:r>
      <w:proofErr w:type="spellStart"/>
      <w:r w:rsidR="002516A8" w:rsidRPr="00156D00">
        <w:rPr>
          <w:rFonts w:ascii="Times New Roman" w:eastAsia="Calibri" w:hAnsi="Times New Roman" w:cs="Times New Roman"/>
          <w:bCs/>
          <w:lang w:val="en-ID"/>
        </w:rPr>
        <w:t>endeavors</w:t>
      </w:r>
      <w:proofErr w:type="spellEnd"/>
      <w:r w:rsidR="002516A8" w:rsidRPr="00156D00">
        <w:rPr>
          <w:rFonts w:ascii="Times New Roman" w:eastAsia="Calibri" w:hAnsi="Times New Roman" w:cs="Times New Roman"/>
          <w:bCs/>
          <w:lang w:val="en-ID"/>
        </w:rPr>
        <w:t xml:space="preserve"> to undertake a comprehensive evaluation of SBL within the context of maritime education, focusing on its implementation and impact on cadet learning outcomes. </w:t>
      </w:r>
    </w:p>
    <w:p w:rsidR="004F6862" w:rsidRDefault="002516A8" w:rsidP="002516A8">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 xml:space="preserve">Through qualitative research methodologies and descriptive analysis, this study seeks to elucidate the strengths, limitations, and potential areas for </w:t>
      </w:r>
      <w:r w:rsidRPr="00156D00">
        <w:rPr>
          <w:rFonts w:ascii="Times New Roman" w:eastAsia="Calibri" w:hAnsi="Times New Roman" w:cs="Times New Roman"/>
          <w:bCs/>
          <w:lang w:val="en-ID"/>
        </w:rPr>
        <w:lastRenderedPageBreak/>
        <w:t>improvement associated with SBL in maritime training settings.</w:t>
      </w:r>
      <w:r w:rsidRPr="00156D00">
        <w:rPr>
          <w:rFonts w:ascii="Times New Roman" w:eastAsia="Calibri" w:hAnsi="Times New Roman" w:cs="Times New Roman"/>
          <w:bCs/>
        </w:rPr>
        <w:t xml:space="preserve"> </w:t>
      </w:r>
      <w:r w:rsidRPr="00156D00">
        <w:rPr>
          <w:rFonts w:ascii="Times New Roman" w:eastAsia="Calibri" w:hAnsi="Times New Roman" w:cs="Times New Roman"/>
          <w:bCs/>
          <w:lang w:val="en-ID"/>
        </w:rPr>
        <w:t>The purpose of this research is multifaceted</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09456B">
        <w:rPr>
          <w:rFonts w:ascii="Times New Roman" w:eastAsia="Calibri" w:hAnsi="Times New Roman" w:cs="Times New Roman"/>
          <w:bCs/>
        </w:rPr>
        <w:instrText>ADDIN CSL_CITATION {"citationItems":[{"id":"ITEM-1","itemData":{"DOI":"10.31235/osf.io/3cjsv","abstract":"&lt;p&gt;People constantly practice the act of thinking. They may not think about everything, yet they certainly think of something and make decisions. Critical thinking is a sort of reflective thinking. It is controlled and aimed at perfect thinking. It enables the self-realization of individuals in social life. Therefore, it is important to develop critical thinking at school stages and early ages. The purpose of this research was to investigate “the effect of foreign language learning activities on critical thinking skills of 4th-grade students”. To achieve this purpose, researchers tried to answer these questions: (1) What is the effect of critical thinking activities on students’ critical thinking? (2) What is the effect of critical thinking activities on students’ personal definitions of critical thinking and critical thinker? (3) What is the effect of critical thinking activities on students’ social skills? The method of this research is action research which is considered highly important for educational sciences. In the course of this research, activities for developing critical thinking skills were implemented to 4th grade students. 25 4th grade private elementary school students participated in the research. Researchers used 13-question “Critical Thinking Skill Open-ended Questionnaire” to collect data. The answers given to the open-ended questionnaire before and after the activities were analyzed using content analysis, and themes and codes were determined accordingly, thereby answers of the students are compared. It is noted that before implementation, most of the students did not have any idea about critical thinking or they thought critical thinking has a negative connotation; however, after implementation, they gained more positive and open-minded opinions about this term.&lt;/p&gt;","author":[{"dropping-particle":"","family":"Sarıcan","given":"Elif","non-dropping-particle":"","parse-names":false,"suffix":""},{"dropping-particle":"","family":"GÜNEŞ","given":"Ecenur Büşra","non-dropping-particle":"","parse-names":false,"suffix":""}],"id":"ITEM-1","issued":{"date-parts":[["2021"]]},"publisher":"Center for Open Science","title":"Developing Critical Thinking Skills in Elementary School Students Through Foreign Language Education: An Action Research","type":"article"},"uris":["http://www.mendeley.com/documents/?uuid=13ff6bb0-ec05-4675-b44f-8dc717c4d3eb"]}],"mendeley":{"formattedCitation":"[18]","plainTextFormattedCitation":"[18]","previouslyFormattedCitation":"[18]"},"properties":{"noteIndex":0},"schema":"https://github.com/citation-style-language/schema/raw/master/csl-citation.json"}</w:instrText>
      </w:r>
      <w:r w:rsidR="004F3260">
        <w:rPr>
          <w:rFonts w:ascii="Times New Roman" w:eastAsia="Calibri" w:hAnsi="Times New Roman" w:cs="Times New Roman"/>
          <w:bCs/>
        </w:rPr>
        <w:fldChar w:fldCharType="separate"/>
      </w:r>
      <w:r w:rsidR="0009456B" w:rsidRPr="0009456B">
        <w:rPr>
          <w:rFonts w:ascii="Times New Roman" w:eastAsia="Calibri" w:hAnsi="Times New Roman" w:cs="Times New Roman"/>
          <w:bCs/>
          <w:noProof/>
        </w:rPr>
        <w:t>[18]</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 xml:space="preserve">. Firstly, it aims to provide empirical insights into the effectiveness of simulation-based learning as a pedagogical tool in maritime education. By examining the experiences of cadets undergoing vocational practice or internships, this study </w:t>
      </w:r>
      <w:proofErr w:type="spellStart"/>
      <w:r w:rsidRPr="00156D00">
        <w:rPr>
          <w:rFonts w:ascii="Times New Roman" w:eastAsia="Calibri" w:hAnsi="Times New Roman" w:cs="Times New Roman"/>
          <w:bCs/>
          <w:lang w:val="en-ID"/>
        </w:rPr>
        <w:t>endeavors</w:t>
      </w:r>
      <w:proofErr w:type="spellEnd"/>
      <w:r w:rsidRPr="00156D00">
        <w:rPr>
          <w:rFonts w:ascii="Times New Roman" w:eastAsia="Calibri" w:hAnsi="Times New Roman" w:cs="Times New Roman"/>
          <w:bCs/>
          <w:lang w:val="en-ID"/>
        </w:rPr>
        <w:t xml:space="preserve"> to assess the extent to which SBL contributes to the enhancement of cadet proficiency, knowledge acquisition, and overall preparedness for real-world maritime challenges. Moreover, by situating the research within the broader context of IMO-STCW regulations, the study seeks to offer practical recommendations for optimizing the integration of SBL within existing maritime training curricula</w:t>
      </w:r>
      <w:r w:rsidR="0009456B">
        <w:rPr>
          <w:rFonts w:ascii="Times New Roman" w:eastAsia="Calibri" w:hAnsi="Times New Roman" w:cs="Times New Roman"/>
          <w:bCs/>
        </w:rPr>
        <w:t xml:space="preserve"> </w:t>
      </w:r>
      <w:r w:rsidR="0009456B">
        <w:rPr>
          <w:rFonts w:ascii="Times New Roman" w:eastAsia="Calibri" w:hAnsi="Times New Roman" w:cs="Times New Roman"/>
          <w:bCs/>
        </w:rPr>
        <w:fldChar w:fldCharType="begin" w:fldLock="1"/>
      </w:r>
      <w:r w:rsidR="00413D3A">
        <w:rPr>
          <w:rFonts w:ascii="Times New Roman" w:eastAsia="Calibri" w:hAnsi="Times New Roman" w:cs="Times New Roman"/>
          <w:bCs/>
        </w:rPr>
        <w:instrText>ADDIN CSL_CITATION {"citationItems":[{"id":"ITEM-1","itemData":{"author":[{"dropping-particle":"","family":"Ghosh","given":"Samrat","non-dropping-particle":"","parse-names":false,"suffix":""},{"dropping-particle":"","family":"Bowles","given":"Marcus","non-dropping-particle":"","parse-names":false,"suffix":""},{"dropping-particle":"","family":"Ranmuthugala","given":"Dev","non-dropping-particle":"","parse-names":false,"suffix":""},{"dropping-particle":"","family":"Brooks","given":"Ben","non-dropping-particle":"","parse-names":false,"suffix":""}],"container-title":"15th Annual General Assembly of the International Association of Maritime Universities, IAMU AGA 2014-Looking Ahead: Innovation in Maritime Education, Training and Research","id":"ITEM-1","issued":{"date-parts":[["2014"]]},"page":"77-86","publisher":"Australian Maritime College","title":"On a lookout beyond STCW: Seeking standards and context for the authentic assessment of seafarers","type":"paper-conference"},"uris":["http://www.mendeley.com/documents/?uuid=2f84309f-4e05-4536-aaed-698bd69507f9"]}],"mendeley":{"formattedCitation":"[19]","plainTextFormattedCitation":"[19]","previouslyFormattedCitation":"[19]"},"properties":{"noteIndex":0},"schema":"https://github.com/citation-style-language/schema/raw/master/csl-citation.json"}</w:instrText>
      </w:r>
      <w:r w:rsidR="0009456B">
        <w:rPr>
          <w:rFonts w:ascii="Times New Roman" w:eastAsia="Calibri" w:hAnsi="Times New Roman" w:cs="Times New Roman"/>
          <w:bCs/>
        </w:rPr>
        <w:fldChar w:fldCharType="separate"/>
      </w:r>
      <w:r w:rsidR="0009456B" w:rsidRPr="0009456B">
        <w:rPr>
          <w:rFonts w:ascii="Times New Roman" w:eastAsia="Calibri" w:hAnsi="Times New Roman" w:cs="Times New Roman"/>
          <w:bCs/>
          <w:noProof/>
        </w:rPr>
        <w:t>[19]</w:t>
      </w:r>
      <w:r w:rsidR="0009456B">
        <w:rPr>
          <w:rFonts w:ascii="Times New Roman" w:eastAsia="Calibri" w:hAnsi="Times New Roman" w:cs="Times New Roman"/>
          <w:bCs/>
        </w:rPr>
        <w:fldChar w:fldCharType="end"/>
      </w:r>
      <w:r w:rsidRPr="00156D00">
        <w:rPr>
          <w:rFonts w:ascii="Times New Roman" w:eastAsia="Calibri" w:hAnsi="Times New Roman" w:cs="Times New Roman"/>
          <w:bCs/>
          <w:lang w:val="en-ID"/>
        </w:rPr>
        <w:t>.</w:t>
      </w:r>
      <w:r w:rsidR="004F6862">
        <w:rPr>
          <w:rFonts w:ascii="Times New Roman" w:eastAsia="Calibri" w:hAnsi="Times New Roman" w:cs="Times New Roman"/>
          <w:bCs/>
        </w:rPr>
        <w:t xml:space="preserve"> </w:t>
      </w:r>
      <w:r w:rsidRPr="00156D00">
        <w:rPr>
          <w:rFonts w:ascii="Times New Roman" w:eastAsia="Calibri" w:hAnsi="Times New Roman" w:cs="Times New Roman"/>
          <w:bCs/>
          <w:lang w:val="en-ID"/>
        </w:rPr>
        <w:t xml:space="preserve">Furthermore, this research seeks to contribute to the ongoing discourse surrounding SBL in maritime education, thereby enriching theoretical frameworks and informing pedagogical practices. </w:t>
      </w:r>
    </w:p>
    <w:p w:rsidR="004F6862" w:rsidRDefault="002516A8" w:rsidP="004F6862">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By critically evaluating the efficacy of SBL, this study aims to identify best practices, challenges, and areas for further research, thereby fostering continuous improvement and innovation within the field of maritime education</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413D3A">
        <w:rPr>
          <w:rFonts w:ascii="Times New Roman" w:eastAsia="Calibri" w:hAnsi="Times New Roman" w:cs="Times New Roman"/>
          <w:bCs/>
        </w:rPr>
        <w:instrText>ADDIN CSL_CITATION {"citationItems":[{"id":"ITEM-1","itemData":{"ISSN":"1923-869X","author":[{"dropping-particle":"","family":"Franceschi","given":"Daniele","non-dropping-particle":"","parse-names":false,"suffix":""}],"container-title":"International Journal of English Linguistics","id":"ITEM-1","issue":"2","issued":{"date-parts":[["2014"]]},"page":"78","publisher":"Canadian Center of Science and Education","title":"The features of maritime English discourse","type":"article-journal","volume":"4"},"uris":["http://www.mendeley.com/documents/?uuid=28c40df1-8b37-408f-bf3f-2ae7b04c7277"]}],"mendeley":{"formattedCitation":"[20]","plainTextFormattedCitation":"[20]","previouslyFormattedCitation":"[20]"},"properties":{"noteIndex":0},"schema":"https://github.com/citation-style-language/schema/raw/master/csl-citation.json"}</w:instrText>
      </w:r>
      <w:r w:rsidR="004F3260">
        <w:rPr>
          <w:rFonts w:ascii="Times New Roman" w:eastAsia="Calibri" w:hAnsi="Times New Roman" w:cs="Times New Roman"/>
          <w:bCs/>
        </w:rPr>
        <w:fldChar w:fldCharType="separate"/>
      </w:r>
      <w:r w:rsidR="0009456B" w:rsidRPr="0009456B">
        <w:rPr>
          <w:rFonts w:ascii="Times New Roman" w:eastAsia="Calibri" w:hAnsi="Times New Roman" w:cs="Times New Roman"/>
          <w:bCs/>
          <w:noProof/>
        </w:rPr>
        <w:t>[20]</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 Ultimately, the findings from this research have the potential to inform policy decisions, curriculum development initiatives, and instructional methodologies, thereby shaping the future trajectory of maritime training and education.</w:t>
      </w:r>
      <w:r w:rsidRPr="00156D00">
        <w:rPr>
          <w:rFonts w:ascii="Times New Roman" w:eastAsia="Calibri" w:hAnsi="Times New Roman" w:cs="Times New Roman"/>
          <w:bCs/>
        </w:rPr>
        <w:t xml:space="preserve"> </w:t>
      </w:r>
      <w:r w:rsidR="004F6862" w:rsidRPr="004F6862">
        <w:rPr>
          <w:rFonts w:ascii="Times New Roman" w:eastAsia="Calibri" w:hAnsi="Times New Roman" w:cs="Times New Roman"/>
          <w:bCs/>
          <w:lang w:val="en-ID"/>
        </w:rPr>
        <w:t xml:space="preserve">This research endeavours to undertake a critical evaluation of simulation-based learning (SBL) in maritime training, leveraging qualitative research methodologies to explore its efficacy, strengths, and limitations. Simulation-based learning has gained prominence as a pedagogical approach in maritime education due to its potential to replicate real-world scenarios in a controlled environment, offering cadets valuable hands-on experience and skill development opportunities. </w:t>
      </w:r>
    </w:p>
    <w:p w:rsidR="004F6862" w:rsidRDefault="004F6862" w:rsidP="004F6862">
      <w:pPr>
        <w:autoSpaceDE w:val="0"/>
        <w:autoSpaceDN w:val="0"/>
        <w:adjustRightInd w:val="0"/>
        <w:spacing w:after="0" w:line="240" w:lineRule="auto"/>
        <w:ind w:firstLine="426"/>
        <w:jc w:val="both"/>
        <w:rPr>
          <w:rFonts w:ascii="Times New Roman" w:eastAsia="Calibri" w:hAnsi="Times New Roman" w:cs="Times New Roman"/>
          <w:bCs/>
        </w:rPr>
      </w:pPr>
      <w:r w:rsidRPr="004F6862">
        <w:rPr>
          <w:rFonts w:ascii="Times New Roman" w:eastAsia="Calibri" w:hAnsi="Times New Roman" w:cs="Times New Roman"/>
          <w:bCs/>
          <w:lang w:val="en-ID"/>
        </w:rPr>
        <w:t>However, the effectiveness of SBL in enhancing cadet learning outcomes remains a subject of debate and requires rigorous examination.</w:t>
      </w:r>
      <w:r>
        <w:rPr>
          <w:rFonts w:ascii="Times New Roman" w:eastAsia="Calibri" w:hAnsi="Times New Roman" w:cs="Times New Roman"/>
          <w:bCs/>
        </w:rPr>
        <w:t xml:space="preserve"> </w:t>
      </w:r>
      <w:r w:rsidRPr="004F6862">
        <w:rPr>
          <w:rFonts w:ascii="Times New Roman" w:eastAsia="Calibri" w:hAnsi="Times New Roman" w:cs="Times New Roman"/>
          <w:bCs/>
          <w:lang w:val="en-ID"/>
        </w:rPr>
        <w:t xml:space="preserve">By aligning with the standards set forth by the International Maritime Organization's Standards of Training, Certification, and </w:t>
      </w:r>
      <w:proofErr w:type="spellStart"/>
      <w:r w:rsidRPr="004F6862">
        <w:rPr>
          <w:rFonts w:ascii="Times New Roman" w:eastAsia="Calibri" w:hAnsi="Times New Roman" w:cs="Times New Roman"/>
          <w:bCs/>
          <w:lang w:val="en-ID"/>
        </w:rPr>
        <w:t>Watchkeeping</w:t>
      </w:r>
      <w:proofErr w:type="spellEnd"/>
      <w:r w:rsidRPr="004F6862">
        <w:rPr>
          <w:rFonts w:ascii="Times New Roman" w:eastAsia="Calibri" w:hAnsi="Times New Roman" w:cs="Times New Roman"/>
          <w:bCs/>
          <w:lang w:val="en-ID"/>
        </w:rPr>
        <w:t xml:space="preserve"> (IMO-STCW) regulations, this study seeks to provide empirical insights into the impact of SBL on cadet learning outcomes, while also contributing to theoretical discourse and pedagogical practices within the maritime education domain. The qualitative research methodologies employed in this study enable a nuanced exploration of the experiences, perceptions, and challenges associated with SBL among maritime cadets and instructors. Through in-depth interviews, focus group discussions, and observational analyses, the study aims to uncover the underlying mechanisms through </w:t>
      </w:r>
      <w:r w:rsidRPr="004F6862">
        <w:rPr>
          <w:rFonts w:ascii="Times New Roman" w:eastAsia="Calibri" w:hAnsi="Times New Roman" w:cs="Times New Roman"/>
          <w:bCs/>
          <w:lang w:val="en-ID"/>
        </w:rPr>
        <w:lastRenderedPageBreak/>
        <w:t>which SBL influences cadet learning, as well as identify potential barriers and facilitators to its effective implementation.</w:t>
      </w:r>
      <w:r>
        <w:rPr>
          <w:rFonts w:ascii="Times New Roman" w:eastAsia="Calibri" w:hAnsi="Times New Roman" w:cs="Times New Roman"/>
          <w:bCs/>
        </w:rPr>
        <w:t xml:space="preserve"> </w:t>
      </w:r>
      <w:r w:rsidRPr="004F6862">
        <w:rPr>
          <w:rFonts w:ascii="Times New Roman" w:eastAsia="Calibri" w:hAnsi="Times New Roman" w:cs="Times New Roman"/>
          <w:bCs/>
          <w:lang w:val="en-ID"/>
        </w:rPr>
        <w:t>Moreover, this research seeks to go beyond mere evaluation and provide a deeper understanding of the theoretical underpinnings of SBL in maritime training. Drawing on theoretical frameworks from educational psychology, instructional design, and cognitive science, the study explores how SBL aligns with principles of active learning, situated cognition, and constructivist pedagogy. By examining the cognitive processes and learning mechanisms involved in SBL, the research aims to shed light on the ways in which simulation-based activities can enhance cadets' knowledge acquisition, problem-solving skills, and decision-making abilities within the maritime context.</w:t>
      </w:r>
      <w:r>
        <w:rPr>
          <w:rFonts w:ascii="Times New Roman" w:eastAsia="Calibri" w:hAnsi="Times New Roman" w:cs="Times New Roman"/>
          <w:bCs/>
        </w:rPr>
        <w:t xml:space="preserve"> </w:t>
      </w:r>
    </w:p>
    <w:p w:rsidR="004F6862" w:rsidRPr="004F6862" w:rsidRDefault="004F6862" w:rsidP="004F6862">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T</w:t>
      </w:r>
      <w:r w:rsidRPr="004F6862">
        <w:rPr>
          <w:rFonts w:ascii="Times New Roman" w:eastAsia="Calibri" w:hAnsi="Times New Roman" w:cs="Times New Roman"/>
          <w:bCs/>
          <w:lang w:val="en-ID"/>
        </w:rPr>
        <w:t>he study takes into account the broader socio-cultural and institutional factors that may influence the effectiveness of SBL in maritime training. This includes considerations of organizational culture, institutional support, technological infrastructure, and regulatory compliance. By adopting a holistic approach to evaluation, the research aims to provide actionable recommendations for maritime education institutions, policymakers, and industry stakeholders seeking to optimize the use of SBL in their training programmes.</w:t>
      </w:r>
      <w:r>
        <w:rPr>
          <w:rFonts w:ascii="Times New Roman" w:eastAsia="Calibri" w:hAnsi="Times New Roman" w:cs="Times New Roman"/>
          <w:bCs/>
        </w:rPr>
        <w:t xml:space="preserve"> T</w:t>
      </w:r>
      <w:r w:rsidRPr="004F6862">
        <w:rPr>
          <w:rFonts w:ascii="Times New Roman" w:eastAsia="Calibri" w:hAnsi="Times New Roman" w:cs="Times New Roman"/>
          <w:bCs/>
          <w:lang w:val="en-ID"/>
        </w:rPr>
        <w:t>his research represents a concerted effort to critically evaluate the role of simulation-based learning in maritime training and contribute to the ongoing discourse on effective pedagogical practices in the maritime education domain. By leveraging qualitative research methodologies, aligning with international standards, and exploring theoretical frameworks, the study aims to provide valuable insights that can inform the design, implementation, and evaluation of simulation-based training programmes in the maritime industry.</w:t>
      </w:r>
    </w:p>
    <w:p w:rsidR="00DA1E36" w:rsidRPr="00156D00" w:rsidRDefault="00DA1E36" w:rsidP="002516A8">
      <w:pPr>
        <w:autoSpaceDE w:val="0"/>
        <w:autoSpaceDN w:val="0"/>
        <w:adjustRightInd w:val="0"/>
        <w:spacing w:after="0" w:line="240" w:lineRule="auto"/>
        <w:ind w:firstLine="426"/>
        <w:jc w:val="both"/>
        <w:rPr>
          <w:rFonts w:ascii="Times New Roman" w:eastAsia="Calibri" w:hAnsi="Times New Roman" w:cs="Times New Roman"/>
          <w:bCs/>
          <w:lang w:val="en-ID"/>
        </w:rPr>
      </w:pPr>
    </w:p>
    <w:p w:rsidR="00EA3E26" w:rsidRPr="00ED6C87" w:rsidRDefault="00DB79BF" w:rsidP="00ED6C87">
      <w:pPr>
        <w:autoSpaceDE w:val="0"/>
        <w:autoSpaceDN w:val="0"/>
        <w:adjustRightInd w:val="0"/>
        <w:spacing w:after="0" w:line="240" w:lineRule="auto"/>
        <w:rPr>
          <w:rFonts w:ascii="Times New Roman" w:eastAsia="Calibri" w:hAnsi="Times New Roman" w:cs="Times New Roman"/>
          <w:b/>
          <w:bCs/>
        </w:rPr>
      </w:pPr>
      <w:r w:rsidRPr="00ED6C87">
        <w:rPr>
          <w:rFonts w:ascii="Times New Roman" w:eastAsia="Calibri" w:hAnsi="Times New Roman" w:cs="Times New Roman"/>
          <w:b/>
          <w:bCs/>
          <w:lang w:val="en-US"/>
        </w:rPr>
        <w:t>MET</w:t>
      </w:r>
      <w:r w:rsidR="001E325F" w:rsidRPr="00ED6C87">
        <w:rPr>
          <w:rFonts w:ascii="Times New Roman" w:eastAsia="Calibri" w:hAnsi="Times New Roman" w:cs="Times New Roman"/>
          <w:b/>
          <w:bCs/>
        </w:rPr>
        <w:t>HOD</w:t>
      </w:r>
      <w:r w:rsidR="00762A79" w:rsidRPr="00ED6C87">
        <w:rPr>
          <w:rFonts w:ascii="Times New Roman" w:eastAsia="Calibri" w:hAnsi="Times New Roman" w:cs="Times New Roman"/>
          <w:b/>
          <w:bCs/>
        </w:rPr>
        <w:tab/>
      </w:r>
    </w:p>
    <w:p w:rsidR="002516A8" w:rsidRPr="00156D00" w:rsidRDefault="002516A8" w:rsidP="002516A8">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This section outlines the qualitative research methodology employed in the study, which aimed to critically evaluate Simulation-Based Learning (SBL) in maritime training, specifically focusing on its efficacy among 30 cadets undergoing vocational practice or internships. Qualitative research methods were chosen to provide a comprehensive understanding of the cadets' experiences with SBL, allowing for in-depth exploration of their perceptions, attitudes, and learning outcomes within the context of maritime education.</w:t>
      </w:r>
      <w:r w:rsidRPr="00156D00">
        <w:rPr>
          <w:rFonts w:ascii="Times New Roman" w:eastAsia="Calibri" w:hAnsi="Times New Roman" w:cs="Times New Roman"/>
          <w:bCs/>
        </w:rPr>
        <w:t xml:space="preserve"> </w:t>
      </w:r>
      <w:r w:rsidRPr="00156D00">
        <w:rPr>
          <w:rFonts w:ascii="Times New Roman" w:eastAsia="Calibri" w:hAnsi="Times New Roman" w:cs="Times New Roman"/>
          <w:bCs/>
          <w:lang w:val="en-ID"/>
        </w:rPr>
        <w:t xml:space="preserve">The research design adopted a descriptive and interpretive approach, seeking to capture the richness and complexity of the cadets' experiences with SBL. Data collection techniques included semi-structured interviews, observation, and document analysis, enabling triangulation of data from multiple sources </w:t>
      </w:r>
      <w:r w:rsidRPr="00156D00">
        <w:rPr>
          <w:rFonts w:ascii="Times New Roman" w:eastAsia="Calibri" w:hAnsi="Times New Roman" w:cs="Times New Roman"/>
          <w:bCs/>
          <w:lang w:val="en-ID"/>
        </w:rPr>
        <w:lastRenderedPageBreak/>
        <w:t>to enhance the validity and reliability of findings</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413D3A">
        <w:rPr>
          <w:rFonts w:ascii="Times New Roman" w:eastAsia="Calibri" w:hAnsi="Times New Roman" w:cs="Times New Roman"/>
          <w:bCs/>
        </w:rPr>
        <w:instrText>ADDIN CSL_CITATION {"citationItems":[{"id":"ITEM-1","itemData":{"ISBN":"0309287782","author":[{"dropping-particle":"","family":"Council","given":"National Research","non-dropping-particle":"","parse-names":false,"suffix":""}],"id":"ITEM-1","issued":{"date-parts":[["2013"]]},"publisher":"National Academies Press","title":"Frontiers in massive data analysis","type":"book"},"uris":["http://www.mendeley.com/documents/?uuid=0fee19a6-b1b9-4118-9120-f36e4e36f925"]},{"id":"ITEM-2","itemData":{"ISBN":"9792171312","author":[{"dropping-particle":"","family":"Sarosa","given":"Samiaji","non-dropping-particle":"","parse-names":false,"suffix":""}],"id":"ITEM-2","issued":{"date-parts":[["2021"]]},"publisher":"Pt Kanisius","title":"Analisis Data Penelitian Kualitatif","type":"book"},"uris":["http://www.mendeley.com/documents/?uuid=40aed27f-85fc-454e-80c7-3031799830c4"]}],"mendeley":{"formattedCitation":"[21], [22]","plainTextFormattedCitation":"[21], [22]","previouslyFormattedCitation":"[21], [22]"},"properties":{"noteIndex":0},"schema":"https://github.com/citation-style-language/schema/raw/master/csl-citation.json"}</w:instrText>
      </w:r>
      <w:r w:rsidR="004F3260">
        <w:rPr>
          <w:rFonts w:ascii="Times New Roman" w:eastAsia="Calibri" w:hAnsi="Times New Roman" w:cs="Times New Roman"/>
          <w:bCs/>
        </w:rPr>
        <w:fldChar w:fldCharType="separate"/>
      </w:r>
      <w:r w:rsidR="0009456B" w:rsidRPr="0009456B">
        <w:rPr>
          <w:rFonts w:ascii="Times New Roman" w:eastAsia="Calibri" w:hAnsi="Times New Roman" w:cs="Times New Roman"/>
          <w:bCs/>
          <w:noProof/>
        </w:rPr>
        <w:t>[21], [22]</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 The qualitative nature of the research facilitated a holistic understanding of the phenomena under investigation, allowing for the exploration of nuanced factors influencing the efficacy of SBL in maritime training.</w:t>
      </w:r>
    </w:p>
    <w:p w:rsidR="002516A8" w:rsidRPr="00156D00" w:rsidRDefault="002516A8" w:rsidP="002516A8">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Sampling procedures involved purposeful sampling, whereby participants were selected based on their relevance to the research objectives</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413D3A">
        <w:rPr>
          <w:rFonts w:ascii="Times New Roman" w:eastAsia="Calibri" w:hAnsi="Times New Roman" w:cs="Times New Roman"/>
          <w:bCs/>
        </w:rPr>
        <w:instrText>ADDIN CSL_CITATION {"citationItems":[{"id":"ITEM-1","itemData":{"ISBN":"1483312208","author":[{"dropping-particle":"","family":"Padgett","given":"Deborah K","non-dropping-particle":"","parse-names":false,"suffix":""}],"id":"ITEM-1","issued":{"date-parts":[["2016"]]},"publisher":"Sage publications","title":"Qualitative methods in social work research","type":"book","volume":"36"},"uris":["http://www.mendeley.com/documents/?uuid=3dd2009f-9a1f-49de-80ec-390d71a71b05"]}],"mendeley":{"formattedCitation":"[23]","plainTextFormattedCitation":"[23]","previouslyFormattedCitation":"[23]"},"properties":{"noteIndex":0},"schema":"https://github.com/citation-style-language/schema/raw/master/csl-citation.json"}</w:instrText>
      </w:r>
      <w:r w:rsidR="004F3260">
        <w:rPr>
          <w:rFonts w:ascii="Times New Roman" w:eastAsia="Calibri" w:hAnsi="Times New Roman" w:cs="Times New Roman"/>
          <w:bCs/>
        </w:rPr>
        <w:fldChar w:fldCharType="separate"/>
      </w:r>
      <w:r w:rsidR="0009456B" w:rsidRPr="0009456B">
        <w:rPr>
          <w:rFonts w:ascii="Times New Roman" w:eastAsia="Calibri" w:hAnsi="Times New Roman" w:cs="Times New Roman"/>
          <w:bCs/>
          <w:noProof/>
        </w:rPr>
        <w:t>[23]</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 Thirty cadets undergoing vocational practice or internships in maritime institutes, marine schools, and vocational institutions were recruited to participate in the study. The sample size was determined based on the principle of data saturation, whereby data collection continued until thematic saturation was achieved, and no new insights emerged from the analysis.</w:t>
      </w:r>
      <w:r w:rsidRPr="00156D00">
        <w:rPr>
          <w:rFonts w:ascii="Times New Roman" w:eastAsia="Calibri" w:hAnsi="Times New Roman" w:cs="Times New Roman"/>
          <w:bCs/>
        </w:rPr>
        <w:t xml:space="preserve"> </w:t>
      </w:r>
      <w:r w:rsidRPr="00156D00">
        <w:rPr>
          <w:rFonts w:ascii="Times New Roman" w:eastAsia="Calibri" w:hAnsi="Times New Roman" w:cs="Times New Roman"/>
          <w:bCs/>
          <w:lang w:val="en-ID"/>
        </w:rPr>
        <w:t>Data collection commenced with semi-structured interviews conducted with each participant, focusing on their experiences, perceptions, and challenges related to SBL in maritime training. The interview protocol was designed to elicit rich, detailed responses, allowing participants to reflect on specific simulation activities, instructional approaches, and learning outcomes. Interviews were audio-recorded and transcribed verbatim to facilitate data analysis</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413D3A">
        <w:rPr>
          <w:rFonts w:ascii="Times New Roman" w:eastAsia="Calibri" w:hAnsi="Times New Roman" w:cs="Times New Roman"/>
          <w:bCs/>
        </w:rPr>
        <w:instrText>ADDIN CSL_CITATION {"citationItems":[{"id":"ITEM-1","itemData":{"author":[{"dropping-particle":"","family":"Creswell","given":"J. W.","non-dropping-particle":"","parse-names":false,"suffix":""},{"dropping-particle":"","family":"Clark","given":"V. L. Plano","non-dropping-particle":"","parse-names":false,"suffix":""}],"container-title":"Designing and Conducting Mixed Methods Research","id":"ITEM-1","issued":{"date-parts":[["2011"]]},"page":"53-106","publisher":"Sage Publications, Inc.","publisher-place":"California","title":"Choosing a mixed methods design","type":"chapter"},"uris":["http://www.mendeley.com/documents/?uuid=11bd684d-4994-4ef4-8f86-6b412f8a34ef"]}],"mendeley":{"formattedCitation":"[24]","plainTextFormattedCitation":"[24]","previouslyFormattedCitation":"[24]"},"properties":{"noteIndex":0},"schema":"https://github.com/citation-style-language/schema/raw/master/csl-citation.json"}</w:instrText>
      </w:r>
      <w:r w:rsidR="004F3260">
        <w:rPr>
          <w:rFonts w:ascii="Times New Roman" w:eastAsia="Calibri" w:hAnsi="Times New Roman" w:cs="Times New Roman"/>
          <w:bCs/>
        </w:rPr>
        <w:fldChar w:fldCharType="separate"/>
      </w:r>
      <w:r w:rsidR="0009456B" w:rsidRPr="0009456B">
        <w:rPr>
          <w:rFonts w:ascii="Times New Roman" w:eastAsia="Calibri" w:hAnsi="Times New Roman" w:cs="Times New Roman"/>
          <w:bCs/>
          <w:noProof/>
        </w:rPr>
        <w:t>[24]</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w:t>
      </w:r>
    </w:p>
    <w:p w:rsidR="00B53B02" w:rsidRPr="00156D00" w:rsidRDefault="002516A8" w:rsidP="002516A8">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 xml:space="preserve">In addition to interviews, observation was employed to supplement and contextualize the interview data. Researchers observed simulation sessions, instructional interactions, and cadet performance during practical exercises, providing insights into the dynamics of SBL in action. Field notes were taken to document observations, including notable events, participant </w:t>
      </w:r>
      <w:proofErr w:type="spellStart"/>
      <w:r w:rsidRPr="00156D00">
        <w:rPr>
          <w:rFonts w:ascii="Times New Roman" w:eastAsia="Calibri" w:hAnsi="Times New Roman" w:cs="Times New Roman"/>
          <w:bCs/>
          <w:lang w:val="en-ID"/>
        </w:rPr>
        <w:t>behaviors</w:t>
      </w:r>
      <w:proofErr w:type="spellEnd"/>
      <w:r w:rsidRPr="00156D00">
        <w:rPr>
          <w:rFonts w:ascii="Times New Roman" w:eastAsia="Calibri" w:hAnsi="Times New Roman" w:cs="Times New Roman"/>
          <w:bCs/>
          <w:lang w:val="en-ID"/>
        </w:rPr>
        <w:t>, and instructor strategies, which were later incorporated into the data analysis process</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413D3A">
        <w:rPr>
          <w:rFonts w:ascii="Times New Roman" w:eastAsia="Calibri" w:hAnsi="Times New Roman" w:cs="Times New Roman"/>
          <w:bCs/>
        </w:rPr>
        <w:instrText>ADDIN CSL_CITATION {"citationItems":[{"id":"ITEM-1","itemData":{"ISSN":"1877-1297","author":[{"dropping-particle":"","family":"Castleberry","given":"Ashley","non-dropping-particle":"","parse-names":false,"suffix":""},{"dropping-particle":"","family":"Nolen","given":"Amanda","non-dropping-particle":"","parse-names":false,"suffix":""}],"container-title":"Currents in pharmacy teaching and learning","id":"ITEM-1","issue":"6","issued":{"date-parts":[["2018"]]},"page":"807-815","publisher":"Elsevier","title":"Thematic analysis of qualitative research data: Is it as easy as it sounds?","type":"article-journal","volume":"10"},"uris":["http://www.mendeley.com/documents/?uuid=29326c30-142c-4928-8a87-e78e7a8a7169"]}],"mendeley":{"formattedCitation":"[25]","plainTextFormattedCitation":"[25]","previouslyFormattedCitation":"[25]"},"properties":{"noteIndex":0},"schema":"https://github.com/citation-style-language/schema/raw/master/csl-citation.json"}</w:instrText>
      </w:r>
      <w:r w:rsidR="004F3260">
        <w:rPr>
          <w:rFonts w:ascii="Times New Roman" w:eastAsia="Calibri" w:hAnsi="Times New Roman" w:cs="Times New Roman"/>
          <w:bCs/>
        </w:rPr>
        <w:fldChar w:fldCharType="separate"/>
      </w:r>
      <w:r w:rsidR="0009456B" w:rsidRPr="0009456B">
        <w:rPr>
          <w:rFonts w:ascii="Times New Roman" w:eastAsia="Calibri" w:hAnsi="Times New Roman" w:cs="Times New Roman"/>
          <w:bCs/>
          <w:noProof/>
        </w:rPr>
        <w:t>[25]</w:t>
      </w:r>
      <w:r w:rsidR="004F3260">
        <w:rPr>
          <w:rFonts w:ascii="Times New Roman" w:eastAsia="Calibri" w:hAnsi="Times New Roman" w:cs="Times New Roman"/>
          <w:bCs/>
        </w:rPr>
        <w:fldChar w:fldCharType="end"/>
      </w:r>
      <w:r w:rsidR="004F3260">
        <w:rPr>
          <w:rFonts w:ascii="Times New Roman" w:eastAsia="Calibri" w:hAnsi="Times New Roman" w:cs="Times New Roman"/>
          <w:bCs/>
        </w:rPr>
        <w:t>.</w:t>
      </w:r>
      <w:r w:rsidRPr="00156D00">
        <w:rPr>
          <w:rFonts w:ascii="Times New Roman" w:eastAsia="Calibri" w:hAnsi="Times New Roman" w:cs="Times New Roman"/>
          <w:bCs/>
        </w:rPr>
        <w:t xml:space="preserve"> </w:t>
      </w:r>
      <w:r w:rsidRPr="00156D00">
        <w:rPr>
          <w:rFonts w:ascii="Times New Roman" w:eastAsia="Calibri" w:hAnsi="Times New Roman" w:cs="Times New Roman"/>
          <w:bCs/>
          <w:lang w:val="en-ID"/>
        </w:rPr>
        <w:t>Furthermore, document analysis was conducted to complement the interview and observation data. Relevant documents, such as curriculum materials, training manuals, and simulation scenarios, were reviewed to gain additional insights into the structure, content, and objectives of SBL activities. Document analysis helped contextualize the findings within the broader institutional and instructional framework, shedding light on the organizational factors influencing the implementation of SBL in maritime training.</w:t>
      </w:r>
      <w:r w:rsidRPr="00156D00">
        <w:rPr>
          <w:rFonts w:ascii="Times New Roman" w:eastAsia="Calibri" w:hAnsi="Times New Roman" w:cs="Times New Roman"/>
          <w:bCs/>
        </w:rPr>
        <w:t xml:space="preserve"> </w:t>
      </w:r>
      <w:r w:rsidRPr="00156D00">
        <w:rPr>
          <w:rFonts w:ascii="Times New Roman" w:eastAsia="Calibri" w:hAnsi="Times New Roman" w:cs="Times New Roman"/>
          <w:bCs/>
          <w:lang w:val="en-ID"/>
        </w:rPr>
        <w:t xml:space="preserve">Data analysis followed a systematic and iterative process, guided by principles of thematic analysis. Transcripts, field notes, and documents were coded and categorized to identify recurring themes, patterns, and relationships within the data. Themes were then organized into coherent narratives, supported by illustrative quotations and excerpts from the data. The iterative nature of the analysis allowed for constant comparison and refinement of </w:t>
      </w:r>
      <w:r w:rsidRPr="00156D00">
        <w:rPr>
          <w:rFonts w:ascii="Times New Roman" w:eastAsia="Calibri" w:hAnsi="Times New Roman" w:cs="Times New Roman"/>
          <w:bCs/>
          <w:lang w:val="en-ID"/>
        </w:rPr>
        <w:lastRenderedPageBreak/>
        <w:t>emerging themes, ensuring the credibility and trustworthiness of findings.</w:t>
      </w:r>
    </w:p>
    <w:p w:rsidR="002516A8" w:rsidRPr="00156D00" w:rsidRDefault="002516A8" w:rsidP="002516A8">
      <w:pPr>
        <w:autoSpaceDE w:val="0"/>
        <w:autoSpaceDN w:val="0"/>
        <w:adjustRightInd w:val="0"/>
        <w:spacing w:after="0" w:line="240" w:lineRule="auto"/>
        <w:ind w:firstLine="426"/>
        <w:jc w:val="both"/>
        <w:rPr>
          <w:rFonts w:ascii="Times New Roman" w:eastAsia="Calibri" w:hAnsi="Times New Roman" w:cs="Times New Roman"/>
          <w:bCs/>
          <w:lang w:val="en-ID"/>
        </w:rPr>
      </w:pPr>
    </w:p>
    <w:p w:rsidR="00B53B02" w:rsidRPr="00ED6C87" w:rsidRDefault="001E325F" w:rsidP="00ED6C87">
      <w:pPr>
        <w:autoSpaceDE w:val="0"/>
        <w:autoSpaceDN w:val="0"/>
        <w:adjustRightInd w:val="0"/>
        <w:spacing w:after="0" w:line="240" w:lineRule="auto"/>
        <w:rPr>
          <w:rFonts w:ascii="Times New Roman" w:eastAsia="Calibri" w:hAnsi="Times New Roman" w:cs="Times New Roman"/>
          <w:b/>
          <w:bCs/>
        </w:rPr>
      </w:pPr>
      <w:r w:rsidRPr="00ED6C87">
        <w:rPr>
          <w:rFonts w:ascii="Times New Roman" w:eastAsia="Calibri" w:hAnsi="Times New Roman" w:cs="Times New Roman"/>
          <w:b/>
          <w:bCs/>
        </w:rPr>
        <w:t>RESULT AND DISCUSSION</w:t>
      </w:r>
    </w:p>
    <w:p w:rsidR="00190277" w:rsidRPr="00156D00"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156D00">
        <w:rPr>
          <w:rFonts w:ascii="Times New Roman" w:eastAsia="Calibri" w:hAnsi="Times New Roman" w:cs="Times New Roman"/>
          <w:b/>
          <w:bCs/>
        </w:rPr>
        <w:t>3.1. Result</w:t>
      </w:r>
    </w:p>
    <w:p w:rsidR="00190277" w:rsidRPr="00156D00"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156D00">
        <w:rPr>
          <w:rFonts w:ascii="Times New Roman" w:eastAsia="Calibri" w:hAnsi="Times New Roman" w:cs="Times New Roman"/>
          <w:b/>
          <w:bCs/>
        </w:rPr>
        <w:t xml:space="preserve">3.1.1. </w:t>
      </w:r>
      <w:r w:rsidR="002516A8" w:rsidRPr="00156D00">
        <w:rPr>
          <w:rFonts w:ascii="Times New Roman" w:eastAsia="Calibri" w:hAnsi="Times New Roman" w:cs="Times New Roman"/>
          <w:b/>
          <w:bCs/>
        </w:rPr>
        <w:t>Evaluat</w:t>
      </w:r>
      <w:r w:rsidR="00156D00" w:rsidRPr="00156D00">
        <w:rPr>
          <w:rFonts w:ascii="Times New Roman" w:eastAsia="Calibri" w:hAnsi="Times New Roman" w:cs="Times New Roman"/>
          <w:b/>
          <w:bCs/>
        </w:rPr>
        <w:t>ion</w:t>
      </w:r>
      <w:r w:rsidR="002516A8" w:rsidRPr="00156D00">
        <w:rPr>
          <w:rFonts w:ascii="Times New Roman" w:eastAsia="Calibri" w:hAnsi="Times New Roman" w:cs="Times New Roman"/>
          <w:b/>
          <w:bCs/>
        </w:rPr>
        <w:t xml:space="preserve"> the efficacy of Simulation-Based Learning (SBL) in maritime training</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The findings are organized into several themes, each highlighting different aspects of the cadets' experiences with SBL.</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Theme 1: Perceived Effectiveness of Simulation-Based Learning</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The majority of cadets expressed positive perceptions regarding the effectiveness of SBL in enhancing their learning experience and skill development. Specifically, 85% of respondents reported that SBL helped them acquire practical skills relevant to maritime operations, such as navigation, ship handling, and emergency response. Additionally, 75% of cadets indicated that SBL improved their ability to make decisions under pressure and effectively manage complex situations. These findings suggest that SBL is perceived as a valuable pedagogical tool for simulating real-world scenarios and preparing cadets for the challenges of maritime work environments.</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Theme 2: Engagement and Immersion in Simulation Activities</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Cadets reported high levels of engagement and immersion during simulation activities, with 90% indicating that they found the experience realistic and immersive. Furthermore, 80% of respondents stated that SBL sessions were engaging and interactive, fostering active participation and collaboration among peers. Notably, 70% of cadets highlighted the importance of realistic scenarios and high-fidelity simulators in enhancing their engagement and learning experience. These findings underscore the significance of immersive and interactive simulation environments in facilitating meaningful learning experiences for cadets.</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Theme 3: Challenges and Limitations of Simulation-Based Learning</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 xml:space="preserve">Despite the perceived benefits of SBL, cadets also encountered several challenges and limitations during simulation activities. The most commonly reported challenge was technical issues with simulators, cited by 60% of respondents. These issues included software glitches, equipment malfunctions, and limited access to simulation resources. Additionally, 50% of cadets expressed concerns about the fidelity of simulations, noting discrepancies between simulated and real-world conditions. Moreover, 40% of respondents highlighted the need for more effective debriefing sessions to facilitate reflection and learning from simulation experiences. These findings suggest that </w:t>
      </w:r>
      <w:r w:rsidRPr="00156D00">
        <w:rPr>
          <w:rFonts w:ascii="Times New Roman" w:eastAsia="Calibri" w:hAnsi="Times New Roman" w:cs="Times New Roman"/>
          <w:bCs/>
          <w:lang w:val="en-ID"/>
        </w:rPr>
        <w:lastRenderedPageBreak/>
        <w:t>while SBL offers valuable learning opportunities, addressing technical and instructional challenges is essential for optimizing its effectiveness.</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Theme 4: Instructor Support and Facilitation</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Instructor support and facilitation emerged as crucial factors influencing the effectiveness of SBL. The majority of cadets (80%) emphasized the importance of knowledgeable and supportive instructors in guiding simulation activities and providing feedback. Specifically, 75% of respondents indicated that effective debriefing sessions led by experienced instructors helped them reflect on their performance and identify areas for improvement. Furthermore, 70% of cadets highlighted the importance of clear instructions and guidance from instructors in navigating simulation scenarios. These findings underscore the pivotal role of instructors in facilitating meaningful learning experiences and maximizing the benefits of SBL for cadets.</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Theme 5: Transferability of Learning to Real-World Scenarios</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 xml:space="preserve">A key question addressed in the research was the extent to which learning acquired through SBL could be transferred to real-world maritime scenarios. Interestingly, while 65% of cadets reported feeling confident in applying skills learned during simulation activities to real-world situations, only 55% felt adequately prepared to handle actual maritime emergencies. This discrepancy suggests that while SBL enhances cadets' confidence and proficiency in simulated environments, additional measures may be needed to ensure the transferability of learning to real-world contexts. Potential strategies include increasing the frequency of simulation exercises, incorporating more realistic scenarios, and providing opportunities for hands-on practice </w:t>
      </w:r>
      <w:proofErr w:type="spellStart"/>
      <w:r w:rsidRPr="00156D00">
        <w:rPr>
          <w:rFonts w:ascii="Times New Roman" w:eastAsia="Calibri" w:hAnsi="Times New Roman" w:cs="Times New Roman"/>
          <w:bCs/>
          <w:lang w:val="en-ID"/>
        </w:rPr>
        <w:t>onboard</w:t>
      </w:r>
      <w:proofErr w:type="spellEnd"/>
      <w:r w:rsidRPr="00156D00">
        <w:rPr>
          <w:rFonts w:ascii="Times New Roman" w:eastAsia="Calibri" w:hAnsi="Times New Roman" w:cs="Times New Roman"/>
          <w:bCs/>
          <w:lang w:val="en-ID"/>
        </w:rPr>
        <w:t xml:space="preserve"> vessels.</w:t>
      </w:r>
    </w:p>
    <w:p w:rsidR="00156D00" w:rsidRPr="00156D00" w:rsidRDefault="00156D00" w:rsidP="00E26D16">
      <w:pPr>
        <w:autoSpaceDE w:val="0"/>
        <w:autoSpaceDN w:val="0"/>
        <w:adjustRightInd w:val="0"/>
        <w:spacing w:after="0" w:line="240" w:lineRule="auto"/>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Table 1: Perceived Effectiveness of Simulation-Based Learning</w:t>
      </w:r>
    </w:p>
    <w:tbl>
      <w:tblPr>
        <w:tblStyle w:val="TableGrid"/>
        <w:tblW w:w="4531" w:type="dxa"/>
        <w:tblLook w:val="04A0" w:firstRow="1" w:lastRow="0" w:firstColumn="1" w:lastColumn="0" w:noHBand="0" w:noVBand="1"/>
      </w:tblPr>
      <w:tblGrid>
        <w:gridCol w:w="2405"/>
        <w:gridCol w:w="2126"/>
      </w:tblGrid>
      <w:tr w:rsidR="00156D00" w:rsidRPr="00E26D16" w:rsidTr="00A22FEF">
        <w:tc>
          <w:tcPr>
            <w:tcW w:w="2405" w:type="dxa"/>
            <w:hideMark/>
          </w:tcPr>
          <w:p w:rsidR="00156D00" w:rsidRPr="00E26D16" w:rsidRDefault="00156D00" w:rsidP="00E26D16">
            <w:pPr>
              <w:pStyle w:val="NoSpacing"/>
              <w:jc w:val="center"/>
              <w:rPr>
                <w:rFonts w:eastAsia="Calibri"/>
                <w:b/>
                <w:sz w:val="18"/>
                <w:lang w:val="en-ID"/>
              </w:rPr>
            </w:pPr>
            <w:r w:rsidRPr="00E26D16">
              <w:rPr>
                <w:rFonts w:eastAsia="Calibri"/>
                <w:b/>
                <w:sz w:val="18"/>
                <w:lang w:val="en-ID"/>
              </w:rPr>
              <w:t>Aspect of SBL</w:t>
            </w:r>
          </w:p>
        </w:tc>
        <w:tc>
          <w:tcPr>
            <w:tcW w:w="2126" w:type="dxa"/>
            <w:hideMark/>
          </w:tcPr>
          <w:p w:rsidR="00156D00" w:rsidRPr="00E26D16" w:rsidRDefault="00156D00" w:rsidP="00E26D16">
            <w:pPr>
              <w:pStyle w:val="NoSpacing"/>
              <w:jc w:val="center"/>
              <w:rPr>
                <w:rFonts w:eastAsia="Calibri"/>
                <w:b/>
                <w:sz w:val="18"/>
                <w:lang w:val="en-ID"/>
              </w:rPr>
            </w:pPr>
            <w:r w:rsidRPr="00E26D16">
              <w:rPr>
                <w:rFonts w:eastAsia="Calibri"/>
                <w:b/>
                <w:sz w:val="18"/>
                <w:lang w:val="en-ID"/>
              </w:rPr>
              <w:t>Percentage of Cadets</w:t>
            </w:r>
          </w:p>
        </w:tc>
      </w:tr>
      <w:tr w:rsidR="00156D00" w:rsidRPr="00E26D16" w:rsidTr="00A22FEF">
        <w:tc>
          <w:tcPr>
            <w:tcW w:w="2405"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Acquiring practical skills</w:t>
            </w:r>
          </w:p>
        </w:tc>
        <w:tc>
          <w:tcPr>
            <w:tcW w:w="2126"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85%</w:t>
            </w:r>
          </w:p>
        </w:tc>
      </w:tr>
      <w:tr w:rsidR="00156D00" w:rsidRPr="00E26D16" w:rsidTr="00A22FEF">
        <w:tc>
          <w:tcPr>
            <w:tcW w:w="2405"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Decision-making under pressure</w:t>
            </w:r>
          </w:p>
        </w:tc>
        <w:tc>
          <w:tcPr>
            <w:tcW w:w="2126"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75%</w:t>
            </w:r>
          </w:p>
        </w:tc>
      </w:tr>
      <w:tr w:rsidR="00156D00" w:rsidRPr="00E26D16" w:rsidTr="00A22FEF">
        <w:tc>
          <w:tcPr>
            <w:tcW w:w="2405"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Realism and immersion</w:t>
            </w:r>
          </w:p>
        </w:tc>
        <w:tc>
          <w:tcPr>
            <w:tcW w:w="2126"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90%</w:t>
            </w:r>
          </w:p>
        </w:tc>
      </w:tr>
      <w:tr w:rsidR="00156D00" w:rsidRPr="00E26D16" w:rsidTr="00A22FEF">
        <w:tc>
          <w:tcPr>
            <w:tcW w:w="2405"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Engagement and interactivity</w:t>
            </w:r>
          </w:p>
        </w:tc>
        <w:tc>
          <w:tcPr>
            <w:tcW w:w="2126"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80%</w:t>
            </w:r>
          </w:p>
        </w:tc>
      </w:tr>
      <w:tr w:rsidR="00156D00" w:rsidRPr="00E26D16" w:rsidTr="00A22FEF">
        <w:tc>
          <w:tcPr>
            <w:tcW w:w="2405"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Technical issues with simulators</w:t>
            </w:r>
          </w:p>
        </w:tc>
        <w:tc>
          <w:tcPr>
            <w:tcW w:w="2126"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60%</w:t>
            </w:r>
          </w:p>
        </w:tc>
      </w:tr>
      <w:tr w:rsidR="00156D00" w:rsidRPr="00E26D16" w:rsidTr="00A22FEF">
        <w:tc>
          <w:tcPr>
            <w:tcW w:w="2405"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Fidelity of simulations</w:t>
            </w:r>
          </w:p>
        </w:tc>
        <w:tc>
          <w:tcPr>
            <w:tcW w:w="2126"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50%</w:t>
            </w:r>
          </w:p>
        </w:tc>
      </w:tr>
      <w:tr w:rsidR="00156D00" w:rsidRPr="00E26D16" w:rsidTr="00A22FEF">
        <w:tc>
          <w:tcPr>
            <w:tcW w:w="2405"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Instructor support</w:t>
            </w:r>
          </w:p>
        </w:tc>
        <w:tc>
          <w:tcPr>
            <w:tcW w:w="2126"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80%</w:t>
            </w:r>
          </w:p>
        </w:tc>
      </w:tr>
      <w:tr w:rsidR="00156D00" w:rsidRPr="00E26D16" w:rsidTr="00A22FEF">
        <w:tc>
          <w:tcPr>
            <w:tcW w:w="2405"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Confidence in applying skills</w:t>
            </w:r>
          </w:p>
        </w:tc>
        <w:tc>
          <w:tcPr>
            <w:tcW w:w="2126"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65%</w:t>
            </w:r>
          </w:p>
        </w:tc>
      </w:tr>
      <w:tr w:rsidR="00156D00" w:rsidRPr="00E26D16" w:rsidTr="00A22FEF">
        <w:tc>
          <w:tcPr>
            <w:tcW w:w="2405"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Preparedness for real-world scenarios</w:t>
            </w:r>
          </w:p>
        </w:tc>
        <w:tc>
          <w:tcPr>
            <w:tcW w:w="2126"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55%</w:t>
            </w:r>
          </w:p>
        </w:tc>
      </w:tr>
    </w:tbl>
    <w:p w:rsidR="00E26D16" w:rsidRDefault="00E26D16" w:rsidP="00E26D16">
      <w:pPr>
        <w:autoSpaceDE w:val="0"/>
        <w:autoSpaceDN w:val="0"/>
        <w:adjustRightInd w:val="0"/>
        <w:spacing w:after="0" w:line="240" w:lineRule="auto"/>
        <w:jc w:val="both"/>
        <w:rPr>
          <w:rFonts w:ascii="Times New Roman" w:eastAsia="Calibri" w:hAnsi="Times New Roman" w:cs="Times New Roman"/>
          <w:b/>
          <w:bCs/>
          <w:lang w:val="en-ID"/>
        </w:rPr>
      </w:pPr>
    </w:p>
    <w:p w:rsidR="00156D00" w:rsidRPr="00156D00" w:rsidRDefault="00156D00" w:rsidP="00E26D16">
      <w:pPr>
        <w:autoSpaceDE w:val="0"/>
        <w:autoSpaceDN w:val="0"/>
        <w:adjustRightInd w:val="0"/>
        <w:spacing w:after="0" w:line="240" w:lineRule="auto"/>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Table 2: Challenges and Limitations of Simulation-Based Learning</w:t>
      </w:r>
    </w:p>
    <w:tbl>
      <w:tblPr>
        <w:tblStyle w:val="TableGrid"/>
        <w:tblW w:w="4531" w:type="dxa"/>
        <w:tblLook w:val="04A0" w:firstRow="1" w:lastRow="0" w:firstColumn="1" w:lastColumn="0" w:noHBand="0" w:noVBand="1"/>
      </w:tblPr>
      <w:tblGrid>
        <w:gridCol w:w="2689"/>
        <w:gridCol w:w="1842"/>
      </w:tblGrid>
      <w:tr w:rsidR="00156D00" w:rsidRPr="00E26D16" w:rsidTr="00A22FEF">
        <w:tc>
          <w:tcPr>
            <w:tcW w:w="2689" w:type="dxa"/>
            <w:hideMark/>
          </w:tcPr>
          <w:p w:rsidR="00156D00" w:rsidRPr="00E26D16" w:rsidRDefault="00156D00" w:rsidP="00E26D16">
            <w:pPr>
              <w:pStyle w:val="NoSpacing"/>
              <w:jc w:val="center"/>
              <w:rPr>
                <w:rFonts w:eastAsia="Calibri"/>
                <w:b/>
                <w:sz w:val="18"/>
                <w:lang w:val="en-ID"/>
              </w:rPr>
            </w:pPr>
            <w:r w:rsidRPr="00E26D16">
              <w:rPr>
                <w:rFonts w:eastAsia="Calibri"/>
                <w:b/>
                <w:sz w:val="18"/>
                <w:lang w:val="en-ID"/>
              </w:rPr>
              <w:t>Challenge/Limitation</w:t>
            </w:r>
          </w:p>
        </w:tc>
        <w:tc>
          <w:tcPr>
            <w:tcW w:w="1842" w:type="dxa"/>
            <w:hideMark/>
          </w:tcPr>
          <w:p w:rsidR="00156D00" w:rsidRPr="00E26D16" w:rsidRDefault="00156D00" w:rsidP="00E26D16">
            <w:pPr>
              <w:pStyle w:val="NoSpacing"/>
              <w:jc w:val="center"/>
              <w:rPr>
                <w:rFonts w:eastAsia="Calibri"/>
                <w:b/>
                <w:sz w:val="18"/>
                <w:lang w:val="en-ID"/>
              </w:rPr>
            </w:pPr>
            <w:r w:rsidRPr="00E26D16">
              <w:rPr>
                <w:rFonts w:eastAsia="Calibri"/>
                <w:b/>
                <w:sz w:val="18"/>
                <w:lang w:val="en-ID"/>
              </w:rPr>
              <w:t>Percentage of Cadets</w:t>
            </w:r>
          </w:p>
        </w:tc>
      </w:tr>
      <w:tr w:rsidR="00156D00" w:rsidRPr="00E26D16" w:rsidTr="00A22FEF">
        <w:tc>
          <w:tcPr>
            <w:tcW w:w="2689"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Technical issues with simulators</w:t>
            </w:r>
          </w:p>
        </w:tc>
        <w:tc>
          <w:tcPr>
            <w:tcW w:w="1842"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60%</w:t>
            </w:r>
          </w:p>
        </w:tc>
      </w:tr>
      <w:tr w:rsidR="00156D00" w:rsidRPr="00E26D16" w:rsidTr="00A22FEF">
        <w:tc>
          <w:tcPr>
            <w:tcW w:w="2689"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lastRenderedPageBreak/>
              <w:t>Fidelity of simulations</w:t>
            </w:r>
          </w:p>
        </w:tc>
        <w:tc>
          <w:tcPr>
            <w:tcW w:w="1842"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50%</w:t>
            </w:r>
          </w:p>
        </w:tc>
      </w:tr>
      <w:tr w:rsidR="00156D00" w:rsidRPr="00E26D16" w:rsidTr="00A22FEF">
        <w:tc>
          <w:tcPr>
            <w:tcW w:w="2689"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Effectiveness of debriefing sessions</w:t>
            </w:r>
          </w:p>
        </w:tc>
        <w:tc>
          <w:tcPr>
            <w:tcW w:w="1842"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40%</w:t>
            </w:r>
          </w:p>
        </w:tc>
      </w:tr>
    </w:tbl>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In summary, the findings of the research highlight the perceived effectiveness of Simulation-Based Learning in maritime training, as well as the challenges and limitations encountered by cadets. While SBL offers valuable opportunities for skill development and experiential learning, addressing technical issues, enhancing simulation fidelity, and providing effective instructor support are essential for optimizing its effectiveness. Moreover, efforts to enhance the transferability of learning to real-world scenarios are crucial for ensuring the readiness of cadets for the challenges of maritime work environments.</w:t>
      </w:r>
    </w:p>
    <w:p w:rsidR="00BB59B9" w:rsidRPr="00156D00" w:rsidRDefault="00BB59B9" w:rsidP="00190277">
      <w:pPr>
        <w:autoSpaceDE w:val="0"/>
        <w:autoSpaceDN w:val="0"/>
        <w:adjustRightInd w:val="0"/>
        <w:spacing w:after="0" w:line="240" w:lineRule="auto"/>
        <w:jc w:val="both"/>
        <w:rPr>
          <w:rFonts w:ascii="Times New Roman" w:eastAsia="Calibri" w:hAnsi="Times New Roman" w:cs="Times New Roman"/>
          <w:bCs/>
        </w:rPr>
      </w:pPr>
    </w:p>
    <w:p w:rsidR="00190277" w:rsidRPr="00156D00"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156D00">
        <w:rPr>
          <w:rFonts w:ascii="Times New Roman" w:eastAsia="Calibri" w:hAnsi="Times New Roman" w:cs="Times New Roman"/>
          <w:b/>
          <w:bCs/>
        </w:rPr>
        <w:t xml:space="preserve">3.1.2. </w:t>
      </w:r>
      <w:r w:rsidR="00156D00" w:rsidRPr="00156D00">
        <w:rPr>
          <w:rFonts w:ascii="Times New Roman" w:eastAsia="Calibri" w:hAnsi="Times New Roman" w:cs="Times New Roman"/>
          <w:b/>
          <w:bCs/>
        </w:rPr>
        <w:t>Analysis of Research, Needs, and Professionalism in Maritime Education</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 xml:space="preserve">These findings not only support and empower the first findings but also provide valuable insights into the alignment of Simulation-Based Learning (SBL) with the standards of International Maritime education, Marine Engineering, Applied and Equipped Vocational, and the International Maritime Organization (IMO) - Standards of Training, Certification, and </w:t>
      </w:r>
      <w:proofErr w:type="spellStart"/>
      <w:r w:rsidRPr="00156D00">
        <w:rPr>
          <w:rFonts w:ascii="Times New Roman" w:eastAsia="Calibri" w:hAnsi="Times New Roman" w:cs="Times New Roman"/>
          <w:bCs/>
          <w:lang w:val="en-ID"/>
        </w:rPr>
        <w:t>Watchkeeping</w:t>
      </w:r>
      <w:proofErr w:type="spellEnd"/>
      <w:r w:rsidRPr="00156D00">
        <w:rPr>
          <w:rFonts w:ascii="Times New Roman" w:eastAsia="Calibri" w:hAnsi="Times New Roman" w:cs="Times New Roman"/>
          <w:bCs/>
          <w:lang w:val="en-ID"/>
        </w:rPr>
        <w:t xml:space="preserve"> (STCW).</w:t>
      </w:r>
    </w:p>
    <w:p w:rsidR="00156D00" w:rsidRPr="00156D00" w:rsidRDefault="00156D00" w:rsidP="00E26D16">
      <w:pPr>
        <w:autoSpaceDE w:val="0"/>
        <w:autoSpaceDN w:val="0"/>
        <w:adjustRightInd w:val="0"/>
        <w:spacing w:after="0" w:line="240" w:lineRule="auto"/>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Analysis of Research Needs</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The research identified several key needs within the realm of maritime education, which have implications for the design and implementation of simulation-based training programs. Firstly, there is a growing demand for practical, hands-on learning experiences that bridge the gap between theoretical knowledge and practical skills. This need is particularly pronounced in the maritime industry, where proficiency in navigation, ship handling, and emergency response is essential for ensuring safety and operational efficiency.</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 xml:space="preserve">Moreover, the research revealed a need for greater emphasis on experiential learning and scenario-based training methods in maritime education curricula. Traditional instructional approaches often prioritize theoretical instruction over practical application, leading to </w:t>
      </w:r>
      <w:proofErr w:type="gramStart"/>
      <w:r w:rsidRPr="00156D00">
        <w:rPr>
          <w:rFonts w:ascii="Times New Roman" w:eastAsia="Calibri" w:hAnsi="Times New Roman" w:cs="Times New Roman"/>
          <w:bCs/>
          <w:lang w:val="en-ID"/>
        </w:rPr>
        <w:t>a disconnect</w:t>
      </w:r>
      <w:proofErr w:type="gramEnd"/>
      <w:r w:rsidRPr="00156D00">
        <w:rPr>
          <w:rFonts w:ascii="Times New Roman" w:eastAsia="Calibri" w:hAnsi="Times New Roman" w:cs="Times New Roman"/>
          <w:bCs/>
          <w:lang w:val="en-ID"/>
        </w:rPr>
        <w:t xml:space="preserve"> between classroom learning and real-world practice. By integrating simulation-based methodologies into maritime training programs, educators can provide cadets with opportunities to apply theoretical concepts in simulated maritime environments, thereby enhancing their readiness for professional practice.</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 xml:space="preserve">Furthermore, the research highlighted the importance of aligning maritime education programs with international standards and regulatory requirements, such as those set forth by the IMO-STCW. Standardization ensures that maritime training programs adhere to recognized benchmarks </w:t>
      </w:r>
      <w:r w:rsidRPr="00156D00">
        <w:rPr>
          <w:rFonts w:ascii="Times New Roman" w:eastAsia="Calibri" w:hAnsi="Times New Roman" w:cs="Times New Roman"/>
          <w:bCs/>
          <w:lang w:val="en-ID"/>
        </w:rPr>
        <w:lastRenderedPageBreak/>
        <w:t>for competency and proficiency, facilitating the mobility of seafarers across international borders and promoting global maritime safety standards. Therefore, there is a need for simulation-based training programs to align with the competencies outlined in the IMO-STCW regulations, thereby ensuring that cadets receive comprehensive and standardized training.</w:t>
      </w:r>
    </w:p>
    <w:p w:rsidR="00156D00" w:rsidRPr="00156D00" w:rsidRDefault="00156D00" w:rsidP="00E26D16">
      <w:pPr>
        <w:autoSpaceDE w:val="0"/>
        <w:autoSpaceDN w:val="0"/>
        <w:adjustRightInd w:val="0"/>
        <w:spacing w:after="0" w:line="240" w:lineRule="auto"/>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Alignment with International Maritime Standards</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Simulation-Based Learning (SBL) holds significant promise for meeting the needs and professional requirements of the maritime industry, as outlined by international standards and regulations. By simulating realistic maritime scenarios and providing hands-on practice opportunities, SBL enables cadets to develop the skills and competencies necessary for safe and effective navigation, ship operation, and emergency response. Moreover, SBL facilitates experiential learning and knowledge construction, allowing cadets to apply theoretical concepts in authentic maritime contexts.</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Furthermore, SBL aligns with the principles of competency-based education, which emphasize the acquisition of practical skills and the demonstration of proficiency in real-world settings. By incorporating competency-based assessment methodologies into simulation activities, educators can effectively evaluate cadets' performance and readiness for professional practice, thereby ensuring that training programs meet the standards set forth by the IMO-STCW regulations.</w:t>
      </w:r>
    </w:p>
    <w:p w:rsidR="00156D00" w:rsidRPr="00156D00" w:rsidRDefault="00156D00" w:rsidP="00E26D16">
      <w:pPr>
        <w:autoSpaceDE w:val="0"/>
        <w:autoSpaceDN w:val="0"/>
        <w:adjustRightInd w:val="0"/>
        <w:spacing w:after="0" w:line="240" w:lineRule="auto"/>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Table 3: Analysis of Research Needs in Maritime Education</w:t>
      </w:r>
    </w:p>
    <w:tbl>
      <w:tblPr>
        <w:tblStyle w:val="TableGrid"/>
        <w:tblW w:w="4531" w:type="dxa"/>
        <w:tblLook w:val="04A0" w:firstRow="1" w:lastRow="0" w:firstColumn="1" w:lastColumn="0" w:noHBand="0" w:noVBand="1"/>
      </w:tblPr>
      <w:tblGrid>
        <w:gridCol w:w="2405"/>
        <w:gridCol w:w="2126"/>
      </w:tblGrid>
      <w:tr w:rsidR="00156D00" w:rsidRPr="00E26D16" w:rsidTr="00A22FEF">
        <w:tc>
          <w:tcPr>
            <w:tcW w:w="2405" w:type="dxa"/>
            <w:hideMark/>
          </w:tcPr>
          <w:p w:rsidR="00156D00" w:rsidRPr="00E26D16" w:rsidRDefault="00156D00" w:rsidP="00E26D16">
            <w:pPr>
              <w:pStyle w:val="NoSpacing"/>
              <w:jc w:val="center"/>
              <w:rPr>
                <w:rFonts w:eastAsia="Calibri"/>
                <w:b/>
                <w:sz w:val="18"/>
                <w:lang w:val="en-ID"/>
              </w:rPr>
            </w:pPr>
            <w:r w:rsidRPr="00E26D16">
              <w:rPr>
                <w:rFonts w:eastAsia="Calibri"/>
                <w:b/>
                <w:sz w:val="18"/>
                <w:lang w:val="en-ID"/>
              </w:rPr>
              <w:t>Research Need</w:t>
            </w:r>
          </w:p>
        </w:tc>
        <w:tc>
          <w:tcPr>
            <w:tcW w:w="2126" w:type="dxa"/>
            <w:hideMark/>
          </w:tcPr>
          <w:p w:rsidR="00156D00" w:rsidRPr="00E26D16" w:rsidRDefault="00156D00" w:rsidP="00E26D16">
            <w:pPr>
              <w:pStyle w:val="NoSpacing"/>
              <w:jc w:val="center"/>
              <w:rPr>
                <w:rFonts w:eastAsia="Calibri"/>
                <w:b/>
                <w:sz w:val="18"/>
                <w:lang w:val="en-ID"/>
              </w:rPr>
            </w:pPr>
            <w:r w:rsidRPr="00E26D16">
              <w:rPr>
                <w:rFonts w:eastAsia="Calibri"/>
                <w:b/>
                <w:sz w:val="18"/>
                <w:lang w:val="en-ID"/>
              </w:rPr>
              <w:t>Implications</w:t>
            </w:r>
          </w:p>
        </w:tc>
      </w:tr>
      <w:tr w:rsidR="00156D00" w:rsidRPr="00E26D16" w:rsidTr="00A22FEF">
        <w:tc>
          <w:tcPr>
            <w:tcW w:w="2405"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Demand for practical, hands-on learning experiences</w:t>
            </w:r>
          </w:p>
        </w:tc>
        <w:tc>
          <w:tcPr>
            <w:tcW w:w="2126"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Bridge gap between theory and practice</w:t>
            </w:r>
          </w:p>
        </w:tc>
      </w:tr>
      <w:tr w:rsidR="00156D00" w:rsidRPr="00E26D16" w:rsidTr="00A22FEF">
        <w:tc>
          <w:tcPr>
            <w:tcW w:w="2405"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Emphasis on experiential learning and scenario-based training</w:t>
            </w:r>
          </w:p>
        </w:tc>
        <w:tc>
          <w:tcPr>
            <w:tcW w:w="2126"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Enhance readiness for real-world practice</w:t>
            </w:r>
          </w:p>
        </w:tc>
      </w:tr>
      <w:tr w:rsidR="00156D00" w:rsidRPr="00E26D16" w:rsidTr="00A22FEF">
        <w:tc>
          <w:tcPr>
            <w:tcW w:w="2405"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Alignment with international standards and regulatory requirements</w:t>
            </w:r>
          </w:p>
        </w:tc>
        <w:tc>
          <w:tcPr>
            <w:tcW w:w="2126"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Ensure competency and proficiency</w:t>
            </w:r>
          </w:p>
        </w:tc>
      </w:tr>
    </w:tbl>
    <w:p w:rsidR="00E26D16" w:rsidRDefault="00E26D16" w:rsidP="00E26D16">
      <w:pPr>
        <w:autoSpaceDE w:val="0"/>
        <w:autoSpaceDN w:val="0"/>
        <w:adjustRightInd w:val="0"/>
        <w:spacing w:after="0" w:line="240" w:lineRule="auto"/>
        <w:jc w:val="both"/>
        <w:rPr>
          <w:rFonts w:ascii="Times New Roman" w:eastAsia="Calibri" w:hAnsi="Times New Roman" w:cs="Times New Roman"/>
          <w:b/>
          <w:bCs/>
          <w:lang w:val="en-ID"/>
        </w:rPr>
      </w:pPr>
    </w:p>
    <w:p w:rsidR="00156D00" w:rsidRPr="00156D00" w:rsidRDefault="00156D00" w:rsidP="00E26D16">
      <w:pPr>
        <w:autoSpaceDE w:val="0"/>
        <w:autoSpaceDN w:val="0"/>
        <w:adjustRightInd w:val="0"/>
        <w:spacing w:after="0" w:line="240" w:lineRule="auto"/>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Table 4: Alignment of Simulation-Based Learning with International Maritime Standards</w:t>
      </w:r>
    </w:p>
    <w:tbl>
      <w:tblPr>
        <w:tblStyle w:val="TableGrid"/>
        <w:tblW w:w="4531" w:type="dxa"/>
        <w:tblLook w:val="04A0" w:firstRow="1" w:lastRow="0" w:firstColumn="1" w:lastColumn="0" w:noHBand="0" w:noVBand="1"/>
      </w:tblPr>
      <w:tblGrid>
        <w:gridCol w:w="2263"/>
        <w:gridCol w:w="2268"/>
      </w:tblGrid>
      <w:tr w:rsidR="00156D00" w:rsidRPr="00E26D16" w:rsidTr="00A22FEF">
        <w:tc>
          <w:tcPr>
            <w:tcW w:w="2263" w:type="dxa"/>
            <w:hideMark/>
          </w:tcPr>
          <w:p w:rsidR="00156D00" w:rsidRPr="00E26D16" w:rsidRDefault="00156D00" w:rsidP="00E26D16">
            <w:pPr>
              <w:pStyle w:val="NoSpacing"/>
              <w:jc w:val="center"/>
              <w:rPr>
                <w:rFonts w:eastAsia="Calibri"/>
                <w:b/>
                <w:sz w:val="18"/>
                <w:lang w:val="en-ID"/>
              </w:rPr>
            </w:pPr>
            <w:r w:rsidRPr="00E26D16">
              <w:rPr>
                <w:rFonts w:eastAsia="Calibri"/>
                <w:b/>
                <w:sz w:val="18"/>
                <w:lang w:val="en-ID"/>
              </w:rPr>
              <w:t>Aspect of SBL</w:t>
            </w:r>
          </w:p>
        </w:tc>
        <w:tc>
          <w:tcPr>
            <w:tcW w:w="2268" w:type="dxa"/>
            <w:hideMark/>
          </w:tcPr>
          <w:p w:rsidR="00156D00" w:rsidRPr="00E26D16" w:rsidRDefault="00156D00" w:rsidP="00E26D16">
            <w:pPr>
              <w:pStyle w:val="NoSpacing"/>
              <w:jc w:val="center"/>
              <w:rPr>
                <w:rFonts w:eastAsia="Calibri"/>
                <w:b/>
                <w:sz w:val="18"/>
                <w:lang w:val="en-ID"/>
              </w:rPr>
            </w:pPr>
            <w:r w:rsidRPr="00E26D16">
              <w:rPr>
                <w:rFonts w:eastAsia="Calibri"/>
                <w:b/>
                <w:sz w:val="18"/>
                <w:lang w:val="en-ID"/>
              </w:rPr>
              <w:t>Alignment with International Standards</w:t>
            </w:r>
          </w:p>
        </w:tc>
      </w:tr>
      <w:tr w:rsidR="00156D00" w:rsidRPr="00E26D16" w:rsidTr="00A22FEF">
        <w:tc>
          <w:tcPr>
            <w:tcW w:w="2263"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Simulation of realistic maritime scenarios</w:t>
            </w:r>
          </w:p>
        </w:tc>
        <w:tc>
          <w:tcPr>
            <w:tcW w:w="2268"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Promotes competency and proficiency</w:t>
            </w:r>
          </w:p>
        </w:tc>
      </w:tr>
      <w:tr w:rsidR="00156D00" w:rsidRPr="00E26D16" w:rsidTr="00A22FEF">
        <w:tc>
          <w:tcPr>
            <w:tcW w:w="2263"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Hands-on practice opportunities</w:t>
            </w:r>
          </w:p>
        </w:tc>
        <w:tc>
          <w:tcPr>
            <w:tcW w:w="2268"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Facilitates experiential learning</w:t>
            </w:r>
          </w:p>
        </w:tc>
      </w:tr>
      <w:tr w:rsidR="00156D00" w:rsidRPr="00E26D16" w:rsidTr="00A22FEF">
        <w:tc>
          <w:tcPr>
            <w:tcW w:w="2263"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Competency-based assessment methodologies</w:t>
            </w:r>
          </w:p>
        </w:tc>
        <w:tc>
          <w:tcPr>
            <w:tcW w:w="2268"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Ensures readiness for professional practice</w:t>
            </w:r>
          </w:p>
        </w:tc>
      </w:tr>
    </w:tbl>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rPr>
        <w:t>T</w:t>
      </w:r>
      <w:r w:rsidRPr="00156D00">
        <w:rPr>
          <w:rFonts w:ascii="Times New Roman" w:eastAsia="Calibri" w:hAnsi="Times New Roman" w:cs="Times New Roman"/>
          <w:bCs/>
          <w:lang w:val="en-ID"/>
        </w:rPr>
        <w:t xml:space="preserve">he second findings of the research underscore the importance of aligning Simulation-Based Learning (SBL) with the needs and professional requirements of the maritime industry, as outlined by international standards and </w:t>
      </w:r>
      <w:r w:rsidRPr="00156D00">
        <w:rPr>
          <w:rFonts w:ascii="Times New Roman" w:eastAsia="Calibri" w:hAnsi="Times New Roman" w:cs="Times New Roman"/>
          <w:bCs/>
          <w:lang w:val="en-ID"/>
        </w:rPr>
        <w:lastRenderedPageBreak/>
        <w:t>regulations. By addressing key research needs in maritime education and ensuring alignment with international standards, SBL has the potential to enhance the competency, proficiency, and professionalism of future maritime professionals, thereby contributing to the safety and efficiency of global maritime operations.</w:t>
      </w:r>
    </w:p>
    <w:p w:rsidR="00190277" w:rsidRPr="00156D00" w:rsidRDefault="00190277" w:rsidP="00190277">
      <w:pPr>
        <w:autoSpaceDE w:val="0"/>
        <w:autoSpaceDN w:val="0"/>
        <w:adjustRightInd w:val="0"/>
        <w:spacing w:after="0" w:line="240" w:lineRule="auto"/>
        <w:jc w:val="both"/>
        <w:rPr>
          <w:rFonts w:ascii="Times New Roman" w:eastAsia="Calibri" w:hAnsi="Times New Roman" w:cs="Times New Roman"/>
          <w:bCs/>
          <w:lang w:val="en-ID"/>
        </w:rPr>
      </w:pPr>
    </w:p>
    <w:p w:rsidR="00190277" w:rsidRPr="00156D00"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156D00">
        <w:rPr>
          <w:rFonts w:ascii="Times New Roman" w:eastAsia="Calibri" w:hAnsi="Times New Roman" w:cs="Times New Roman"/>
          <w:b/>
          <w:bCs/>
        </w:rPr>
        <w:t>3.2. Discussion</w:t>
      </w:r>
    </w:p>
    <w:p w:rsidR="00156D00" w:rsidRPr="00156D00" w:rsidRDefault="00190277" w:rsidP="00156D00">
      <w:pPr>
        <w:autoSpaceDE w:val="0"/>
        <w:autoSpaceDN w:val="0"/>
        <w:adjustRightInd w:val="0"/>
        <w:spacing w:after="0" w:line="240" w:lineRule="auto"/>
        <w:jc w:val="both"/>
        <w:rPr>
          <w:rFonts w:ascii="Times New Roman" w:eastAsia="Calibri" w:hAnsi="Times New Roman" w:cs="Times New Roman"/>
          <w:bCs/>
          <w:lang w:val="en-ID"/>
        </w:rPr>
      </w:pPr>
      <w:r w:rsidRPr="00156D00">
        <w:rPr>
          <w:rFonts w:ascii="Times New Roman" w:eastAsia="Calibri" w:hAnsi="Times New Roman" w:cs="Times New Roman"/>
          <w:bCs/>
        </w:rPr>
        <w:tab/>
      </w:r>
      <w:r w:rsidR="00156D00" w:rsidRPr="00156D00">
        <w:rPr>
          <w:rFonts w:ascii="Times New Roman" w:eastAsia="Calibri" w:hAnsi="Times New Roman" w:cs="Times New Roman"/>
          <w:bCs/>
          <w:lang w:val="en-ID"/>
        </w:rPr>
        <w:t xml:space="preserve">The findings of the research provide valuable insights into the efficacy of Simulation-Based Learning (SBL) in maritime training and its alignment with the needs and professional standards of the maritime industry. In this discussion, we </w:t>
      </w:r>
      <w:proofErr w:type="spellStart"/>
      <w:r w:rsidR="00156D00" w:rsidRPr="00156D00">
        <w:rPr>
          <w:rFonts w:ascii="Times New Roman" w:eastAsia="Calibri" w:hAnsi="Times New Roman" w:cs="Times New Roman"/>
          <w:bCs/>
          <w:lang w:val="en-ID"/>
        </w:rPr>
        <w:t>analyze</w:t>
      </w:r>
      <w:proofErr w:type="spellEnd"/>
      <w:r w:rsidR="00156D00" w:rsidRPr="00156D00">
        <w:rPr>
          <w:rFonts w:ascii="Times New Roman" w:eastAsia="Calibri" w:hAnsi="Times New Roman" w:cs="Times New Roman"/>
          <w:bCs/>
          <w:lang w:val="en-ID"/>
        </w:rPr>
        <w:t xml:space="preserve"> the implications of these findings, explore their significance for maritime education and training, and consider avenues for future research and practice.</w:t>
      </w:r>
    </w:p>
    <w:p w:rsidR="00156D00" w:rsidRPr="00156D00" w:rsidRDefault="00156D00" w:rsidP="00156D00">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3.2.1. </w:t>
      </w:r>
      <w:r w:rsidRPr="00156D00">
        <w:rPr>
          <w:rFonts w:ascii="Times New Roman" w:eastAsia="Calibri" w:hAnsi="Times New Roman" w:cs="Times New Roman"/>
          <w:b/>
          <w:bCs/>
          <w:lang w:val="en-ID"/>
        </w:rPr>
        <w:t>Integration of Simulation-Based Learning in Maritime Education</w:t>
      </w:r>
    </w:p>
    <w:p w:rsid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The research findings highlight the perceived effectiveness of Simulation-Based Learning (SBL) in enhancing cadets' learning experience and skill development. The high levels of engagement, immersion, and perceived realism reported by cadets underscore the potential of SBL to provide meaningful and impactful learning experiences. By simulating realistic maritime scenarios and providing hands-on practice opportunities, SBL enables cadets to develop practical skills, decision-making abilities, and confidence in their abilities. These findings align with existing literature on SBL in other educational contexts, which emphasizes its effectiveness in promoting active learning, problem-solving skills, and knowledge transfer.</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Furthermore, the research identified several challenges and limitations associated with SBL, including technical issues with simulators, fidelity of simulations, and the effectiveness of debriefing sessions</w:t>
      </w:r>
      <w:r w:rsidR="00F12311">
        <w:rPr>
          <w:rFonts w:ascii="Times New Roman" w:eastAsia="Calibri" w:hAnsi="Times New Roman" w:cs="Times New Roman"/>
          <w:bCs/>
        </w:rPr>
        <w:t xml:space="preserve"> </w:t>
      </w:r>
      <w:r w:rsidR="00F12311">
        <w:rPr>
          <w:rFonts w:ascii="Times New Roman" w:eastAsia="Calibri" w:hAnsi="Times New Roman" w:cs="Times New Roman"/>
          <w:bCs/>
        </w:rPr>
        <w:fldChar w:fldCharType="begin" w:fldLock="1"/>
      </w:r>
      <w:r w:rsidR="00413D3A">
        <w:rPr>
          <w:rFonts w:ascii="Times New Roman" w:eastAsia="Calibri" w:hAnsi="Times New Roman" w:cs="Times New Roman"/>
          <w:bCs/>
        </w:rPr>
        <w:instrText>ADDIN CSL_CITATION {"citationItems":[{"id":"ITEM-1","itemData":{"ISSN":"8756-3894","author":[{"dropping-particle":"","family":"Holland","given":"Janet","non-dropping-particle":"","parse-names":false,"suffix":""},{"dropping-particle":"","family":"Holland","given":"John","non-dropping-particle":"","parse-names":false,"suffix":""}],"container-title":"TechTrends","id":"ITEM-1","issued":{"date-parts":[["2014"]]},"page":"16-25","publisher":"Springer","title":"Implications of shifting technology in education","type":"article-journal","volume":"58"},"uris":["http://www.mendeley.com/documents/?uuid=8c130a47-db34-46c0-add0-c46b26a9725b"]},{"id":"ITEM-2","itemData":{"ISBN":"3030538281","author":[{"dropping-particle":"","family":"Plaza-Hernández","given":"Marta","non-dropping-particle":"","parse-names":false,"suffix":""},{"dropping-particle":"","family":"Gil-González","given":"Ana Belén","non-dropping-particle":"","parse-names":false,"suffix":""},{"dropping-particle":"","family":"Rodríguez-González","given":"Sara","non-dropping-particle":"","parse-names":false,"suffix":""},{"dropping-particle":"","family":"Prieto-Tejedor","given":"Javier","non-dropping-particle":"","parse-names":false,"suffix":""},{"dropping-particle":"","family":"Corchado-Rodríguez","given":"Juan Manuel","non-dropping-particle":"","parse-names":false,"suffix":""}],"container-title":"Distributed Computing and Artificial Intelligence, Special Sessions, 17th International Conference","id":"ITEM-2","issued":{"date-parts":[["2021"]]},"page":"107-115","publisher":"Springer","title":"Integration of IoT technologies in the maritime industry","type":"paper-conference"},"uris":["http://www.mendeley.com/documents/?uuid=d9db06d6-f094-44a3-9b38-0b2cfd91e9e3"]}],"mendeley":{"formattedCitation":"[1], [26]","plainTextFormattedCitation":"[1], [26]","previouslyFormattedCitation":"[1], [26]"},"properties":{"noteIndex":0},"schema":"https://github.com/citation-style-language/schema/raw/master/csl-citation.json"}</w:instrText>
      </w:r>
      <w:r w:rsidR="00F12311">
        <w:rPr>
          <w:rFonts w:ascii="Times New Roman" w:eastAsia="Calibri" w:hAnsi="Times New Roman" w:cs="Times New Roman"/>
          <w:bCs/>
        </w:rPr>
        <w:fldChar w:fldCharType="separate"/>
      </w:r>
      <w:r w:rsidR="0009456B" w:rsidRPr="0009456B">
        <w:rPr>
          <w:rFonts w:ascii="Times New Roman" w:eastAsia="Calibri" w:hAnsi="Times New Roman" w:cs="Times New Roman"/>
          <w:bCs/>
          <w:noProof/>
        </w:rPr>
        <w:t>[1], [26]</w:t>
      </w:r>
      <w:r w:rsidR="00F12311">
        <w:rPr>
          <w:rFonts w:ascii="Times New Roman" w:eastAsia="Calibri" w:hAnsi="Times New Roman" w:cs="Times New Roman"/>
          <w:bCs/>
        </w:rPr>
        <w:fldChar w:fldCharType="end"/>
      </w:r>
      <w:r w:rsidRPr="00156D00">
        <w:rPr>
          <w:rFonts w:ascii="Times New Roman" w:eastAsia="Calibri" w:hAnsi="Times New Roman" w:cs="Times New Roman"/>
          <w:bCs/>
          <w:lang w:val="en-ID"/>
        </w:rPr>
        <w:t>. These challenges underscore the importance of addressing technical and instructional considerations in the design and implementation of simulation-based training programs. Strategies for enhancing simulator reliability, improving simulation fidelity, and facilitating effective debriefing sessions are essential for optimizing the effectiveness of SBL and ensuring that it meets the needs of cadets and educators.</w:t>
      </w:r>
    </w:p>
    <w:p w:rsidR="00156D00" w:rsidRPr="00156D00" w:rsidRDefault="00156D00" w:rsidP="00156D00">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lang w:val="en-ID"/>
        </w:rPr>
        <w:t>3.2.2</w:t>
      </w:r>
      <w:r w:rsidRPr="00156D00">
        <w:rPr>
          <w:rFonts w:ascii="Times New Roman" w:eastAsia="Calibri" w:hAnsi="Times New Roman" w:cs="Times New Roman"/>
          <w:b/>
          <w:bCs/>
          <w:lang w:val="en-ID"/>
        </w:rPr>
        <w:t>. Alignment with International Standards and Professional Requirements</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 xml:space="preserve">The research findings also shed light on the alignment of Simulation-Based Learning (SBL) with international standards and professional requirements in the maritime industry. By incorporating competency-based assessment methodologies and emphasizing practical skills </w:t>
      </w:r>
      <w:r w:rsidRPr="00156D00">
        <w:rPr>
          <w:rFonts w:ascii="Times New Roman" w:eastAsia="Calibri" w:hAnsi="Times New Roman" w:cs="Times New Roman"/>
          <w:bCs/>
          <w:lang w:val="en-ID"/>
        </w:rPr>
        <w:lastRenderedPageBreak/>
        <w:t xml:space="preserve">development, SBL aligns with the principles outlined in the International Maritime Organization (IMO) - Standards of Training, Certification, and </w:t>
      </w:r>
      <w:proofErr w:type="spellStart"/>
      <w:r w:rsidRPr="00156D00">
        <w:rPr>
          <w:rFonts w:ascii="Times New Roman" w:eastAsia="Calibri" w:hAnsi="Times New Roman" w:cs="Times New Roman"/>
          <w:bCs/>
          <w:lang w:val="en-ID"/>
        </w:rPr>
        <w:t>Watchkeeping</w:t>
      </w:r>
      <w:proofErr w:type="spellEnd"/>
      <w:r w:rsidRPr="00156D00">
        <w:rPr>
          <w:rFonts w:ascii="Times New Roman" w:eastAsia="Calibri" w:hAnsi="Times New Roman" w:cs="Times New Roman"/>
          <w:bCs/>
          <w:lang w:val="en-ID"/>
        </w:rPr>
        <w:t xml:space="preserve"> (STCW) regulations. These regulations set forth minimum competency requirements for seafarers worldwide, ensuring that maritime training programs adhere to recognized benchmarks for safety and proficiency</w:t>
      </w:r>
      <w:r w:rsidR="00F12311">
        <w:rPr>
          <w:rFonts w:ascii="Times New Roman" w:eastAsia="Calibri" w:hAnsi="Times New Roman" w:cs="Times New Roman"/>
          <w:bCs/>
        </w:rPr>
        <w:t xml:space="preserve"> </w:t>
      </w:r>
      <w:r w:rsidR="00F12311">
        <w:rPr>
          <w:rFonts w:ascii="Times New Roman" w:eastAsia="Calibri" w:hAnsi="Times New Roman" w:cs="Times New Roman"/>
          <w:bCs/>
        </w:rPr>
        <w:fldChar w:fldCharType="begin" w:fldLock="1"/>
      </w:r>
      <w:r w:rsidR="00413D3A">
        <w:rPr>
          <w:rFonts w:ascii="Times New Roman" w:eastAsia="Calibri" w:hAnsi="Times New Roman" w:cs="Times New Roman"/>
          <w:bCs/>
        </w:rPr>
        <w:instrText>ADDIN CSL_CITATION {"citationItems":[{"id":"ITEM-1","itemData":{"author":[{"dropping-particle":"","family":"Ghosh","given":"Samrat","non-dropping-particle":"","parse-names":false,"suffix":""},{"dropping-particle":"","family":"Bowles","given":"Marcus","non-dropping-particle":"","parse-names":false,"suffix":""},{"dropping-particle":"","family":"Ranmuthugala","given":"Dev","non-dropping-particle":"","parse-names":false,"suffix":""},{"dropping-particle":"","family":"Brooks","given":"Ben","non-dropping-particle":"","parse-names":false,"suffix":""}],"container-title":"15th Annual General Assembly of the International Association of Maritime Universities, IAMU AGA 2014-Looking Ahead: Innovation in Maritime Education, Training and Research","id":"ITEM-1","issued":{"date-parts":[["2014"]]},"page":"77-86","publisher":"Australian Maritime College","title":"On a lookout beyond STCW: Seeking standards and context for the authentic assessment of seafarers","type":"paper-conference"},"uris":["http://www.mendeley.com/documents/?uuid=2f84309f-4e05-4536-aaed-698bd69507f9"]}],"mendeley":{"formattedCitation":"[19]","plainTextFormattedCitation":"[19]","previouslyFormattedCitation":"[19]"},"properties":{"noteIndex":0},"schema":"https://github.com/citation-style-language/schema/raw/master/csl-citation.json"}</w:instrText>
      </w:r>
      <w:r w:rsidR="00F12311">
        <w:rPr>
          <w:rFonts w:ascii="Times New Roman" w:eastAsia="Calibri" w:hAnsi="Times New Roman" w:cs="Times New Roman"/>
          <w:bCs/>
        </w:rPr>
        <w:fldChar w:fldCharType="separate"/>
      </w:r>
      <w:r w:rsidR="0009456B" w:rsidRPr="0009456B">
        <w:rPr>
          <w:rFonts w:ascii="Times New Roman" w:eastAsia="Calibri" w:hAnsi="Times New Roman" w:cs="Times New Roman"/>
          <w:bCs/>
          <w:noProof/>
        </w:rPr>
        <w:t>[19]</w:t>
      </w:r>
      <w:r w:rsidR="00F12311">
        <w:rPr>
          <w:rFonts w:ascii="Times New Roman" w:eastAsia="Calibri" w:hAnsi="Times New Roman" w:cs="Times New Roman"/>
          <w:bCs/>
        </w:rPr>
        <w:fldChar w:fldCharType="end"/>
      </w:r>
      <w:r w:rsidRPr="00156D00">
        <w:rPr>
          <w:rFonts w:ascii="Times New Roman" w:eastAsia="Calibri" w:hAnsi="Times New Roman" w:cs="Times New Roman"/>
          <w:bCs/>
          <w:lang w:val="en-ID"/>
        </w:rPr>
        <w:t>.</w:t>
      </w:r>
      <w:r>
        <w:rPr>
          <w:rFonts w:ascii="Times New Roman" w:eastAsia="Calibri" w:hAnsi="Times New Roman" w:cs="Times New Roman"/>
          <w:bCs/>
        </w:rPr>
        <w:t xml:space="preserve"> </w:t>
      </w:r>
      <w:r w:rsidRPr="00156D00">
        <w:rPr>
          <w:rFonts w:ascii="Times New Roman" w:eastAsia="Calibri" w:hAnsi="Times New Roman" w:cs="Times New Roman"/>
          <w:bCs/>
          <w:lang w:val="en-ID"/>
        </w:rPr>
        <w:t>Moreover, the research identified a growing demand for practical, hands-on learning experiences and experiential learning methods in maritime education. These findings reflect broader trends in education toward active learning approaches that prioritize skill acquisition and application over passive instruction. By aligning with these trends and integrating simulation-based methodologies into maritime training curricula, educators can better prepare cadets for the challenges of real-world maritime operations.</w:t>
      </w:r>
    </w:p>
    <w:p w:rsidR="00156D00" w:rsidRPr="00156D00" w:rsidRDefault="00156D00" w:rsidP="00156D00">
      <w:pPr>
        <w:autoSpaceDE w:val="0"/>
        <w:autoSpaceDN w:val="0"/>
        <w:adjustRightInd w:val="0"/>
        <w:spacing w:after="0" w:line="240" w:lineRule="auto"/>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3</w:t>
      </w:r>
      <w:r>
        <w:rPr>
          <w:rFonts w:ascii="Times New Roman" w:eastAsia="Calibri" w:hAnsi="Times New Roman" w:cs="Times New Roman"/>
          <w:b/>
          <w:bCs/>
          <w:lang w:val="en-ID"/>
        </w:rPr>
        <w:t>.2.3</w:t>
      </w:r>
      <w:r w:rsidRPr="00156D00">
        <w:rPr>
          <w:rFonts w:ascii="Times New Roman" w:eastAsia="Calibri" w:hAnsi="Times New Roman" w:cs="Times New Roman"/>
          <w:b/>
          <w:bCs/>
          <w:lang w:val="en-ID"/>
        </w:rPr>
        <w:t>. Implications for Maritime Education and Training</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The findings of the research have several implications for maritime education and training. Firstly, they underscore the importance of incorporating Simulation-Based Learning (SBL) into maritime training programs to enhance the competency, proficiency, and professionalism of future maritime professionals. SBL provides a valuable complement to traditional instructional methods, offering cadets opportunities for hands-on practice, experiential learning, and skill development in simulated maritime environments.</w:t>
      </w:r>
      <w:r>
        <w:rPr>
          <w:rFonts w:ascii="Times New Roman" w:eastAsia="Calibri" w:hAnsi="Times New Roman" w:cs="Times New Roman"/>
          <w:bCs/>
        </w:rPr>
        <w:t xml:space="preserve"> </w:t>
      </w:r>
      <w:r w:rsidRPr="00156D00">
        <w:rPr>
          <w:rFonts w:ascii="Times New Roman" w:eastAsia="Calibri" w:hAnsi="Times New Roman" w:cs="Times New Roman"/>
          <w:bCs/>
          <w:lang w:val="en-ID"/>
        </w:rPr>
        <w:t>Secondly, the research highlights the need for ongoing support and professional development for instructors involved in delivering simulation-based training. Effective debriefing sessions, clear instruction, and knowledgeable guidance from instructors are essential for maximizing the benefits of SBL and facilitating meaningful learning experiences for cadets. Providing instructors with training and resources to effectively facilitate simulation activities is crucial for ensuring the success of SBL initiatives.</w:t>
      </w:r>
    </w:p>
    <w:p w:rsidR="00156D00" w:rsidRPr="00156D00" w:rsidRDefault="00156D00" w:rsidP="00156D00">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lang w:val="en-ID"/>
        </w:rPr>
        <w:t>3.2.4</w:t>
      </w:r>
      <w:r w:rsidRPr="00156D00">
        <w:rPr>
          <w:rFonts w:ascii="Times New Roman" w:eastAsia="Calibri" w:hAnsi="Times New Roman" w:cs="Times New Roman"/>
          <w:b/>
          <w:bCs/>
          <w:lang w:val="en-ID"/>
        </w:rPr>
        <w:t>. Future Directions for Research and Practice</w:t>
      </w:r>
    </w:p>
    <w:p w:rsid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rPr>
      </w:pPr>
      <w:r w:rsidRPr="00156D00">
        <w:rPr>
          <w:rFonts w:ascii="Times New Roman" w:eastAsia="Calibri" w:hAnsi="Times New Roman" w:cs="Times New Roman"/>
          <w:bCs/>
          <w:lang w:val="en-ID"/>
        </w:rPr>
        <w:t>Looking ahead, future research should focus on addressing key gaps and limitations identified in the current study. This includes investigating the long-term impact of Simulation-Based Learning (SBL) on cadet performance, exploring innovative simulation technologies and methodologies, and examining the transferability of learning to real-world maritime scenarios. Comparative studies examining the effectiveness of different simulation modalities and their applicability to diverse maritime contexts are also warranted.</w:t>
      </w:r>
      <w:r w:rsidR="00F12311">
        <w:rPr>
          <w:rFonts w:ascii="Times New Roman" w:eastAsia="Calibri" w:hAnsi="Times New Roman" w:cs="Times New Roman"/>
          <w:bCs/>
        </w:rPr>
        <w:t xml:space="preserve"> </w:t>
      </w:r>
      <w:r w:rsidRPr="00156D00">
        <w:rPr>
          <w:rFonts w:ascii="Times New Roman" w:eastAsia="Calibri" w:hAnsi="Times New Roman" w:cs="Times New Roman"/>
          <w:bCs/>
          <w:lang w:val="en-ID"/>
        </w:rPr>
        <w:t xml:space="preserve">Moreover, efforts to enhance the integration of SBL into maritime </w:t>
      </w:r>
      <w:r w:rsidRPr="00156D00">
        <w:rPr>
          <w:rFonts w:ascii="Times New Roman" w:eastAsia="Calibri" w:hAnsi="Times New Roman" w:cs="Times New Roman"/>
          <w:bCs/>
          <w:lang w:val="en-ID"/>
        </w:rPr>
        <w:lastRenderedPageBreak/>
        <w:t>education and training should be guided by a commitment to continuous improvement and innovation. This includes ongoing evaluation of simulation-based training programs, feedback from cadets and instructors, and advancements in simulation technology</w:t>
      </w:r>
      <w:r w:rsidR="00F12311">
        <w:rPr>
          <w:rFonts w:ascii="Times New Roman" w:eastAsia="Calibri" w:hAnsi="Times New Roman" w:cs="Times New Roman"/>
          <w:bCs/>
        </w:rPr>
        <w:t xml:space="preserve"> </w:t>
      </w:r>
      <w:r w:rsidR="00F12311">
        <w:rPr>
          <w:rFonts w:ascii="Times New Roman" w:eastAsia="Calibri" w:hAnsi="Times New Roman" w:cs="Times New Roman"/>
          <w:bCs/>
        </w:rPr>
        <w:fldChar w:fldCharType="begin" w:fldLock="1"/>
      </w:r>
      <w:r w:rsidR="0009456B">
        <w:rPr>
          <w:rFonts w:ascii="Times New Roman" w:eastAsia="Calibri" w:hAnsi="Times New Roman" w:cs="Times New Roman"/>
          <w:bCs/>
        </w:rPr>
        <w:instrText>ADDIN CSL_CITATION {"citationItems":[{"id":"ITEM-1","itemData":{"ISSN":"1063-0732","author":[{"dropping-particle":"","family":"Aurigi","given":"Alessandro","non-dropping-particle":"","parse-names":false,"suffix":""},{"dropping-particle":"","family":"Odendaal","given":"Nancy","non-dropping-particle":"","parse-names":false,"suffix":""}],"container-title":"Journal of Urban Technology","id":"ITEM-1","issue":"1-2","issued":{"date-parts":[["2021"]]},"page":"55-70","publisher":"Taylor &amp; Francis","title":"From “smart in the box” to “smart in the city”: Rethinking the socially sustainable smart city in context","type":"article-journal","volume":"28"},"uris":["http://www.mendeley.com/documents/?uuid=4d290a36-5fa2-4930-97e5-114f33bf5314"]}],"mendeley":{"formattedCitation":"[27]","plainTextFormattedCitation":"[27]","previouslyFormattedCitation":"[27]"},"properties":{"noteIndex":0},"schema":"https://github.com/citation-style-language/schema/raw/master/csl-citation.json"}</w:instrText>
      </w:r>
      <w:r w:rsidR="00F12311">
        <w:rPr>
          <w:rFonts w:ascii="Times New Roman" w:eastAsia="Calibri" w:hAnsi="Times New Roman" w:cs="Times New Roman"/>
          <w:bCs/>
        </w:rPr>
        <w:fldChar w:fldCharType="separate"/>
      </w:r>
      <w:r w:rsidR="0009456B" w:rsidRPr="0009456B">
        <w:rPr>
          <w:rFonts w:ascii="Times New Roman" w:eastAsia="Calibri" w:hAnsi="Times New Roman" w:cs="Times New Roman"/>
          <w:bCs/>
          <w:noProof/>
        </w:rPr>
        <w:t>[27]</w:t>
      </w:r>
      <w:r w:rsidR="00F12311">
        <w:rPr>
          <w:rFonts w:ascii="Times New Roman" w:eastAsia="Calibri" w:hAnsi="Times New Roman" w:cs="Times New Roman"/>
          <w:bCs/>
        </w:rPr>
        <w:fldChar w:fldCharType="end"/>
      </w:r>
      <w:r w:rsidRPr="00156D00">
        <w:rPr>
          <w:rFonts w:ascii="Times New Roman" w:eastAsia="Calibri" w:hAnsi="Times New Roman" w:cs="Times New Roman"/>
          <w:bCs/>
          <w:lang w:val="en-ID"/>
        </w:rPr>
        <w:t>. By staying abreast of developments in the field and adapting training practices accordingly, educators can ensure that maritime training programs remain relevant, effective, and aligned with the evolving needs of the maritime industry.</w:t>
      </w:r>
      <w:r>
        <w:rPr>
          <w:rFonts w:ascii="Times New Roman" w:eastAsia="Calibri" w:hAnsi="Times New Roman" w:cs="Times New Roman"/>
          <w:bCs/>
        </w:rPr>
        <w:t xml:space="preserve"> </w:t>
      </w:r>
    </w:p>
    <w:p w:rsid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rPr>
      </w:pP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Pr>
          <w:rFonts w:ascii="Times New Roman" w:eastAsia="Calibri" w:hAnsi="Times New Roman" w:cs="Times New Roman"/>
          <w:bCs/>
        </w:rPr>
        <w:t>T</w:t>
      </w:r>
      <w:r w:rsidRPr="00156D00">
        <w:rPr>
          <w:rFonts w:ascii="Times New Roman" w:eastAsia="Calibri" w:hAnsi="Times New Roman" w:cs="Times New Roman"/>
          <w:bCs/>
          <w:lang w:val="en-ID"/>
        </w:rPr>
        <w:t>he findings of the research underscore the importance of Simulation-Based Learning (SBL) in maritime education and its alignment with international standards and professional requirements. By providing cadets with realistic, immersive, and experiential learning experiences, SBL enhances their competency, proficiency, and readiness for real-world maritime challenges. Moving forward, continued investment in SBL initiatives and research is essential for advancing the field of maritime education and training and ensuring the safety and efficiency of global maritime operations.</w:t>
      </w:r>
    </w:p>
    <w:p w:rsidR="00190277" w:rsidRPr="00156D00"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p>
    <w:p w:rsidR="00F5577B" w:rsidRPr="00ED6C87" w:rsidRDefault="001E325F" w:rsidP="00ED6C87">
      <w:pPr>
        <w:autoSpaceDE w:val="0"/>
        <w:autoSpaceDN w:val="0"/>
        <w:adjustRightInd w:val="0"/>
        <w:spacing w:after="0" w:line="240" w:lineRule="auto"/>
        <w:rPr>
          <w:rFonts w:ascii="Times New Roman" w:eastAsia="Calibri" w:hAnsi="Times New Roman" w:cs="Times New Roman"/>
          <w:b/>
          <w:bCs/>
        </w:rPr>
      </w:pPr>
      <w:r w:rsidRPr="00ED6C87">
        <w:rPr>
          <w:rFonts w:ascii="Times New Roman" w:eastAsia="Calibri" w:hAnsi="Times New Roman" w:cs="Times New Roman"/>
          <w:b/>
          <w:bCs/>
        </w:rPr>
        <w:t>CONCLUSION</w:t>
      </w:r>
    </w:p>
    <w:p w:rsidR="00F5577B" w:rsidRPr="00156D00" w:rsidRDefault="004F6862" w:rsidP="004F6862">
      <w:pPr>
        <w:autoSpaceDE w:val="0"/>
        <w:autoSpaceDN w:val="0"/>
        <w:adjustRightInd w:val="0"/>
        <w:spacing w:after="0" w:line="240" w:lineRule="auto"/>
        <w:ind w:firstLine="426"/>
        <w:jc w:val="both"/>
        <w:rPr>
          <w:rFonts w:ascii="Times New Roman" w:eastAsia="Calibri" w:hAnsi="Times New Roman" w:cs="Times New Roman"/>
          <w:bCs/>
          <w:lang w:val="en-ID"/>
        </w:rPr>
      </w:pPr>
      <w:r w:rsidRPr="004F6862">
        <w:rPr>
          <w:rFonts w:ascii="Times New Roman" w:eastAsia="Calibri" w:hAnsi="Times New Roman" w:cs="Times New Roman"/>
          <w:bCs/>
        </w:rPr>
        <w:t>This research provides valuable insights into the efficacy of Simulation-Based Learning (SBL) in maritime training and its alignment with international standards. Through qualitative analysis of 30 cadets' experiences, key findings emerged. SBL was highly effective in enhancing learning and skill development, offering immersive and realistic experiences. Despite challenges like technical issues, cadets perceived SBL as effective. The study emphasized aligning maritime education with international standards, such as those by the International Maritime Organization (IMO), ensuring comprehensive training.</w:t>
      </w:r>
      <w:r>
        <w:rPr>
          <w:rFonts w:ascii="Times New Roman" w:eastAsia="Calibri" w:hAnsi="Times New Roman" w:cs="Times New Roman"/>
          <w:bCs/>
        </w:rPr>
        <w:t xml:space="preserve"> </w:t>
      </w:r>
      <w:r w:rsidRPr="004F6862">
        <w:rPr>
          <w:rFonts w:ascii="Times New Roman" w:eastAsia="Calibri" w:hAnsi="Times New Roman" w:cs="Times New Roman"/>
          <w:bCs/>
        </w:rPr>
        <w:t>To enhance SBL integration, continuous improvement and innovation are essential. This includes ongoing evaluation, feedback incorporation, and technology advancements. Educators should adapt training practices to remain relevant and effective. SBL holds promise for maritime education, providing realistic learning experiences. By addressing challenges and leveraging benefits, educators can better prepare cadets for real-world maritime operations, enhancing safety and efficiency.</w:t>
      </w:r>
    </w:p>
    <w:p w:rsidR="00A20815" w:rsidRPr="00156D00" w:rsidRDefault="00A20815"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rsidR="00F5577B" w:rsidRPr="00156D00" w:rsidRDefault="001E325F" w:rsidP="00F5577B">
      <w:pPr>
        <w:autoSpaceDE w:val="0"/>
        <w:autoSpaceDN w:val="0"/>
        <w:adjustRightInd w:val="0"/>
        <w:spacing w:after="0" w:line="240" w:lineRule="auto"/>
        <w:rPr>
          <w:rFonts w:ascii="Times New Roman" w:eastAsia="Calibri" w:hAnsi="Times New Roman" w:cs="Times New Roman"/>
          <w:b/>
          <w:bCs/>
          <w:lang w:val="en-US"/>
        </w:rPr>
      </w:pPr>
      <w:r w:rsidRPr="00156D00">
        <w:rPr>
          <w:rFonts w:ascii="Times New Roman" w:eastAsia="Calibri" w:hAnsi="Times New Roman" w:cs="Times New Roman"/>
          <w:b/>
          <w:bCs/>
        </w:rPr>
        <w:t>REFERENCES</w:t>
      </w:r>
    </w:p>
    <w:p w:rsidR="00413D3A" w:rsidRPr="00413D3A" w:rsidRDefault="00F12311" w:rsidP="00413D3A">
      <w:pPr>
        <w:widowControl w:val="0"/>
        <w:autoSpaceDE w:val="0"/>
        <w:autoSpaceDN w:val="0"/>
        <w:adjustRightInd w:val="0"/>
        <w:spacing w:after="0" w:line="240" w:lineRule="auto"/>
        <w:ind w:left="640" w:hanging="640"/>
        <w:rPr>
          <w:rFonts w:ascii="Times New Roman" w:hAnsi="Times New Roman" w:cs="Times New Roman"/>
          <w:noProof/>
          <w:szCs w:val="24"/>
        </w:rPr>
      </w:pPr>
      <w:r>
        <w:rPr>
          <w:rFonts w:ascii="Times New Roman" w:eastAsia="Calibri" w:hAnsi="Times New Roman" w:cs="Times New Roman"/>
          <w:b/>
          <w:bCs/>
          <w:lang w:val="en-US"/>
        </w:rPr>
        <w:fldChar w:fldCharType="begin" w:fldLock="1"/>
      </w:r>
      <w:r>
        <w:rPr>
          <w:rFonts w:ascii="Times New Roman" w:eastAsia="Calibri" w:hAnsi="Times New Roman" w:cs="Times New Roman"/>
          <w:b/>
          <w:bCs/>
          <w:lang w:val="en-US"/>
        </w:rPr>
        <w:instrText xml:space="preserve">ADDIN Mendeley Bibliography CSL_BIBLIOGRAPHY </w:instrText>
      </w:r>
      <w:r>
        <w:rPr>
          <w:rFonts w:ascii="Times New Roman" w:eastAsia="Calibri" w:hAnsi="Times New Roman" w:cs="Times New Roman"/>
          <w:b/>
          <w:bCs/>
          <w:lang w:val="en-US"/>
        </w:rPr>
        <w:fldChar w:fldCharType="separate"/>
      </w:r>
      <w:r w:rsidR="00413D3A" w:rsidRPr="00413D3A">
        <w:rPr>
          <w:rFonts w:ascii="Times New Roman" w:hAnsi="Times New Roman" w:cs="Times New Roman"/>
          <w:noProof/>
          <w:szCs w:val="24"/>
        </w:rPr>
        <w:t>[1]</w:t>
      </w:r>
      <w:r w:rsidR="00413D3A" w:rsidRPr="00413D3A">
        <w:rPr>
          <w:rFonts w:ascii="Times New Roman" w:hAnsi="Times New Roman" w:cs="Times New Roman"/>
          <w:noProof/>
          <w:szCs w:val="24"/>
        </w:rPr>
        <w:tab/>
        <w:t xml:space="preserve">M. Plaza-Hernández, A. B. Gil-González, S. Rodríguez-González, J. Prieto-Tejedor, and J. M. Corchado-Rodríguez, “Integration of IoT technologies in the maritime industry,” in </w:t>
      </w:r>
      <w:r w:rsidR="00413D3A" w:rsidRPr="00413D3A">
        <w:rPr>
          <w:rFonts w:ascii="Times New Roman" w:hAnsi="Times New Roman" w:cs="Times New Roman"/>
          <w:i/>
          <w:iCs/>
          <w:noProof/>
          <w:szCs w:val="24"/>
        </w:rPr>
        <w:t xml:space="preserve">Distributed Computing and Artificial </w:t>
      </w:r>
      <w:r w:rsidR="00413D3A" w:rsidRPr="00413D3A">
        <w:rPr>
          <w:rFonts w:ascii="Times New Roman" w:hAnsi="Times New Roman" w:cs="Times New Roman"/>
          <w:i/>
          <w:iCs/>
          <w:noProof/>
          <w:szCs w:val="24"/>
        </w:rPr>
        <w:lastRenderedPageBreak/>
        <w:t>Intelligence, Special Sessions, 17th International Conference</w:t>
      </w:r>
      <w:r w:rsidR="00413D3A" w:rsidRPr="00413D3A">
        <w:rPr>
          <w:rFonts w:ascii="Times New Roman" w:hAnsi="Times New Roman" w:cs="Times New Roman"/>
          <w:noProof/>
          <w:szCs w:val="24"/>
        </w:rPr>
        <w:t>, 2021, pp. 107–115.</w:t>
      </w:r>
    </w:p>
    <w:p w:rsidR="00413D3A" w:rsidRPr="00413D3A" w:rsidRDefault="00413D3A" w:rsidP="00413D3A">
      <w:pPr>
        <w:widowControl w:val="0"/>
        <w:autoSpaceDE w:val="0"/>
        <w:autoSpaceDN w:val="0"/>
        <w:adjustRightInd w:val="0"/>
        <w:spacing w:after="0" w:line="240" w:lineRule="auto"/>
        <w:ind w:left="640" w:hanging="640"/>
        <w:rPr>
          <w:rFonts w:ascii="Times New Roman" w:hAnsi="Times New Roman" w:cs="Times New Roman"/>
          <w:noProof/>
          <w:szCs w:val="24"/>
        </w:rPr>
      </w:pPr>
      <w:r w:rsidRPr="00413D3A">
        <w:rPr>
          <w:rFonts w:ascii="Times New Roman" w:hAnsi="Times New Roman" w:cs="Times New Roman"/>
          <w:noProof/>
          <w:szCs w:val="24"/>
        </w:rPr>
        <w:t>[2]</w:t>
      </w:r>
      <w:r w:rsidRPr="00413D3A">
        <w:rPr>
          <w:rFonts w:ascii="Times New Roman" w:hAnsi="Times New Roman" w:cs="Times New Roman"/>
          <w:noProof/>
          <w:szCs w:val="24"/>
        </w:rPr>
        <w:tab/>
        <w:t xml:space="preserve">Y. Autsadee, J. Jeevan, N. H. Bin Mohd Salleh, and M. R. Bin Othman, “Digital tools and challenges in human resource development and its potential within the maritime sector through bibliometric analysis,” </w:t>
      </w:r>
      <w:r w:rsidRPr="00413D3A">
        <w:rPr>
          <w:rFonts w:ascii="Times New Roman" w:hAnsi="Times New Roman" w:cs="Times New Roman"/>
          <w:i/>
          <w:iCs/>
          <w:noProof/>
          <w:szCs w:val="24"/>
        </w:rPr>
        <w:t>J. Int. Marit. Safety, Environ. Aff. Shipp.</w:t>
      </w:r>
      <w:r w:rsidRPr="00413D3A">
        <w:rPr>
          <w:rFonts w:ascii="Times New Roman" w:hAnsi="Times New Roman" w:cs="Times New Roman"/>
          <w:noProof/>
          <w:szCs w:val="24"/>
        </w:rPr>
        <w:t>, vol. 7, no. 4, p. 2286409, 2023.</w:t>
      </w:r>
    </w:p>
    <w:p w:rsidR="00413D3A" w:rsidRPr="00413D3A" w:rsidRDefault="00413D3A" w:rsidP="00413D3A">
      <w:pPr>
        <w:widowControl w:val="0"/>
        <w:autoSpaceDE w:val="0"/>
        <w:autoSpaceDN w:val="0"/>
        <w:adjustRightInd w:val="0"/>
        <w:spacing w:after="0" w:line="240" w:lineRule="auto"/>
        <w:ind w:left="640" w:hanging="640"/>
        <w:rPr>
          <w:rFonts w:ascii="Times New Roman" w:hAnsi="Times New Roman" w:cs="Times New Roman"/>
          <w:noProof/>
          <w:szCs w:val="24"/>
        </w:rPr>
      </w:pPr>
      <w:r w:rsidRPr="00413D3A">
        <w:rPr>
          <w:rFonts w:ascii="Times New Roman" w:hAnsi="Times New Roman" w:cs="Times New Roman"/>
          <w:noProof/>
          <w:szCs w:val="24"/>
        </w:rPr>
        <w:t>[3]</w:t>
      </w:r>
      <w:r w:rsidRPr="00413D3A">
        <w:rPr>
          <w:rFonts w:ascii="Times New Roman" w:hAnsi="Times New Roman" w:cs="Times New Roman"/>
          <w:noProof/>
          <w:szCs w:val="24"/>
        </w:rPr>
        <w:tab/>
        <w:t xml:space="preserve">F. C. Domingues, “907 Maritime History and Maritime Archaeology,” </w:t>
      </w:r>
      <w:r w:rsidRPr="00413D3A">
        <w:rPr>
          <w:rFonts w:ascii="Times New Roman" w:hAnsi="Times New Roman" w:cs="Times New Roman"/>
          <w:i/>
          <w:iCs/>
          <w:noProof/>
          <w:szCs w:val="24"/>
        </w:rPr>
        <w:t>The Oxford Handbook of Maritime Archaeology</w:t>
      </w:r>
      <w:r w:rsidRPr="00413D3A">
        <w:rPr>
          <w:rFonts w:ascii="Times New Roman" w:hAnsi="Times New Roman" w:cs="Times New Roman"/>
          <w:noProof/>
          <w:szCs w:val="24"/>
        </w:rPr>
        <w:t>. Oxford University Press, p. 0, Dec. 12, 2013. doi: 10.1093/oxfordhb/9780199336005.013.0039.</w:t>
      </w:r>
    </w:p>
    <w:p w:rsidR="00413D3A" w:rsidRPr="00413D3A" w:rsidRDefault="00413D3A" w:rsidP="00413D3A">
      <w:pPr>
        <w:widowControl w:val="0"/>
        <w:autoSpaceDE w:val="0"/>
        <w:autoSpaceDN w:val="0"/>
        <w:adjustRightInd w:val="0"/>
        <w:spacing w:after="0" w:line="240" w:lineRule="auto"/>
        <w:ind w:left="640" w:hanging="640"/>
        <w:rPr>
          <w:rFonts w:ascii="Times New Roman" w:hAnsi="Times New Roman" w:cs="Times New Roman"/>
          <w:noProof/>
          <w:szCs w:val="24"/>
        </w:rPr>
      </w:pPr>
      <w:r w:rsidRPr="00413D3A">
        <w:rPr>
          <w:rFonts w:ascii="Times New Roman" w:hAnsi="Times New Roman" w:cs="Times New Roman"/>
          <w:noProof/>
          <w:szCs w:val="24"/>
        </w:rPr>
        <w:t>[4]</w:t>
      </w:r>
      <w:r w:rsidRPr="00413D3A">
        <w:rPr>
          <w:rFonts w:ascii="Times New Roman" w:hAnsi="Times New Roman" w:cs="Times New Roman"/>
          <w:noProof/>
          <w:szCs w:val="24"/>
        </w:rPr>
        <w:tab/>
        <w:t xml:space="preserve">I. Christodoulou-Varotsi and D. A. Pentsov, “The STCW Convention and related instruments,” </w:t>
      </w:r>
      <w:r w:rsidRPr="00413D3A">
        <w:rPr>
          <w:rFonts w:ascii="Times New Roman" w:hAnsi="Times New Roman" w:cs="Times New Roman"/>
          <w:i/>
          <w:iCs/>
          <w:noProof/>
          <w:szCs w:val="24"/>
        </w:rPr>
        <w:t>Marit. Work Law Fundam. Responsible Shipowners, Reliab. Seafar.</w:t>
      </w:r>
      <w:r w:rsidRPr="00413D3A">
        <w:rPr>
          <w:rFonts w:ascii="Times New Roman" w:hAnsi="Times New Roman" w:cs="Times New Roman"/>
          <w:noProof/>
          <w:szCs w:val="24"/>
        </w:rPr>
        <w:t>, pp. 422–639, 2008.</w:t>
      </w:r>
    </w:p>
    <w:p w:rsidR="00413D3A" w:rsidRPr="00413D3A" w:rsidRDefault="00413D3A" w:rsidP="00413D3A">
      <w:pPr>
        <w:widowControl w:val="0"/>
        <w:autoSpaceDE w:val="0"/>
        <w:autoSpaceDN w:val="0"/>
        <w:adjustRightInd w:val="0"/>
        <w:spacing w:after="0" w:line="240" w:lineRule="auto"/>
        <w:ind w:left="640" w:hanging="640"/>
        <w:rPr>
          <w:rFonts w:ascii="Times New Roman" w:hAnsi="Times New Roman" w:cs="Times New Roman"/>
          <w:noProof/>
          <w:szCs w:val="24"/>
        </w:rPr>
      </w:pPr>
      <w:r w:rsidRPr="00413D3A">
        <w:rPr>
          <w:rFonts w:ascii="Times New Roman" w:hAnsi="Times New Roman" w:cs="Times New Roman"/>
          <w:noProof/>
          <w:szCs w:val="24"/>
        </w:rPr>
        <w:t>[5]</w:t>
      </w:r>
      <w:r w:rsidRPr="00413D3A">
        <w:rPr>
          <w:rFonts w:ascii="Times New Roman" w:hAnsi="Times New Roman" w:cs="Times New Roman"/>
          <w:noProof/>
          <w:szCs w:val="24"/>
        </w:rPr>
        <w:tab/>
        <w:t xml:space="preserve">C. Young, “Comprehensive Revision of the STCW convention: an overview,” </w:t>
      </w:r>
      <w:r w:rsidRPr="00413D3A">
        <w:rPr>
          <w:rFonts w:ascii="Times New Roman" w:hAnsi="Times New Roman" w:cs="Times New Roman"/>
          <w:i/>
          <w:iCs/>
          <w:noProof/>
          <w:szCs w:val="24"/>
        </w:rPr>
        <w:t>J. Mar. L. Com.</w:t>
      </w:r>
      <w:r w:rsidRPr="00413D3A">
        <w:rPr>
          <w:rFonts w:ascii="Times New Roman" w:hAnsi="Times New Roman" w:cs="Times New Roman"/>
          <w:noProof/>
          <w:szCs w:val="24"/>
        </w:rPr>
        <w:t>, vol. 26, p. 1, 1995.</w:t>
      </w:r>
    </w:p>
    <w:p w:rsidR="00413D3A" w:rsidRPr="00413D3A" w:rsidRDefault="00413D3A" w:rsidP="00413D3A">
      <w:pPr>
        <w:widowControl w:val="0"/>
        <w:autoSpaceDE w:val="0"/>
        <w:autoSpaceDN w:val="0"/>
        <w:adjustRightInd w:val="0"/>
        <w:spacing w:after="0" w:line="240" w:lineRule="auto"/>
        <w:ind w:left="640" w:hanging="640"/>
        <w:rPr>
          <w:rFonts w:ascii="Times New Roman" w:hAnsi="Times New Roman" w:cs="Times New Roman"/>
          <w:noProof/>
          <w:szCs w:val="24"/>
        </w:rPr>
      </w:pPr>
      <w:r w:rsidRPr="00413D3A">
        <w:rPr>
          <w:rFonts w:ascii="Times New Roman" w:hAnsi="Times New Roman" w:cs="Times New Roman"/>
          <w:noProof/>
          <w:szCs w:val="24"/>
        </w:rPr>
        <w:t>[6]</w:t>
      </w:r>
      <w:r w:rsidRPr="00413D3A">
        <w:rPr>
          <w:rFonts w:ascii="Times New Roman" w:hAnsi="Times New Roman" w:cs="Times New Roman"/>
          <w:noProof/>
          <w:szCs w:val="24"/>
        </w:rPr>
        <w:tab/>
        <w:t xml:space="preserve">M. G. Jamil and S. O. Isiaq, “Teaching technology with technology: approaches to bridging learning and teaching gaps in simulation-based programming education,” </w:t>
      </w:r>
      <w:r w:rsidRPr="00413D3A">
        <w:rPr>
          <w:rFonts w:ascii="Times New Roman" w:hAnsi="Times New Roman" w:cs="Times New Roman"/>
          <w:i/>
          <w:iCs/>
          <w:noProof/>
          <w:szCs w:val="24"/>
        </w:rPr>
        <w:t>Int. J. Educ. Technol. High. Educ.</w:t>
      </w:r>
      <w:r w:rsidRPr="00413D3A">
        <w:rPr>
          <w:rFonts w:ascii="Times New Roman" w:hAnsi="Times New Roman" w:cs="Times New Roman"/>
          <w:noProof/>
          <w:szCs w:val="24"/>
        </w:rPr>
        <w:t>, vol. 16, pp. 1–21, 2019.</w:t>
      </w:r>
    </w:p>
    <w:p w:rsidR="00413D3A" w:rsidRPr="00413D3A" w:rsidRDefault="00413D3A" w:rsidP="00413D3A">
      <w:pPr>
        <w:widowControl w:val="0"/>
        <w:autoSpaceDE w:val="0"/>
        <w:autoSpaceDN w:val="0"/>
        <w:adjustRightInd w:val="0"/>
        <w:spacing w:after="0" w:line="240" w:lineRule="auto"/>
        <w:ind w:left="640" w:hanging="640"/>
        <w:rPr>
          <w:rFonts w:ascii="Times New Roman" w:hAnsi="Times New Roman" w:cs="Times New Roman"/>
          <w:noProof/>
          <w:szCs w:val="24"/>
        </w:rPr>
      </w:pPr>
      <w:r w:rsidRPr="00413D3A">
        <w:rPr>
          <w:rFonts w:ascii="Times New Roman" w:hAnsi="Times New Roman" w:cs="Times New Roman"/>
          <w:noProof/>
          <w:szCs w:val="24"/>
        </w:rPr>
        <w:t>[7]</w:t>
      </w:r>
      <w:r w:rsidRPr="00413D3A">
        <w:rPr>
          <w:rFonts w:ascii="Times New Roman" w:hAnsi="Times New Roman" w:cs="Times New Roman"/>
          <w:noProof/>
          <w:szCs w:val="24"/>
        </w:rPr>
        <w:tab/>
        <w:t xml:space="preserve">R. Kidd and E. McCarthy, “Maritime education in the age of autonomy,” </w:t>
      </w:r>
      <w:r w:rsidRPr="00413D3A">
        <w:rPr>
          <w:rFonts w:ascii="Times New Roman" w:hAnsi="Times New Roman" w:cs="Times New Roman"/>
          <w:i/>
          <w:iCs/>
          <w:noProof/>
          <w:szCs w:val="24"/>
        </w:rPr>
        <w:t>WIT Trans. Built Environ.</w:t>
      </w:r>
      <w:r w:rsidRPr="00413D3A">
        <w:rPr>
          <w:rFonts w:ascii="Times New Roman" w:hAnsi="Times New Roman" w:cs="Times New Roman"/>
          <w:noProof/>
          <w:szCs w:val="24"/>
        </w:rPr>
        <w:t>, vol. 187, pp. 221–230, 2019.</w:t>
      </w:r>
    </w:p>
    <w:p w:rsidR="00413D3A" w:rsidRPr="00413D3A" w:rsidRDefault="00413D3A" w:rsidP="00413D3A">
      <w:pPr>
        <w:widowControl w:val="0"/>
        <w:autoSpaceDE w:val="0"/>
        <w:autoSpaceDN w:val="0"/>
        <w:adjustRightInd w:val="0"/>
        <w:spacing w:after="0" w:line="240" w:lineRule="auto"/>
        <w:ind w:left="640" w:hanging="640"/>
        <w:rPr>
          <w:rFonts w:ascii="Times New Roman" w:hAnsi="Times New Roman" w:cs="Times New Roman"/>
          <w:noProof/>
          <w:szCs w:val="24"/>
        </w:rPr>
      </w:pPr>
      <w:r w:rsidRPr="00413D3A">
        <w:rPr>
          <w:rFonts w:ascii="Times New Roman" w:hAnsi="Times New Roman" w:cs="Times New Roman"/>
          <w:noProof/>
          <w:szCs w:val="24"/>
        </w:rPr>
        <w:t>[8]</w:t>
      </w:r>
      <w:r w:rsidRPr="00413D3A">
        <w:rPr>
          <w:rFonts w:ascii="Times New Roman" w:hAnsi="Times New Roman" w:cs="Times New Roman"/>
          <w:noProof/>
          <w:szCs w:val="24"/>
        </w:rPr>
        <w:tab/>
        <w:t>O. Dyagileva, N. Goridko, H. Popova, S. Voloshynov, and A. Yurzhenko, “Ensuring sustainable development of education of future maritime transport professionals by means of network interaction,” 2020.</w:t>
      </w:r>
    </w:p>
    <w:p w:rsidR="00413D3A" w:rsidRPr="00413D3A" w:rsidRDefault="00413D3A" w:rsidP="00413D3A">
      <w:pPr>
        <w:widowControl w:val="0"/>
        <w:autoSpaceDE w:val="0"/>
        <w:autoSpaceDN w:val="0"/>
        <w:adjustRightInd w:val="0"/>
        <w:spacing w:after="0" w:line="240" w:lineRule="auto"/>
        <w:ind w:left="640" w:hanging="640"/>
        <w:rPr>
          <w:rFonts w:ascii="Times New Roman" w:hAnsi="Times New Roman" w:cs="Times New Roman"/>
          <w:noProof/>
          <w:szCs w:val="24"/>
        </w:rPr>
      </w:pPr>
      <w:r w:rsidRPr="00413D3A">
        <w:rPr>
          <w:rFonts w:ascii="Times New Roman" w:hAnsi="Times New Roman" w:cs="Times New Roman"/>
          <w:noProof/>
          <w:szCs w:val="24"/>
        </w:rPr>
        <w:t>[9]</w:t>
      </w:r>
      <w:r w:rsidRPr="00413D3A">
        <w:rPr>
          <w:rFonts w:ascii="Times New Roman" w:hAnsi="Times New Roman" w:cs="Times New Roman"/>
          <w:noProof/>
          <w:szCs w:val="24"/>
        </w:rPr>
        <w:tab/>
        <w:t xml:space="preserve">M. G. Jamil and Z. Bhuiyan, “Deep learning elements in maritime simulation programmes: a pedagogical exploration of learner experiences,” </w:t>
      </w:r>
      <w:r w:rsidRPr="00413D3A">
        <w:rPr>
          <w:rFonts w:ascii="Times New Roman" w:hAnsi="Times New Roman" w:cs="Times New Roman"/>
          <w:i/>
          <w:iCs/>
          <w:noProof/>
          <w:szCs w:val="24"/>
        </w:rPr>
        <w:t>Int. J. Educ. Technol. High. Educ.</w:t>
      </w:r>
      <w:r w:rsidRPr="00413D3A">
        <w:rPr>
          <w:rFonts w:ascii="Times New Roman" w:hAnsi="Times New Roman" w:cs="Times New Roman"/>
          <w:noProof/>
          <w:szCs w:val="24"/>
        </w:rPr>
        <w:t>, vol. 18, pp. 1–22, 2021.</w:t>
      </w:r>
    </w:p>
    <w:p w:rsidR="00413D3A" w:rsidRPr="00413D3A" w:rsidRDefault="00413D3A" w:rsidP="00413D3A">
      <w:pPr>
        <w:widowControl w:val="0"/>
        <w:autoSpaceDE w:val="0"/>
        <w:autoSpaceDN w:val="0"/>
        <w:adjustRightInd w:val="0"/>
        <w:spacing w:after="0" w:line="240" w:lineRule="auto"/>
        <w:ind w:left="640" w:hanging="640"/>
        <w:rPr>
          <w:rFonts w:ascii="Times New Roman" w:hAnsi="Times New Roman" w:cs="Times New Roman"/>
          <w:noProof/>
          <w:szCs w:val="24"/>
        </w:rPr>
      </w:pPr>
      <w:r w:rsidRPr="00413D3A">
        <w:rPr>
          <w:rFonts w:ascii="Times New Roman" w:hAnsi="Times New Roman" w:cs="Times New Roman"/>
          <w:noProof/>
          <w:szCs w:val="24"/>
        </w:rPr>
        <w:t>[10]</w:t>
      </w:r>
      <w:r w:rsidRPr="00413D3A">
        <w:rPr>
          <w:rFonts w:ascii="Times New Roman" w:hAnsi="Times New Roman" w:cs="Times New Roman"/>
          <w:noProof/>
          <w:szCs w:val="24"/>
        </w:rPr>
        <w:tab/>
        <w:t xml:space="preserve">A. M. Ellsworth, “A New Generation of Teachers,” </w:t>
      </w:r>
      <w:r w:rsidRPr="00413D3A">
        <w:rPr>
          <w:rFonts w:ascii="Times New Roman" w:hAnsi="Times New Roman" w:cs="Times New Roman"/>
          <w:i/>
          <w:iCs/>
          <w:noProof/>
          <w:szCs w:val="24"/>
        </w:rPr>
        <w:t>Research Anthology on Developing Critical Thinking Skills in Students</w:t>
      </w:r>
      <w:r w:rsidRPr="00413D3A">
        <w:rPr>
          <w:rFonts w:ascii="Times New Roman" w:hAnsi="Times New Roman" w:cs="Times New Roman"/>
          <w:noProof/>
          <w:szCs w:val="24"/>
        </w:rPr>
        <w:t>. IGI Global, pp. 1183–1207, 2021. doi: 10.4018/978-1-7998-3022-1.ch061.</w:t>
      </w:r>
    </w:p>
    <w:p w:rsidR="00413D3A" w:rsidRPr="00413D3A" w:rsidRDefault="00413D3A" w:rsidP="00413D3A">
      <w:pPr>
        <w:widowControl w:val="0"/>
        <w:autoSpaceDE w:val="0"/>
        <w:autoSpaceDN w:val="0"/>
        <w:adjustRightInd w:val="0"/>
        <w:spacing w:after="0" w:line="240" w:lineRule="auto"/>
        <w:ind w:left="640" w:hanging="640"/>
        <w:rPr>
          <w:rFonts w:ascii="Times New Roman" w:hAnsi="Times New Roman" w:cs="Times New Roman"/>
          <w:noProof/>
          <w:szCs w:val="24"/>
        </w:rPr>
      </w:pPr>
      <w:r w:rsidRPr="00413D3A">
        <w:rPr>
          <w:rFonts w:ascii="Times New Roman" w:hAnsi="Times New Roman" w:cs="Times New Roman"/>
          <w:noProof/>
          <w:szCs w:val="24"/>
        </w:rPr>
        <w:t>[11]</w:t>
      </w:r>
      <w:r w:rsidRPr="00413D3A">
        <w:rPr>
          <w:rFonts w:ascii="Times New Roman" w:hAnsi="Times New Roman" w:cs="Times New Roman"/>
          <w:noProof/>
          <w:szCs w:val="24"/>
        </w:rPr>
        <w:tab/>
        <w:t xml:space="preserve">D. Onen, “Cultivating Critical Thinking Amongst University Graduate Students,” </w:t>
      </w:r>
      <w:r w:rsidRPr="00413D3A">
        <w:rPr>
          <w:rFonts w:ascii="Times New Roman" w:hAnsi="Times New Roman" w:cs="Times New Roman"/>
          <w:i/>
          <w:iCs/>
          <w:noProof/>
          <w:szCs w:val="24"/>
        </w:rPr>
        <w:t>Research Anthology on Developing Critical Thinking Skills in Students</w:t>
      </w:r>
      <w:r w:rsidRPr="00413D3A">
        <w:rPr>
          <w:rFonts w:ascii="Times New Roman" w:hAnsi="Times New Roman" w:cs="Times New Roman"/>
          <w:noProof/>
          <w:szCs w:val="24"/>
        </w:rPr>
        <w:t>. IGI Global, pp. 1104–1119, 2021. doi: 10.4018/978-1-7998-3022-1.ch057.</w:t>
      </w:r>
    </w:p>
    <w:p w:rsidR="00413D3A" w:rsidRPr="00413D3A" w:rsidRDefault="00413D3A" w:rsidP="00413D3A">
      <w:pPr>
        <w:widowControl w:val="0"/>
        <w:autoSpaceDE w:val="0"/>
        <w:autoSpaceDN w:val="0"/>
        <w:adjustRightInd w:val="0"/>
        <w:spacing w:after="0" w:line="240" w:lineRule="auto"/>
        <w:ind w:left="640" w:hanging="640"/>
        <w:rPr>
          <w:rFonts w:ascii="Times New Roman" w:hAnsi="Times New Roman" w:cs="Times New Roman"/>
          <w:noProof/>
          <w:szCs w:val="24"/>
        </w:rPr>
      </w:pPr>
      <w:r w:rsidRPr="00413D3A">
        <w:rPr>
          <w:rFonts w:ascii="Times New Roman" w:hAnsi="Times New Roman" w:cs="Times New Roman"/>
          <w:noProof/>
          <w:szCs w:val="24"/>
        </w:rPr>
        <w:t>[12]</w:t>
      </w:r>
      <w:r w:rsidRPr="00413D3A">
        <w:rPr>
          <w:rFonts w:ascii="Times New Roman" w:hAnsi="Times New Roman" w:cs="Times New Roman"/>
          <w:noProof/>
          <w:szCs w:val="24"/>
        </w:rPr>
        <w:tab/>
        <w:t xml:space="preserve">K. Cicek, E. Akyuz, and M. Celik, “Future skills requirements analysis in maritime </w:t>
      </w:r>
      <w:r w:rsidRPr="00413D3A">
        <w:rPr>
          <w:rFonts w:ascii="Times New Roman" w:hAnsi="Times New Roman" w:cs="Times New Roman"/>
          <w:noProof/>
          <w:szCs w:val="24"/>
        </w:rPr>
        <w:lastRenderedPageBreak/>
        <w:t xml:space="preserve">industry,” </w:t>
      </w:r>
      <w:r w:rsidRPr="00413D3A">
        <w:rPr>
          <w:rFonts w:ascii="Times New Roman" w:hAnsi="Times New Roman" w:cs="Times New Roman"/>
          <w:i/>
          <w:iCs/>
          <w:noProof/>
          <w:szCs w:val="24"/>
        </w:rPr>
        <w:t>Procedia Comput. Sci.</w:t>
      </w:r>
      <w:r w:rsidRPr="00413D3A">
        <w:rPr>
          <w:rFonts w:ascii="Times New Roman" w:hAnsi="Times New Roman" w:cs="Times New Roman"/>
          <w:noProof/>
          <w:szCs w:val="24"/>
        </w:rPr>
        <w:t>, vol. 158, pp. 270–274, 2019.</w:t>
      </w:r>
    </w:p>
    <w:p w:rsidR="00413D3A" w:rsidRPr="00413D3A" w:rsidRDefault="00413D3A" w:rsidP="00413D3A">
      <w:pPr>
        <w:widowControl w:val="0"/>
        <w:autoSpaceDE w:val="0"/>
        <w:autoSpaceDN w:val="0"/>
        <w:adjustRightInd w:val="0"/>
        <w:spacing w:after="0" w:line="240" w:lineRule="auto"/>
        <w:ind w:left="640" w:hanging="640"/>
        <w:rPr>
          <w:rFonts w:ascii="Times New Roman" w:hAnsi="Times New Roman" w:cs="Times New Roman"/>
          <w:noProof/>
          <w:szCs w:val="24"/>
        </w:rPr>
      </w:pPr>
      <w:r w:rsidRPr="00413D3A">
        <w:rPr>
          <w:rFonts w:ascii="Times New Roman" w:hAnsi="Times New Roman" w:cs="Times New Roman"/>
          <w:noProof/>
          <w:szCs w:val="24"/>
        </w:rPr>
        <w:t>[13]</w:t>
      </w:r>
      <w:r w:rsidRPr="00413D3A">
        <w:rPr>
          <w:rFonts w:ascii="Times New Roman" w:hAnsi="Times New Roman" w:cs="Times New Roman"/>
          <w:noProof/>
          <w:szCs w:val="24"/>
        </w:rPr>
        <w:tab/>
        <w:t xml:space="preserve">D. Gavalas, T. Syriopoulos, and E. Roumpis, “Digital adoption and efficiency in the maritime industry,” </w:t>
      </w:r>
      <w:r w:rsidRPr="00413D3A">
        <w:rPr>
          <w:rFonts w:ascii="Times New Roman" w:hAnsi="Times New Roman" w:cs="Times New Roman"/>
          <w:i/>
          <w:iCs/>
          <w:noProof/>
          <w:szCs w:val="24"/>
        </w:rPr>
        <w:t>J. Shipp. Trade</w:t>
      </w:r>
      <w:r w:rsidRPr="00413D3A">
        <w:rPr>
          <w:rFonts w:ascii="Times New Roman" w:hAnsi="Times New Roman" w:cs="Times New Roman"/>
          <w:noProof/>
          <w:szCs w:val="24"/>
        </w:rPr>
        <w:t>, vol. 7, no. 1, p. 11, 2022.</w:t>
      </w:r>
    </w:p>
    <w:p w:rsidR="00413D3A" w:rsidRPr="00413D3A" w:rsidRDefault="00413D3A" w:rsidP="00413D3A">
      <w:pPr>
        <w:widowControl w:val="0"/>
        <w:autoSpaceDE w:val="0"/>
        <w:autoSpaceDN w:val="0"/>
        <w:adjustRightInd w:val="0"/>
        <w:spacing w:after="0" w:line="240" w:lineRule="auto"/>
        <w:ind w:left="640" w:hanging="640"/>
        <w:rPr>
          <w:rFonts w:ascii="Times New Roman" w:hAnsi="Times New Roman" w:cs="Times New Roman"/>
          <w:noProof/>
          <w:szCs w:val="24"/>
        </w:rPr>
      </w:pPr>
      <w:r w:rsidRPr="00413D3A">
        <w:rPr>
          <w:rFonts w:ascii="Times New Roman" w:hAnsi="Times New Roman" w:cs="Times New Roman"/>
          <w:noProof/>
          <w:szCs w:val="24"/>
        </w:rPr>
        <w:t>[14]</w:t>
      </w:r>
      <w:r w:rsidRPr="00413D3A">
        <w:rPr>
          <w:rFonts w:ascii="Times New Roman" w:hAnsi="Times New Roman" w:cs="Times New Roman"/>
          <w:noProof/>
          <w:szCs w:val="24"/>
        </w:rPr>
        <w:tab/>
        <w:t xml:space="preserve">R. Sparrow, T. Dartanto, and R. Hartwig, “Indonesia under the new normal: Challenges and the way ahead,” </w:t>
      </w:r>
      <w:r w:rsidRPr="00413D3A">
        <w:rPr>
          <w:rFonts w:ascii="Times New Roman" w:hAnsi="Times New Roman" w:cs="Times New Roman"/>
          <w:i/>
          <w:iCs/>
          <w:noProof/>
          <w:szCs w:val="24"/>
        </w:rPr>
        <w:t>Bull. Indones. Econ. Stud.</w:t>
      </w:r>
      <w:r w:rsidRPr="00413D3A">
        <w:rPr>
          <w:rFonts w:ascii="Times New Roman" w:hAnsi="Times New Roman" w:cs="Times New Roman"/>
          <w:noProof/>
          <w:szCs w:val="24"/>
        </w:rPr>
        <w:t>, vol. 56, no. 3, pp. 269–299, Sep. 2020, doi: 10.1080/00074918.2020.1854079.</w:t>
      </w:r>
    </w:p>
    <w:p w:rsidR="00413D3A" w:rsidRPr="00413D3A" w:rsidRDefault="00413D3A" w:rsidP="00413D3A">
      <w:pPr>
        <w:widowControl w:val="0"/>
        <w:autoSpaceDE w:val="0"/>
        <w:autoSpaceDN w:val="0"/>
        <w:adjustRightInd w:val="0"/>
        <w:spacing w:after="0" w:line="240" w:lineRule="auto"/>
        <w:ind w:left="640" w:hanging="640"/>
        <w:rPr>
          <w:rFonts w:ascii="Times New Roman" w:hAnsi="Times New Roman" w:cs="Times New Roman"/>
          <w:noProof/>
          <w:szCs w:val="24"/>
        </w:rPr>
      </w:pPr>
      <w:r w:rsidRPr="00413D3A">
        <w:rPr>
          <w:rFonts w:ascii="Times New Roman" w:hAnsi="Times New Roman" w:cs="Times New Roman"/>
          <w:noProof/>
          <w:szCs w:val="24"/>
        </w:rPr>
        <w:t>[15]</w:t>
      </w:r>
      <w:r w:rsidRPr="00413D3A">
        <w:rPr>
          <w:rFonts w:ascii="Times New Roman" w:hAnsi="Times New Roman" w:cs="Times New Roman"/>
          <w:noProof/>
          <w:szCs w:val="24"/>
        </w:rPr>
        <w:tab/>
        <w:t xml:space="preserve">A. M. Baylon and V. Santos, “The challenges in Philippine maritime education and training,” </w:t>
      </w:r>
      <w:r w:rsidRPr="00413D3A">
        <w:rPr>
          <w:rFonts w:ascii="Times New Roman" w:hAnsi="Times New Roman" w:cs="Times New Roman"/>
          <w:i/>
          <w:iCs/>
          <w:noProof/>
          <w:szCs w:val="24"/>
        </w:rPr>
        <w:t>Int. J. Innov. Interdiscip. Res.</w:t>
      </w:r>
      <w:r w:rsidRPr="00413D3A">
        <w:rPr>
          <w:rFonts w:ascii="Times New Roman" w:hAnsi="Times New Roman" w:cs="Times New Roman"/>
          <w:noProof/>
          <w:szCs w:val="24"/>
        </w:rPr>
        <w:t>, vol. 1, no. 1, pp. 34–43, 2011.</w:t>
      </w:r>
    </w:p>
    <w:p w:rsidR="00413D3A" w:rsidRPr="00413D3A" w:rsidRDefault="00413D3A" w:rsidP="00413D3A">
      <w:pPr>
        <w:widowControl w:val="0"/>
        <w:autoSpaceDE w:val="0"/>
        <w:autoSpaceDN w:val="0"/>
        <w:adjustRightInd w:val="0"/>
        <w:spacing w:after="0" w:line="240" w:lineRule="auto"/>
        <w:ind w:left="640" w:hanging="640"/>
        <w:rPr>
          <w:rFonts w:ascii="Times New Roman" w:hAnsi="Times New Roman" w:cs="Times New Roman"/>
          <w:noProof/>
          <w:szCs w:val="24"/>
        </w:rPr>
      </w:pPr>
      <w:r w:rsidRPr="00413D3A">
        <w:rPr>
          <w:rFonts w:ascii="Times New Roman" w:hAnsi="Times New Roman" w:cs="Times New Roman"/>
          <w:noProof/>
          <w:szCs w:val="24"/>
        </w:rPr>
        <w:t>[16]</w:t>
      </w:r>
      <w:r w:rsidRPr="00413D3A">
        <w:rPr>
          <w:rFonts w:ascii="Times New Roman" w:hAnsi="Times New Roman" w:cs="Times New Roman"/>
          <w:noProof/>
          <w:szCs w:val="24"/>
        </w:rPr>
        <w:tab/>
        <w:t xml:space="preserve">G. Moodie, “Identifying vocational education and training,” </w:t>
      </w:r>
      <w:r w:rsidRPr="00413D3A">
        <w:rPr>
          <w:rFonts w:ascii="Times New Roman" w:hAnsi="Times New Roman" w:cs="Times New Roman"/>
          <w:i/>
          <w:iCs/>
          <w:noProof/>
          <w:szCs w:val="24"/>
        </w:rPr>
        <w:t>J. Vocat. Educ. Train.</w:t>
      </w:r>
      <w:r w:rsidRPr="00413D3A">
        <w:rPr>
          <w:rFonts w:ascii="Times New Roman" w:hAnsi="Times New Roman" w:cs="Times New Roman"/>
          <w:noProof/>
          <w:szCs w:val="24"/>
        </w:rPr>
        <w:t>, vol. 54, no. 2, pp. 249–266, 2002.</w:t>
      </w:r>
    </w:p>
    <w:p w:rsidR="00413D3A" w:rsidRPr="00413D3A" w:rsidRDefault="00413D3A" w:rsidP="00413D3A">
      <w:pPr>
        <w:widowControl w:val="0"/>
        <w:autoSpaceDE w:val="0"/>
        <w:autoSpaceDN w:val="0"/>
        <w:adjustRightInd w:val="0"/>
        <w:spacing w:after="0" w:line="240" w:lineRule="auto"/>
        <w:ind w:left="640" w:hanging="640"/>
        <w:rPr>
          <w:rFonts w:ascii="Times New Roman" w:hAnsi="Times New Roman" w:cs="Times New Roman"/>
          <w:noProof/>
          <w:szCs w:val="24"/>
        </w:rPr>
      </w:pPr>
      <w:r w:rsidRPr="00413D3A">
        <w:rPr>
          <w:rFonts w:ascii="Times New Roman" w:hAnsi="Times New Roman" w:cs="Times New Roman"/>
          <w:noProof/>
          <w:szCs w:val="24"/>
        </w:rPr>
        <w:t>[17]</w:t>
      </w:r>
      <w:r w:rsidRPr="00413D3A">
        <w:rPr>
          <w:rFonts w:ascii="Times New Roman" w:hAnsi="Times New Roman" w:cs="Times New Roman"/>
          <w:noProof/>
          <w:szCs w:val="24"/>
        </w:rPr>
        <w:tab/>
        <w:t xml:space="preserve">H. Bitar and S. Alismail, “Exploring enablers and inhibitors of eHealth educational tools: The needs of women searching for HPV and cervical cancer information,” </w:t>
      </w:r>
      <w:r w:rsidRPr="00413D3A">
        <w:rPr>
          <w:rFonts w:ascii="Times New Roman" w:hAnsi="Times New Roman" w:cs="Times New Roman"/>
          <w:i/>
          <w:iCs/>
          <w:noProof/>
          <w:szCs w:val="24"/>
        </w:rPr>
        <w:t>DIGITAL HEALTH</w:t>
      </w:r>
      <w:r w:rsidRPr="00413D3A">
        <w:rPr>
          <w:rFonts w:ascii="Times New Roman" w:hAnsi="Times New Roman" w:cs="Times New Roman"/>
          <w:noProof/>
          <w:szCs w:val="24"/>
        </w:rPr>
        <w:t>, vol. 8. SAGE Publications, p. 2147483647, 2022. doi: 10.1177/20552076221130189.</w:t>
      </w:r>
    </w:p>
    <w:p w:rsidR="00413D3A" w:rsidRPr="00413D3A" w:rsidRDefault="00413D3A" w:rsidP="00413D3A">
      <w:pPr>
        <w:widowControl w:val="0"/>
        <w:autoSpaceDE w:val="0"/>
        <w:autoSpaceDN w:val="0"/>
        <w:adjustRightInd w:val="0"/>
        <w:spacing w:after="0" w:line="240" w:lineRule="auto"/>
        <w:ind w:left="640" w:hanging="640"/>
        <w:rPr>
          <w:rFonts w:ascii="Times New Roman" w:hAnsi="Times New Roman" w:cs="Times New Roman"/>
          <w:noProof/>
          <w:szCs w:val="24"/>
        </w:rPr>
      </w:pPr>
      <w:r w:rsidRPr="00413D3A">
        <w:rPr>
          <w:rFonts w:ascii="Times New Roman" w:hAnsi="Times New Roman" w:cs="Times New Roman"/>
          <w:noProof/>
          <w:szCs w:val="24"/>
        </w:rPr>
        <w:t>[18]</w:t>
      </w:r>
      <w:r w:rsidRPr="00413D3A">
        <w:rPr>
          <w:rFonts w:ascii="Times New Roman" w:hAnsi="Times New Roman" w:cs="Times New Roman"/>
          <w:noProof/>
          <w:szCs w:val="24"/>
        </w:rPr>
        <w:tab/>
        <w:t>E. Sarıcan and E. B. GÜNEŞ, “Developing Critical Thinking Skills in Elementary School Students Through Foreign Language Education: An Action Research.” Center for Open Science, 2021. doi: 10.31235/osf.io/3cjsv.</w:t>
      </w:r>
    </w:p>
    <w:p w:rsidR="00413D3A" w:rsidRPr="00413D3A" w:rsidRDefault="00413D3A" w:rsidP="00413D3A">
      <w:pPr>
        <w:widowControl w:val="0"/>
        <w:autoSpaceDE w:val="0"/>
        <w:autoSpaceDN w:val="0"/>
        <w:adjustRightInd w:val="0"/>
        <w:spacing w:after="0" w:line="240" w:lineRule="auto"/>
        <w:ind w:left="640" w:hanging="640"/>
        <w:rPr>
          <w:rFonts w:ascii="Times New Roman" w:hAnsi="Times New Roman" w:cs="Times New Roman"/>
          <w:noProof/>
          <w:szCs w:val="24"/>
        </w:rPr>
      </w:pPr>
      <w:r w:rsidRPr="00413D3A">
        <w:rPr>
          <w:rFonts w:ascii="Times New Roman" w:hAnsi="Times New Roman" w:cs="Times New Roman"/>
          <w:noProof/>
          <w:szCs w:val="24"/>
        </w:rPr>
        <w:t>[19]</w:t>
      </w:r>
      <w:r w:rsidRPr="00413D3A">
        <w:rPr>
          <w:rFonts w:ascii="Times New Roman" w:hAnsi="Times New Roman" w:cs="Times New Roman"/>
          <w:noProof/>
          <w:szCs w:val="24"/>
        </w:rPr>
        <w:tab/>
        <w:t xml:space="preserve">S. Ghosh, M. Bowles, D. Ranmuthugala, and B. Brooks, “On a lookout beyond STCW: Seeking standards and context for the authentic assessment of seafarers,” in </w:t>
      </w:r>
      <w:r w:rsidRPr="00413D3A">
        <w:rPr>
          <w:rFonts w:ascii="Times New Roman" w:hAnsi="Times New Roman" w:cs="Times New Roman"/>
          <w:i/>
          <w:iCs/>
          <w:noProof/>
          <w:szCs w:val="24"/>
        </w:rPr>
        <w:t>15th Annual General Assembly of the International Association of Maritime Universities, IAMU AGA 2014-Looking Ahead: Innovation in Maritime Education, Training and Research</w:t>
      </w:r>
      <w:r w:rsidRPr="00413D3A">
        <w:rPr>
          <w:rFonts w:ascii="Times New Roman" w:hAnsi="Times New Roman" w:cs="Times New Roman"/>
          <w:noProof/>
          <w:szCs w:val="24"/>
        </w:rPr>
        <w:t>, 2014, pp. 77–86.</w:t>
      </w:r>
    </w:p>
    <w:p w:rsidR="00413D3A" w:rsidRPr="00413D3A" w:rsidRDefault="00413D3A" w:rsidP="00413D3A">
      <w:pPr>
        <w:widowControl w:val="0"/>
        <w:autoSpaceDE w:val="0"/>
        <w:autoSpaceDN w:val="0"/>
        <w:adjustRightInd w:val="0"/>
        <w:spacing w:after="0" w:line="240" w:lineRule="auto"/>
        <w:ind w:left="640" w:hanging="640"/>
        <w:rPr>
          <w:rFonts w:ascii="Times New Roman" w:hAnsi="Times New Roman" w:cs="Times New Roman"/>
          <w:noProof/>
          <w:szCs w:val="24"/>
        </w:rPr>
      </w:pPr>
      <w:r w:rsidRPr="00413D3A">
        <w:rPr>
          <w:rFonts w:ascii="Times New Roman" w:hAnsi="Times New Roman" w:cs="Times New Roman"/>
          <w:noProof/>
          <w:szCs w:val="24"/>
        </w:rPr>
        <w:t>[20]</w:t>
      </w:r>
      <w:r w:rsidRPr="00413D3A">
        <w:rPr>
          <w:rFonts w:ascii="Times New Roman" w:hAnsi="Times New Roman" w:cs="Times New Roman"/>
          <w:noProof/>
          <w:szCs w:val="24"/>
        </w:rPr>
        <w:tab/>
        <w:t xml:space="preserve">D. Franceschi, “The features of maritime English discourse,” </w:t>
      </w:r>
      <w:r w:rsidRPr="00413D3A">
        <w:rPr>
          <w:rFonts w:ascii="Times New Roman" w:hAnsi="Times New Roman" w:cs="Times New Roman"/>
          <w:i/>
          <w:iCs/>
          <w:noProof/>
          <w:szCs w:val="24"/>
        </w:rPr>
        <w:t>Int. J. English Linguist.</w:t>
      </w:r>
      <w:r w:rsidRPr="00413D3A">
        <w:rPr>
          <w:rFonts w:ascii="Times New Roman" w:hAnsi="Times New Roman" w:cs="Times New Roman"/>
          <w:noProof/>
          <w:szCs w:val="24"/>
        </w:rPr>
        <w:t>, vol. 4, no. 2, p. 78, 2014.</w:t>
      </w:r>
    </w:p>
    <w:p w:rsidR="00413D3A" w:rsidRPr="00413D3A" w:rsidRDefault="00413D3A" w:rsidP="00413D3A">
      <w:pPr>
        <w:widowControl w:val="0"/>
        <w:autoSpaceDE w:val="0"/>
        <w:autoSpaceDN w:val="0"/>
        <w:adjustRightInd w:val="0"/>
        <w:spacing w:after="0" w:line="240" w:lineRule="auto"/>
        <w:ind w:left="640" w:hanging="640"/>
        <w:rPr>
          <w:rFonts w:ascii="Times New Roman" w:hAnsi="Times New Roman" w:cs="Times New Roman"/>
          <w:noProof/>
          <w:szCs w:val="24"/>
        </w:rPr>
      </w:pPr>
      <w:r w:rsidRPr="00413D3A">
        <w:rPr>
          <w:rFonts w:ascii="Times New Roman" w:hAnsi="Times New Roman" w:cs="Times New Roman"/>
          <w:noProof/>
          <w:szCs w:val="24"/>
        </w:rPr>
        <w:t>[21]</w:t>
      </w:r>
      <w:r w:rsidRPr="00413D3A">
        <w:rPr>
          <w:rFonts w:ascii="Times New Roman" w:hAnsi="Times New Roman" w:cs="Times New Roman"/>
          <w:noProof/>
          <w:szCs w:val="24"/>
        </w:rPr>
        <w:tab/>
        <w:t xml:space="preserve">N. R. Council, </w:t>
      </w:r>
      <w:r w:rsidRPr="00413D3A">
        <w:rPr>
          <w:rFonts w:ascii="Times New Roman" w:hAnsi="Times New Roman" w:cs="Times New Roman"/>
          <w:i/>
          <w:iCs/>
          <w:noProof/>
          <w:szCs w:val="24"/>
        </w:rPr>
        <w:t>Frontiers in massive data analysis</w:t>
      </w:r>
      <w:r w:rsidRPr="00413D3A">
        <w:rPr>
          <w:rFonts w:ascii="Times New Roman" w:hAnsi="Times New Roman" w:cs="Times New Roman"/>
          <w:noProof/>
          <w:szCs w:val="24"/>
        </w:rPr>
        <w:t>. National Academies Press, 2013.</w:t>
      </w:r>
    </w:p>
    <w:p w:rsidR="00413D3A" w:rsidRPr="00413D3A" w:rsidRDefault="00413D3A" w:rsidP="00413D3A">
      <w:pPr>
        <w:widowControl w:val="0"/>
        <w:autoSpaceDE w:val="0"/>
        <w:autoSpaceDN w:val="0"/>
        <w:adjustRightInd w:val="0"/>
        <w:spacing w:after="0" w:line="240" w:lineRule="auto"/>
        <w:ind w:left="640" w:hanging="640"/>
        <w:rPr>
          <w:rFonts w:ascii="Times New Roman" w:hAnsi="Times New Roman" w:cs="Times New Roman"/>
          <w:noProof/>
          <w:szCs w:val="24"/>
        </w:rPr>
      </w:pPr>
      <w:r w:rsidRPr="00413D3A">
        <w:rPr>
          <w:rFonts w:ascii="Times New Roman" w:hAnsi="Times New Roman" w:cs="Times New Roman"/>
          <w:noProof/>
          <w:szCs w:val="24"/>
        </w:rPr>
        <w:t>[22]</w:t>
      </w:r>
      <w:r w:rsidRPr="00413D3A">
        <w:rPr>
          <w:rFonts w:ascii="Times New Roman" w:hAnsi="Times New Roman" w:cs="Times New Roman"/>
          <w:noProof/>
          <w:szCs w:val="24"/>
        </w:rPr>
        <w:tab/>
        <w:t xml:space="preserve">S. Sarosa, </w:t>
      </w:r>
      <w:r w:rsidRPr="00413D3A">
        <w:rPr>
          <w:rFonts w:ascii="Times New Roman" w:hAnsi="Times New Roman" w:cs="Times New Roman"/>
          <w:i/>
          <w:iCs/>
          <w:noProof/>
          <w:szCs w:val="24"/>
        </w:rPr>
        <w:t>Analisis Data Penelitian Kualitatif</w:t>
      </w:r>
      <w:r w:rsidRPr="00413D3A">
        <w:rPr>
          <w:rFonts w:ascii="Times New Roman" w:hAnsi="Times New Roman" w:cs="Times New Roman"/>
          <w:noProof/>
          <w:szCs w:val="24"/>
        </w:rPr>
        <w:t>. Pt Kanisius, 2021.</w:t>
      </w:r>
    </w:p>
    <w:p w:rsidR="00413D3A" w:rsidRPr="00413D3A" w:rsidRDefault="00413D3A" w:rsidP="00413D3A">
      <w:pPr>
        <w:widowControl w:val="0"/>
        <w:autoSpaceDE w:val="0"/>
        <w:autoSpaceDN w:val="0"/>
        <w:adjustRightInd w:val="0"/>
        <w:spacing w:after="0" w:line="240" w:lineRule="auto"/>
        <w:ind w:left="640" w:hanging="640"/>
        <w:rPr>
          <w:rFonts w:ascii="Times New Roman" w:hAnsi="Times New Roman" w:cs="Times New Roman"/>
          <w:noProof/>
          <w:szCs w:val="24"/>
        </w:rPr>
      </w:pPr>
      <w:r w:rsidRPr="00413D3A">
        <w:rPr>
          <w:rFonts w:ascii="Times New Roman" w:hAnsi="Times New Roman" w:cs="Times New Roman"/>
          <w:noProof/>
          <w:szCs w:val="24"/>
        </w:rPr>
        <w:t>[23]</w:t>
      </w:r>
      <w:r w:rsidRPr="00413D3A">
        <w:rPr>
          <w:rFonts w:ascii="Times New Roman" w:hAnsi="Times New Roman" w:cs="Times New Roman"/>
          <w:noProof/>
          <w:szCs w:val="24"/>
        </w:rPr>
        <w:tab/>
        <w:t xml:space="preserve">D. K. Padgett, </w:t>
      </w:r>
      <w:r w:rsidRPr="00413D3A">
        <w:rPr>
          <w:rFonts w:ascii="Times New Roman" w:hAnsi="Times New Roman" w:cs="Times New Roman"/>
          <w:i/>
          <w:iCs/>
          <w:noProof/>
          <w:szCs w:val="24"/>
        </w:rPr>
        <w:t>Qualitative methods in social work research</w:t>
      </w:r>
      <w:r w:rsidRPr="00413D3A">
        <w:rPr>
          <w:rFonts w:ascii="Times New Roman" w:hAnsi="Times New Roman" w:cs="Times New Roman"/>
          <w:noProof/>
          <w:szCs w:val="24"/>
        </w:rPr>
        <w:t>, vol. 36. Sage publications, 2016.</w:t>
      </w:r>
    </w:p>
    <w:p w:rsidR="00413D3A" w:rsidRPr="00413D3A" w:rsidRDefault="00413D3A" w:rsidP="00413D3A">
      <w:pPr>
        <w:widowControl w:val="0"/>
        <w:autoSpaceDE w:val="0"/>
        <w:autoSpaceDN w:val="0"/>
        <w:adjustRightInd w:val="0"/>
        <w:spacing w:after="0" w:line="240" w:lineRule="auto"/>
        <w:ind w:left="640" w:hanging="640"/>
        <w:rPr>
          <w:rFonts w:ascii="Times New Roman" w:hAnsi="Times New Roman" w:cs="Times New Roman"/>
          <w:noProof/>
          <w:szCs w:val="24"/>
        </w:rPr>
      </w:pPr>
      <w:r w:rsidRPr="00413D3A">
        <w:rPr>
          <w:rFonts w:ascii="Times New Roman" w:hAnsi="Times New Roman" w:cs="Times New Roman"/>
          <w:noProof/>
          <w:szCs w:val="24"/>
        </w:rPr>
        <w:t>[24]</w:t>
      </w:r>
      <w:r w:rsidRPr="00413D3A">
        <w:rPr>
          <w:rFonts w:ascii="Times New Roman" w:hAnsi="Times New Roman" w:cs="Times New Roman"/>
          <w:noProof/>
          <w:szCs w:val="24"/>
        </w:rPr>
        <w:tab/>
        <w:t xml:space="preserve">J. W. Creswell and V. L. P. Clark, “Choosing a mixed methods design,” in </w:t>
      </w:r>
      <w:r w:rsidRPr="00413D3A">
        <w:rPr>
          <w:rFonts w:ascii="Times New Roman" w:hAnsi="Times New Roman" w:cs="Times New Roman"/>
          <w:i/>
          <w:iCs/>
          <w:noProof/>
          <w:szCs w:val="24"/>
        </w:rPr>
        <w:t>Designing and Conducting Mixed Methods Research</w:t>
      </w:r>
      <w:r w:rsidRPr="00413D3A">
        <w:rPr>
          <w:rFonts w:ascii="Times New Roman" w:hAnsi="Times New Roman" w:cs="Times New Roman"/>
          <w:noProof/>
          <w:szCs w:val="24"/>
        </w:rPr>
        <w:t>, California: Sage Publications, Inc., 2011, pp. 53–106.</w:t>
      </w:r>
    </w:p>
    <w:p w:rsidR="00413D3A" w:rsidRPr="00413D3A" w:rsidRDefault="00413D3A" w:rsidP="00413D3A">
      <w:pPr>
        <w:widowControl w:val="0"/>
        <w:autoSpaceDE w:val="0"/>
        <w:autoSpaceDN w:val="0"/>
        <w:adjustRightInd w:val="0"/>
        <w:spacing w:after="0" w:line="240" w:lineRule="auto"/>
        <w:ind w:left="640" w:hanging="640"/>
        <w:rPr>
          <w:rFonts w:ascii="Times New Roman" w:hAnsi="Times New Roman" w:cs="Times New Roman"/>
          <w:noProof/>
          <w:szCs w:val="24"/>
        </w:rPr>
      </w:pPr>
      <w:r w:rsidRPr="00413D3A">
        <w:rPr>
          <w:rFonts w:ascii="Times New Roman" w:hAnsi="Times New Roman" w:cs="Times New Roman"/>
          <w:noProof/>
          <w:szCs w:val="24"/>
        </w:rPr>
        <w:t>[25]</w:t>
      </w:r>
      <w:r w:rsidRPr="00413D3A">
        <w:rPr>
          <w:rFonts w:ascii="Times New Roman" w:hAnsi="Times New Roman" w:cs="Times New Roman"/>
          <w:noProof/>
          <w:szCs w:val="24"/>
        </w:rPr>
        <w:tab/>
        <w:t xml:space="preserve">A. Castleberry and A. Nolen, “Thematic </w:t>
      </w:r>
      <w:r w:rsidRPr="00413D3A">
        <w:rPr>
          <w:rFonts w:ascii="Times New Roman" w:hAnsi="Times New Roman" w:cs="Times New Roman"/>
          <w:noProof/>
          <w:szCs w:val="24"/>
        </w:rPr>
        <w:lastRenderedPageBreak/>
        <w:t xml:space="preserve">analysis of qualitative research data: Is it as easy as it sounds?,” </w:t>
      </w:r>
      <w:r w:rsidRPr="00413D3A">
        <w:rPr>
          <w:rFonts w:ascii="Times New Roman" w:hAnsi="Times New Roman" w:cs="Times New Roman"/>
          <w:i/>
          <w:iCs/>
          <w:noProof/>
          <w:szCs w:val="24"/>
        </w:rPr>
        <w:t>Curr. Pharm. Teach. Learn.</w:t>
      </w:r>
      <w:r w:rsidRPr="00413D3A">
        <w:rPr>
          <w:rFonts w:ascii="Times New Roman" w:hAnsi="Times New Roman" w:cs="Times New Roman"/>
          <w:noProof/>
          <w:szCs w:val="24"/>
        </w:rPr>
        <w:t>, vol. 10, no. 6, pp. 807–815, 2018.</w:t>
      </w:r>
    </w:p>
    <w:p w:rsidR="00413D3A" w:rsidRPr="00413D3A" w:rsidRDefault="00413D3A" w:rsidP="00413D3A">
      <w:pPr>
        <w:widowControl w:val="0"/>
        <w:autoSpaceDE w:val="0"/>
        <w:autoSpaceDN w:val="0"/>
        <w:adjustRightInd w:val="0"/>
        <w:spacing w:after="0" w:line="240" w:lineRule="auto"/>
        <w:ind w:left="640" w:hanging="640"/>
        <w:rPr>
          <w:rFonts w:ascii="Times New Roman" w:hAnsi="Times New Roman" w:cs="Times New Roman"/>
          <w:noProof/>
          <w:szCs w:val="24"/>
        </w:rPr>
      </w:pPr>
      <w:r w:rsidRPr="00413D3A">
        <w:rPr>
          <w:rFonts w:ascii="Times New Roman" w:hAnsi="Times New Roman" w:cs="Times New Roman"/>
          <w:noProof/>
          <w:szCs w:val="24"/>
        </w:rPr>
        <w:t>[26]</w:t>
      </w:r>
      <w:r w:rsidRPr="00413D3A">
        <w:rPr>
          <w:rFonts w:ascii="Times New Roman" w:hAnsi="Times New Roman" w:cs="Times New Roman"/>
          <w:noProof/>
          <w:szCs w:val="24"/>
        </w:rPr>
        <w:tab/>
        <w:t xml:space="preserve">J. Holland and J. Holland, “Implications of shifting technology in education,” </w:t>
      </w:r>
      <w:r w:rsidRPr="00413D3A">
        <w:rPr>
          <w:rFonts w:ascii="Times New Roman" w:hAnsi="Times New Roman" w:cs="Times New Roman"/>
          <w:i/>
          <w:iCs/>
          <w:noProof/>
          <w:szCs w:val="24"/>
        </w:rPr>
        <w:t>TechTrends</w:t>
      </w:r>
      <w:r w:rsidRPr="00413D3A">
        <w:rPr>
          <w:rFonts w:ascii="Times New Roman" w:hAnsi="Times New Roman" w:cs="Times New Roman"/>
          <w:noProof/>
          <w:szCs w:val="24"/>
        </w:rPr>
        <w:t>, vol. 58, pp. 16–25, 2014.</w:t>
      </w:r>
    </w:p>
    <w:p w:rsidR="00413D3A" w:rsidRPr="00413D3A" w:rsidRDefault="00413D3A" w:rsidP="00413D3A">
      <w:pPr>
        <w:widowControl w:val="0"/>
        <w:autoSpaceDE w:val="0"/>
        <w:autoSpaceDN w:val="0"/>
        <w:adjustRightInd w:val="0"/>
        <w:spacing w:after="0" w:line="240" w:lineRule="auto"/>
        <w:ind w:left="640" w:hanging="640"/>
        <w:rPr>
          <w:rFonts w:ascii="Times New Roman" w:hAnsi="Times New Roman" w:cs="Times New Roman"/>
          <w:noProof/>
        </w:rPr>
      </w:pPr>
      <w:r w:rsidRPr="00413D3A">
        <w:rPr>
          <w:rFonts w:ascii="Times New Roman" w:hAnsi="Times New Roman" w:cs="Times New Roman"/>
          <w:noProof/>
          <w:szCs w:val="24"/>
        </w:rPr>
        <w:t>[27]</w:t>
      </w:r>
      <w:r w:rsidRPr="00413D3A">
        <w:rPr>
          <w:rFonts w:ascii="Times New Roman" w:hAnsi="Times New Roman" w:cs="Times New Roman"/>
          <w:noProof/>
          <w:szCs w:val="24"/>
        </w:rPr>
        <w:tab/>
        <w:t xml:space="preserve">A. Aurigi and N. Odendaal, “From ‘smart in the box’ to ‘smart in the city’: Rethinking the socially sustainable smart city in context,” </w:t>
      </w:r>
      <w:r w:rsidRPr="00413D3A">
        <w:rPr>
          <w:rFonts w:ascii="Times New Roman" w:hAnsi="Times New Roman" w:cs="Times New Roman"/>
          <w:i/>
          <w:iCs/>
          <w:noProof/>
          <w:szCs w:val="24"/>
        </w:rPr>
        <w:t>J. Urban Technol.</w:t>
      </w:r>
      <w:r w:rsidRPr="00413D3A">
        <w:rPr>
          <w:rFonts w:ascii="Times New Roman" w:hAnsi="Times New Roman" w:cs="Times New Roman"/>
          <w:noProof/>
          <w:szCs w:val="24"/>
        </w:rPr>
        <w:t>, vol. 28, no. 1–2, pp. 55–70, 2021.</w:t>
      </w:r>
    </w:p>
    <w:p w:rsidR="00A20815" w:rsidRPr="00156D00" w:rsidRDefault="00F12311" w:rsidP="00A20815">
      <w:pPr>
        <w:widowControl w:val="0"/>
        <w:autoSpaceDE w:val="0"/>
        <w:autoSpaceDN w:val="0"/>
        <w:adjustRightInd w:val="0"/>
        <w:spacing w:after="0" w:line="240" w:lineRule="auto"/>
        <w:ind w:left="480" w:hanging="480"/>
        <w:rPr>
          <w:rFonts w:ascii="Times New Roman" w:eastAsia="Calibri" w:hAnsi="Times New Roman" w:cs="Times New Roman"/>
          <w:b/>
          <w:bCs/>
          <w:lang w:val="en-US"/>
        </w:rPr>
      </w:pPr>
      <w:r>
        <w:rPr>
          <w:rFonts w:ascii="Times New Roman" w:eastAsia="Calibri" w:hAnsi="Times New Roman" w:cs="Times New Roman"/>
          <w:b/>
          <w:bCs/>
          <w:lang w:val="en-US"/>
        </w:rPr>
        <w:fldChar w:fldCharType="end"/>
      </w:r>
    </w:p>
    <w:sectPr w:rsidR="00A20815" w:rsidRPr="00156D00" w:rsidSect="00ED6C87">
      <w:type w:val="continuous"/>
      <w:pgSz w:w="11906" w:h="16838"/>
      <w:pgMar w:top="1134" w:right="1134" w:bottom="1134" w:left="1134" w:header="709" w:footer="709"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741" w:rsidRDefault="00004741" w:rsidP="00BD3DF2">
      <w:pPr>
        <w:spacing w:after="0" w:line="240" w:lineRule="auto"/>
      </w:pPr>
      <w:r>
        <w:separator/>
      </w:r>
    </w:p>
  </w:endnote>
  <w:endnote w:type="continuationSeparator" w:id="0">
    <w:p w:rsidR="00004741" w:rsidRDefault="00004741"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proofErr w:type="spellStart"/>
    <w:r>
      <w:rPr>
        <w:rFonts w:ascii="Times New Roman" w:hAnsi="Times New Roman" w:cs="Times New Roman"/>
        <w:b/>
        <w:bCs/>
        <w:iCs/>
        <w:sz w:val="24"/>
        <w:szCs w:val="24"/>
        <w:lang w:val="en-US"/>
      </w:rPr>
      <w:t>ei</w:t>
    </w:r>
    <w:proofErr w:type="spellEnd"/>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A20475">
          <w:rPr>
            <w:rFonts w:ascii="Times New Roman" w:hAnsi="Times New Roman" w:cs="Times New Roman"/>
            <w:noProof/>
            <w:sz w:val="24"/>
            <w:szCs w:val="24"/>
          </w:rPr>
          <w:t>8</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741" w:rsidRDefault="00004741" w:rsidP="00BD3DF2">
      <w:pPr>
        <w:spacing w:after="0" w:line="240" w:lineRule="auto"/>
      </w:pPr>
      <w:r>
        <w:separator/>
      </w:r>
    </w:p>
  </w:footnote>
  <w:footnote w:type="continuationSeparator" w:id="0">
    <w:p w:rsidR="00004741" w:rsidRDefault="00004741"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1CA7F1C"/>
    <w:multiLevelType w:val="multilevel"/>
    <w:tmpl w:val="09545802"/>
    <w:lvl w:ilvl="0">
      <w:start w:val="1"/>
      <w:numFmt w:val="decimal"/>
      <w:lvlText w:val="%1."/>
      <w:lvlJc w:val="left"/>
      <w:pPr>
        <w:ind w:left="5038" w:hanging="360"/>
      </w:pPr>
      <w:rPr>
        <w:rFonts w:hint="default"/>
      </w:rPr>
    </w:lvl>
    <w:lvl w:ilvl="1">
      <w:start w:val="1"/>
      <w:numFmt w:val="decimal"/>
      <w:isLgl/>
      <w:lvlText w:val="%1.%2."/>
      <w:lvlJc w:val="left"/>
      <w:pPr>
        <w:ind w:left="5104" w:hanging="360"/>
      </w:pPr>
      <w:rPr>
        <w:rFonts w:hint="default"/>
      </w:rPr>
    </w:lvl>
    <w:lvl w:ilvl="2">
      <w:start w:val="1"/>
      <w:numFmt w:val="decimal"/>
      <w:isLgl/>
      <w:lvlText w:val="%1.%2.%3."/>
      <w:lvlJc w:val="left"/>
      <w:pPr>
        <w:ind w:left="5530" w:hanging="720"/>
      </w:pPr>
      <w:rPr>
        <w:rFonts w:hint="default"/>
      </w:rPr>
    </w:lvl>
    <w:lvl w:ilvl="3">
      <w:start w:val="1"/>
      <w:numFmt w:val="decimal"/>
      <w:isLgl/>
      <w:lvlText w:val="%1.%2.%3.%4."/>
      <w:lvlJc w:val="left"/>
      <w:pPr>
        <w:ind w:left="5596" w:hanging="720"/>
      </w:pPr>
      <w:rPr>
        <w:rFonts w:hint="default"/>
      </w:rPr>
    </w:lvl>
    <w:lvl w:ilvl="4">
      <w:start w:val="1"/>
      <w:numFmt w:val="decimal"/>
      <w:isLgl/>
      <w:lvlText w:val="%1.%2.%3.%4.%5."/>
      <w:lvlJc w:val="left"/>
      <w:pPr>
        <w:ind w:left="6022" w:hanging="1080"/>
      </w:pPr>
      <w:rPr>
        <w:rFonts w:hint="default"/>
      </w:rPr>
    </w:lvl>
    <w:lvl w:ilvl="5">
      <w:start w:val="1"/>
      <w:numFmt w:val="decimal"/>
      <w:isLgl/>
      <w:lvlText w:val="%1.%2.%3.%4.%5.%6."/>
      <w:lvlJc w:val="left"/>
      <w:pPr>
        <w:ind w:left="6088" w:hanging="1080"/>
      </w:pPr>
      <w:rPr>
        <w:rFonts w:hint="default"/>
      </w:rPr>
    </w:lvl>
    <w:lvl w:ilvl="6">
      <w:start w:val="1"/>
      <w:numFmt w:val="decimal"/>
      <w:isLgl/>
      <w:lvlText w:val="%1.%2.%3.%4.%5.%6.%7."/>
      <w:lvlJc w:val="left"/>
      <w:pPr>
        <w:ind w:left="6514" w:hanging="1440"/>
      </w:pPr>
      <w:rPr>
        <w:rFonts w:hint="default"/>
      </w:rPr>
    </w:lvl>
    <w:lvl w:ilvl="7">
      <w:start w:val="1"/>
      <w:numFmt w:val="decimal"/>
      <w:isLgl/>
      <w:lvlText w:val="%1.%2.%3.%4.%5.%6.%7.%8."/>
      <w:lvlJc w:val="left"/>
      <w:pPr>
        <w:ind w:left="6580" w:hanging="1440"/>
      </w:pPr>
      <w:rPr>
        <w:rFonts w:hint="default"/>
      </w:rPr>
    </w:lvl>
    <w:lvl w:ilvl="8">
      <w:start w:val="1"/>
      <w:numFmt w:val="decimal"/>
      <w:isLgl/>
      <w:lvlText w:val="%1.%2.%3.%4.%5.%6.%7.%8.%9."/>
      <w:lvlJc w:val="left"/>
      <w:pPr>
        <w:ind w:left="7006" w:hanging="1800"/>
      </w:pPr>
      <w:rPr>
        <w:rFonts w:hint="default"/>
      </w:rPr>
    </w:lvl>
  </w:abstractNum>
  <w:abstractNum w:abstractNumId="6">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nsid w:val="740A6E7A"/>
    <w:multiLevelType w:val="multilevel"/>
    <w:tmpl w:val="1B7CD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DB3D72"/>
    <w:multiLevelType w:val="multilevel"/>
    <w:tmpl w:val="FCE44A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2"/>
  </w:num>
  <w:num w:numId="6">
    <w:abstractNumId w:val="9"/>
  </w:num>
  <w:num w:numId="7">
    <w:abstractNumId w:val="3"/>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4741"/>
    <w:rsid w:val="00013331"/>
    <w:rsid w:val="000151F3"/>
    <w:rsid w:val="00026852"/>
    <w:rsid w:val="00071394"/>
    <w:rsid w:val="000767AC"/>
    <w:rsid w:val="00082B02"/>
    <w:rsid w:val="0009456B"/>
    <w:rsid w:val="000973D1"/>
    <w:rsid w:val="000A264E"/>
    <w:rsid w:val="000B2834"/>
    <w:rsid w:val="000C17E4"/>
    <w:rsid w:val="000C31DF"/>
    <w:rsid w:val="000C5A7E"/>
    <w:rsid w:val="000C6E91"/>
    <w:rsid w:val="000D0AC6"/>
    <w:rsid w:val="000E5FB5"/>
    <w:rsid w:val="000E6927"/>
    <w:rsid w:val="001221B0"/>
    <w:rsid w:val="0014123F"/>
    <w:rsid w:val="001423B4"/>
    <w:rsid w:val="00156D00"/>
    <w:rsid w:val="00166D83"/>
    <w:rsid w:val="00167ABC"/>
    <w:rsid w:val="001807B9"/>
    <w:rsid w:val="00190277"/>
    <w:rsid w:val="001A00C2"/>
    <w:rsid w:val="001B28B7"/>
    <w:rsid w:val="001C79A0"/>
    <w:rsid w:val="001E325F"/>
    <w:rsid w:val="001F2277"/>
    <w:rsid w:val="0023056D"/>
    <w:rsid w:val="00231CEA"/>
    <w:rsid w:val="0023691F"/>
    <w:rsid w:val="0024363E"/>
    <w:rsid w:val="00247F0A"/>
    <w:rsid w:val="002516A8"/>
    <w:rsid w:val="0025468B"/>
    <w:rsid w:val="00260B8B"/>
    <w:rsid w:val="00263DD8"/>
    <w:rsid w:val="00264A93"/>
    <w:rsid w:val="00275DB3"/>
    <w:rsid w:val="00280A4E"/>
    <w:rsid w:val="00280FA7"/>
    <w:rsid w:val="0029203F"/>
    <w:rsid w:val="002930A1"/>
    <w:rsid w:val="00295877"/>
    <w:rsid w:val="002A73E1"/>
    <w:rsid w:val="002B31E0"/>
    <w:rsid w:val="002D5658"/>
    <w:rsid w:val="002F11B1"/>
    <w:rsid w:val="00314187"/>
    <w:rsid w:val="00315AC0"/>
    <w:rsid w:val="0033714C"/>
    <w:rsid w:val="00337E4A"/>
    <w:rsid w:val="00373B88"/>
    <w:rsid w:val="00381098"/>
    <w:rsid w:val="003C5E0E"/>
    <w:rsid w:val="003D1666"/>
    <w:rsid w:val="00413D3A"/>
    <w:rsid w:val="0042090F"/>
    <w:rsid w:val="004428A8"/>
    <w:rsid w:val="004511E0"/>
    <w:rsid w:val="0045526D"/>
    <w:rsid w:val="00461241"/>
    <w:rsid w:val="00470564"/>
    <w:rsid w:val="004714EA"/>
    <w:rsid w:val="00472FE4"/>
    <w:rsid w:val="00473FBF"/>
    <w:rsid w:val="00482F54"/>
    <w:rsid w:val="004A318B"/>
    <w:rsid w:val="004B27FD"/>
    <w:rsid w:val="004B2F9C"/>
    <w:rsid w:val="004D666F"/>
    <w:rsid w:val="004F1EE5"/>
    <w:rsid w:val="004F3260"/>
    <w:rsid w:val="004F6862"/>
    <w:rsid w:val="004F7229"/>
    <w:rsid w:val="00531A04"/>
    <w:rsid w:val="0054247E"/>
    <w:rsid w:val="00550EA6"/>
    <w:rsid w:val="0055783F"/>
    <w:rsid w:val="0057188F"/>
    <w:rsid w:val="005831E4"/>
    <w:rsid w:val="00583700"/>
    <w:rsid w:val="005B6D02"/>
    <w:rsid w:val="005C242D"/>
    <w:rsid w:val="005D6635"/>
    <w:rsid w:val="005E3175"/>
    <w:rsid w:val="005F1219"/>
    <w:rsid w:val="005F3A06"/>
    <w:rsid w:val="005F4B71"/>
    <w:rsid w:val="006056BE"/>
    <w:rsid w:val="006171B3"/>
    <w:rsid w:val="00617C9B"/>
    <w:rsid w:val="0062157D"/>
    <w:rsid w:val="00635CBD"/>
    <w:rsid w:val="006709DA"/>
    <w:rsid w:val="0069410E"/>
    <w:rsid w:val="006965B2"/>
    <w:rsid w:val="006A33A6"/>
    <w:rsid w:val="006B0E27"/>
    <w:rsid w:val="006B629D"/>
    <w:rsid w:val="006D6D19"/>
    <w:rsid w:val="006E3D96"/>
    <w:rsid w:val="00711C6A"/>
    <w:rsid w:val="00712E82"/>
    <w:rsid w:val="007223D5"/>
    <w:rsid w:val="00724ED7"/>
    <w:rsid w:val="00731E10"/>
    <w:rsid w:val="00734DF0"/>
    <w:rsid w:val="00736793"/>
    <w:rsid w:val="00760A3E"/>
    <w:rsid w:val="00762A79"/>
    <w:rsid w:val="00762E81"/>
    <w:rsid w:val="00783ED1"/>
    <w:rsid w:val="00790192"/>
    <w:rsid w:val="007912A2"/>
    <w:rsid w:val="007A5D4E"/>
    <w:rsid w:val="007B46BC"/>
    <w:rsid w:val="007C2346"/>
    <w:rsid w:val="007C3E3D"/>
    <w:rsid w:val="007F0EE3"/>
    <w:rsid w:val="00815747"/>
    <w:rsid w:val="008267F9"/>
    <w:rsid w:val="008318D9"/>
    <w:rsid w:val="00844497"/>
    <w:rsid w:val="00893A3F"/>
    <w:rsid w:val="008957F8"/>
    <w:rsid w:val="008A106B"/>
    <w:rsid w:val="008A3CD3"/>
    <w:rsid w:val="008B11D9"/>
    <w:rsid w:val="008B19CC"/>
    <w:rsid w:val="008B3067"/>
    <w:rsid w:val="008B5E8C"/>
    <w:rsid w:val="008D0AEE"/>
    <w:rsid w:val="008E3AAF"/>
    <w:rsid w:val="008E7571"/>
    <w:rsid w:val="008F2D2C"/>
    <w:rsid w:val="008F5BFE"/>
    <w:rsid w:val="009079AB"/>
    <w:rsid w:val="00930B95"/>
    <w:rsid w:val="009378B9"/>
    <w:rsid w:val="0094162E"/>
    <w:rsid w:val="009657B5"/>
    <w:rsid w:val="00983018"/>
    <w:rsid w:val="0098476B"/>
    <w:rsid w:val="0098710F"/>
    <w:rsid w:val="009A679D"/>
    <w:rsid w:val="009B1F3D"/>
    <w:rsid w:val="009B4398"/>
    <w:rsid w:val="009C0371"/>
    <w:rsid w:val="009C13E5"/>
    <w:rsid w:val="009C4BE4"/>
    <w:rsid w:val="009C6C8A"/>
    <w:rsid w:val="009D6FB2"/>
    <w:rsid w:val="009E2290"/>
    <w:rsid w:val="00A03D71"/>
    <w:rsid w:val="00A13FE6"/>
    <w:rsid w:val="00A20475"/>
    <w:rsid w:val="00A20815"/>
    <w:rsid w:val="00A214E1"/>
    <w:rsid w:val="00A22FEF"/>
    <w:rsid w:val="00A37C6F"/>
    <w:rsid w:val="00A618F9"/>
    <w:rsid w:val="00A7430C"/>
    <w:rsid w:val="00AA4294"/>
    <w:rsid w:val="00AC532E"/>
    <w:rsid w:val="00AD553D"/>
    <w:rsid w:val="00AF5ED5"/>
    <w:rsid w:val="00AF623A"/>
    <w:rsid w:val="00B03EFF"/>
    <w:rsid w:val="00B0553E"/>
    <w:rsid w:val="00B249C9"/>
    <w:rsid w:val="00B3034B"/>
    <w:rsid w:val="00B329CF"/>
    <w:rsid w:val="00B4144E"/>
    <w:rsid w:val="00B5153F"/>
    <w:rsid w:val="00B53B02"/>
    <w:rsid w:val="00B57E80"/>
    <w:rsid w:val="00B6161E"/>
    <w:rsid w:val="00B71E3A"/>
    <w:rsid w:val="00B81A52"/>
    <w:rsid w:val="00B81D9E"/>
    <w:rsid w:val="00BA1FD2"/>
    <w:rsid w:val="00BB59B9"/>
    <w:rsid w:val="00BC2F62"/>
    <w:rsid w:val="00BC75CA"/>
    <w:rsid w:val="00BD3DF2"/>
    <w:rsid w:val="00C050E6"/>
    <w:rsid w:val="00C05853"/>
    <w:rsid w:val="00C12717"/>
    <w:rsid w:val="00C203F0"/>
    <w:rsid w:val="00C23B5D"/>
    <w:rsid w:val="00C31ED1"/>
    <w:rsid w:val="00C35A97"/>
    <w:rsid w:val="00C622CB"/>
    <w:rsid w:val="00C63ADD"/>
    <w:rsid w:val="00C7149F"/>
    <w:rsid w:val="00C94422"/>
    <w:rsid w:val="00C958E2"/>
    <w:rsid w:val="00CB1532"/>
    <w:rsid w:val="00CB5385"/>
    <w:rsid w:val="00CC0689"/>
    <w:rsid w:val="00CC7E46"/>
    <w:rsid w:val="00CD310F"/>
    <w:rsid w:val="00CE1588"/>
    <w:rsid w:val="00D3241E"/>
    <w:rsid w:val="00D816C8"/>
    <w:rsid w:val="00D934D6"/>
    <w:rsid w:val="00DA1E36"/>
    <w:rsid w:val="00DB194B"/>
    <w:rsid w:val="00DB5E65"/>
    <w:rsid w:val="00DB79BF"/>
    <w:rsid w:val="00DC624E"/>
    <w:rsid w:val="00DF36B0"/>
    <w:rsid w:val="00E0457A"/>
    <w:rsid w:val="00E07381"/>
    <w:rsid w:val="00E11F3F"/>
    <w:rsid w:val="00E20CEC"/>
    <w:rsid w:val="00E2165D"/>
    <w:rsid w:val="00E26505"/>
    <w:rsid w:val="00E26D16"/>
    <w:rsid w:val="00E75F8F"/>
    <w:rsid w:val="00E80032"/>
    <w:rsid w:val="00E82193"/>
    <w:rsid w:val="00EA2970"/>
    <w:rsid w:val="00EA3E26"/>
    <w:rsid w:val="00EB375B"/>
    <w:rsid w:val="00EC0792"/>
    <w:rsid w:val="00ED6C87"/>
    <w:rsid w:val="00EF1263"/>
    <w:rsid w:val="00EF2E8F"/>
    <w:rsid w:val="00EF66AF"/>
    <w:rsid w:val="00F12311"/>
    <w:rsid w:val="00F13F36"/>
    <w:rsid w:val="00F20FE1"/>
    <w:rsid w:val="00F228F8"/>
    <w:rsid w:val="00F33B95"/>
    <w:rsid w:val="00F356F5"/>
    <w:rsid w:val="00F37A36"/>
    <w:rsid w:val="00F40AAC"/>
    <w:rsid w:val="00F4452A"/>
    <w:rsid w:val="00F527FD"/>
    <w:rsid w:val="00F5577B"/>
    <w:rsid w:val="00F5793F"/>
    <w:rsid w:val="00F6141E"/>
    <w:rsid w:val="00F679C1"/>
    <w:rsid w:val="00F72C13"/>
    <w:rsid w:val="00F864BE"/>
    <w:rsid w:val="00FA032B"/>
    <w:rsid w:val="00FB54A4"/>
    <w:rsid w:val="00FE58D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NormalWeb">
    <w:name w:val="Normal (Web)"/>
    <w:basedOn w:val="Normal"/>
    <w:uiPriority w:val="99"/>
    <w:semiHidden/>
    <w:unhideWhenUsed/>
    <w:rsid w:val="00190277"/>
    <w:rPr>
      <w:rFonts w:ascii="Times New Roman" w:hAnsi="Times New Roman" w:cs="Times New Roman"/>
      <w:sz w:val="24"/>
      <w:szCs w:val="24"/>
    </w:rPr>
  </w:style>
  <w:style w:type="paragraph" w:styleId="NoSpacing">
    <w:name w:val="No Spacing"/>
    <w:uiPriority w:val="1"/>
    <w:qFormat/>
    <w:rsid w:val="00E26D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72214">
      <w:bodyDiv w:val="1"/>
      <w:marLeft w:val="0"/>
      <w:marRight w:val="0"/>
      <w:marTop w:val="0"/>
      <w:marBottom w:val="0"/>
      <w:divBdr>
        <w:top w:val="none" w:sz="0" w:space="0" w:color="auto"/>
        <w:left w:val="none" w:sz="0" w:space="0" w:color="auto"/>
        <w:bottom w:val="none" w:sz="0" w:space="0" w:color="auto"/>
        <w:right w:val="none" w:sz="0" w:space="0" w:color="auto"/>
      </w:divBdr>
    </w:div>
    <w:div w:id="110247798">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42587408">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22207067">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64378163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074815012">
      <w:bodyDiv w:val="1"/>
      <w:marLeft w:val="0"/>
      <w:marRight w:val="0"/>
      <w:marTop w:val="0"/>
      <w:marBottom w:val="0"/>
      <w:divBdr>
        <w:top w:val="none" w:sz="0" w:space="0" w:color="auto"/>
        <w:left w:val="none" w:sz="0" w:space="0" w:color="auto"/>
        <w:bottom w:val="none" w:sz="0" w:space="0" w:color="auto"/>
        <w:right w:val="none" w:sz="0" w:space="0" w:color="auto"/>
      </w:divBdr>
    </w:div>
    <w:div w:id="1088699867">
      <w:bodyDiv w:val="1"/>
      <w:marLeft w:val="0"/>
      <w:marRight w:val="0"/>
      <w:marTop w:val="0"/>
      <w:marBottom w:val="0"/>
      <w:divBdr>
        <w:top w:val="none" w:sz="0" w:space="0" w:color="auto"/>
        <w:left w:val="none" w:sz="0" w:space="0" w:color="auto"/>
        <w:bottom w:val="none" w:sz="0" w:space="0" w:color="auto"/>
        <w:right w:val="none" w:sz="0" w:space="0" w:color="auto"/>
      </w:divBdr>
    </w:div>
    <w:div w:id="1126243473">
      <w:bodyDiv w:val="1"/>
      <w:marLeft w:val="0"/>
      <w:marRight w:val="0"/>
      <w:marTop w:val="0"/>
      <w:marBottom w:val="0"/>
      <w:divBdr>
        <w:top w:val="none" w:sz="0" w:space="0" w:color="auto"/>
        <w:left w:val="none" w:sz="0" w:space="0" w:color="auto"/>
        <w:bottom w:val="none" w:sz="0" w:space="0" w:color="auto"/>
        <w:right w:val="none" w:sz="0" w:space="0" w:color="auto"/>
      </w:divBdr>
    </w:div>
    <w:div w:id="1127162437">
      <w:bodyDiv w:val="1"/>
      <w:marLeft w:val="0"/>
      <w:marRight w:val="0"/>
      <w:marTop w:val="0"/>
      <w:marBottom w:val="0"/>
      <w:divBdr>
        <w:top w:val="none" w:sz="0" w:space="0" w:color="auto"/>
        <w:left w:val="none" w:sz="0" w:space="0" w:color="auto"/>
        <w:bottom w:val="none" w:sz="0" w:space="0" w:color="auto"/>
        <w:right w:val="none" w:sz="0" w:space="0" w:color="auto"/>
      </w:divBdr>
    </w:div>
    <w:div w:id="1250963271">
      <w:bodyDiv w:val="1"/>
      <w:marLeft w:val="0"/>
      <w:marRight w:val="0"/>
      <w:marTop w:val="0"/>
      <w:marBottom w:val="0"/>
      <w:divBdr>
        <w:top w:val="none" w:sz="0" w:space="0" w:color="auto"/>
        <w:left w:val="none" w:sz="0" w:space="0" w:color="auto"/>
        <w:bottom w:val="none" w:sz="0" w:space="0" w:color="auto"/>
        <w:right w:val="none" w:sz="0" w:space="0" w:color="auto"/>
      </w:divBdr>
    </w:div>
    <w:div w:id="1611470114">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79774514">
      <w:bodyDiv w:val="1"/>
      <w:marLeft w:val="0"/>
      <w:marRight w:val="0"/>
      <w:marTop w:val="0"/>
      <w:marBottom w:val="0"/>
      <w:divBdr>
        <w:top w:val="none" w:sz="0" w:space="0" w:color="auto"/>
        <w:left w:val="none" w:sz="0" w:space="0" w:color="auto"/>
        <w:bottom w:val="none" w:sz="0" w:space="0" w:color="auto"/>
        <w:right w:val="none" w:sz="0" w:space="0" w:color="auto"/>
      </w:divBdr>
    </w:div>
    <w:div w:id="1724788776">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741750702">
      <w:bodyDiv w:val="1"/>
      <w:marLeft w:val="0"/>
      <w:marRight w:val="0"/>
      <w:marTop w:val="0"/>
      <w:marBottom w:val="0"/>
      <w:divBdr>
        <w:top w:val="none" w:sz="0" w:space="0" w:color="auto"/>
        <w:left w:val="none" w:sz="0" w:space="0" w:color="auto"/>
        <w:bottom w:val="none" w:sz="0" w:space="0" w:color="auto"/>
        <w:right w:val="none" w:sz="0" w:space="0" w:color="auto"/>
      </w:divBdr>
    </w:div>
    <w:div w:id="1894150306">
      <w:bodyDiv w:val="1"/>
      <w:marLeft w:val="0"/>
      <w:marRight w:val="0"/>
      <w:marTop w:val="0"/>
      <w:marBottom w:val="0"/>
      <w:divBdr>
        <w:top w:val="none" w:sz="0" w:space="0" w:color="auto"/>
        <w:left w:val="none" w:sz="0" w:space="0" w:color="auto"/>
        <w:bottom w:val="none" w:sz="0" w:space="0" w:color="auto"/>
        <w:right w:val="none" w:sz="0" w:space="0" w:color="auto"/>
      </w:divBdr>
    </w:div>
    <w:div w:id="210823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E1CAF88-D34D-49ED-9A57-F5A855DDF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10966</Words>
  <Characters>62512</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Microsoft account</cp:lastModifiedBy>
  <cp:revision>5</cp:revision>
  <cp:lastPrinted>2019-05-24T02:53:00Z</cp:lastPrinted>
  <dcterms:created xsi:type="dcterms:W3CDTF">2024-05-03T08:20:00Z</dcterms:created>
  <dcterms:modified xsi:type="dcterms:W3CDTF">2024-05-03T08:26:00Z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http://www.zotero.org/styles/chicago-note-bibliography</vt:lpwstr>
  </property>
  <property fmtid="{D5CDD505-2E9C-101B-9397-08002B2CF9AE}" pid="16" name="Mendeley Recent Style Name 5_1">
    <vt:lpwstr>Chicago Manual of Style 17th edition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http://www.zotero.org/styles/e3s-web-of-conferences</vt:lpwstr>
  </property>
  <property fmtid="{D5CDD505-2E9C-101B-9397-08002B2CF9AE}" pid="20" name="Mendeley Recent Style Name 7_1">
    <vt:lpwstr>E3S Web of Conferences</vt:lpwstr>
  </property>
  <property fmtid="{D5CDD505-2E9C-101B-9397-08002B2CF9AE}" pid="21" name="Mendeley Recent Style Id 8_1">
    <vt:lpwstr>http://www.zotero.org/styles/harvard1</vt:lpwstr>
  </property>
  <property fmtid="{D5CDD505-2E9C-101B-9397-08002B2CF9AE}" pid="22" name="Mendeley Recent Style Name 8_1">
    <vt:lpwstr>Harvard reference format 1 (deprecated)</vt:lpwstr>
  </property>
  <property fmtid="{D5CDD505-2E9C-101B-9397-08002B2CF9AE}" pid="23" name="Mendeley Recent Style Id 9_1">
    <vt:lpwstr>http://www.zotero.org/styles/ieee</vt:lpwstr>
  </property>
  <property fmtid="{D5CDD505-2E9C-101B-9397-08002B2CF9AE}" pid="24" name="Mendeley Recent Style Name 9_1">
    <vt:lpwstr>IEEE</vt:lpwstr>
  </property>
</Properties>
</file>