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w:t>
      </w:r>
      <w:r w:rsidR="005E3175" w:rsidRPr="00156D00">
        <w:rPr>
          <w:rFonts w:ascii="Times New Roman" w:hAnsi="Times New Roman" w:cs="Times New Roman"/>
          <w:color w:val="FF0000"/>
          <w:lang w:val="en-US"/>
        </w:rPr>
        <w:t>ac</w:t>
      </w:r>
      <w:r w:rsidRPr="00156D00">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w:t>
            </w:r>
            <w:r w:rsidR="001C79A0" w:rsidRPr="00156D00">
              <w:rPr>
                <w:rFonts w:ascii="Times New Roman" w:eastAsia="Calibri" w:hAnsi="Times New Roman" w:cs="Times New Roman"/>
                <w:b w:val="0"/>
                <w:i/>
                <w:color w:val="1F497D" w:themeColor="text2"/>
                <w:sz w:val="66"/>
                <w:szCs w:val="66"/>
                <w:lang w:val="en-US"/>
              </w:rPr>
              <w:t xml:space="preserve"> STIP MARUNDA</w:t>
            </w:r>
          </w:p>
        </w:tc>
      </w:tr>
      <w:tr w:rsidR="00DB5E65" w:rsidRPr="00156D00"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5F4B71" w:rsidRPr="00156D00">
              <w:rPr>
                <w:rFonts w:ascii="Times New Roman" w:hAnsi="Times New Roman" w:cs="Times New Roman"/>
                <w:b w:val="0"/>
                <w:noProof/>
                <w:sz w:val="16"/>
                <w:szCs w:val="16"/>
                <w:lang w:eastAsia="id-ID"/>
              </w:rPr>
              <w:t>1</w:t>
            </w:r>
            <w:r w:rsidR="005F4B71" w:rsidRPr="00156D00">
              <w:rPr>
                <w:rFonts w:ascii="Times New Roman" w:hAnsi="Times New Roman" w:cs="Times New Roman"/>
                <w:b w:val="0"/>
                <w:noProof/>
                <w:sz w:val="16"/>
                <w:szCs w:val="16"/>
                <w:lang w:val="en-US" w:eastAsia="id-ID"/>
              </w:rPr>
              <w:t xml:space="preserve">979 </w:t>
            </w:r>
            <w:r w:rsidR="002930A1" w:rsidRPr="00156D00">
              <w:rPr>
                <w:rFonts w:ascii="Times New Roman" w:hAnsi="Times New Roman" w:cs="Times New Roman"/>
                <w:b w:val="0"/>
                <w:noProof/>
                <w:sz w:val="16"/>
                <w:szCs w:val="16"/>
                <w:lang w:val="en-US" w:eastAsia="id-ID"/>
              </w:rPr>
              <w:t>–</w:t>
            </w:r>
            <w:r w:rsidR="005F4B71" w:rsidRPr="00156D00">
              <w:rPr>
                <w:rFonts w:ascii="Times New Roman" w:hAnsi="Times New Roman" w:cs="Times New Roman"/>
                <w:b w:val="0"/>
                <w:noProof/>
                <w:sz w:val="16"/>
                <w:szCs w:val="16"/>
                <w:lang w:val="en-US" w:eastAsia="id-ID"/>
              </w:rPr>
              <w:t xml:space="preserve"> 4746</w:t>
            </w:r>
          </w:p>
          <w:p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 xml:space="preserve">EISSN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 xml:space="preserve">JURNAL PENELITIAN ILMIAH </w:t>
            </w:r>
          </w:p>
          <w:p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2516A8" w:rsidRPr="00156D00" w:rsidRDefault="002516A8" w:rsidP="002516A8">
            <w:pPr>
              <w:jc w:val="center"/>
              <w:rPr>
                <w:rFonts w:ascii="Times New Roman" w:eastAsia="Calibri" w:hAnsi="Times New Roman" w:cs="Times New Roman"/>
                <w:sz w:val="28"/>
                <w:szCs w:val="32"/>
                <w:lang w:val="en-ID"/>
              </w:rPr>
            </w:pPr>
            <w:r w:rsidRPr="00156D00">
              <w:rPr>
                <w:rFonts w:ascii="Times New Roman" w:eastAsia="Calibri" w:hAnsi="Times New Roman" w:cs="Times New Roman"/>
                <w:sz w:val="28"/>
                <w:szCs w:val="32"/>
                <w:lang w:val="en-ID"/>
              </w:rPr>
              <w:t>Simulation-Based Learning in Maritime Training: Enhancing Competency and Preparedness</w:t>
            </w:r>
          </w:p>
          <w:p w:rsidR="0094162E" w:rsidRPr="00FE58DC" w:rsidRDefault="0094162E" w:rsidP="00373B88">
            <w:pPr>
              <w:autoSpaceDE w:val="0"/>
              <w:autoSpaceDN w:val="0"/>
              <w:adjustRightInd w:val="0"/>
              <w:jc w:val="center"/>
              <w:rPr>
                <w:rFonts w:ascii="Times New Roman" w:hAnsi="Times New Roman" w:cs="Times New Roman"/>
                <w:b w:val="0"/>
                <w:iCs/>
                <w:szCs w:val="20"/>
              </w:rPr>
            </w:pPr>
          </w:p>
          <w:p w:rsidR="00373B88" w:rsidRPr="00EB375B" w:rsidRDefault="00E26D16" w:rsidP="00373B88">
            <w:pPr>
              <w:autoSpaceDE w:val="0"/>
              <w:autoSpaceDN w:val="0"/>
              <w:adjustRightInd w:val="0"/>
              <w:jc w:val="center"/>
              <w:rPr>
                <w:rFonts w:ascii="Times New Roman" w:hAnsi="Times New Roman" w:cs="Times New Roman"/>
                <w:b w:val="0"/>
                <w:i/>
                <w:iCs/>
                <w:szCs w:val="20"/>
              </w:rPr>
            </w:pPr>
            <w:r w:rsidRPr="00E26D16">
              <w:rPr>
                <w:rFonts w:ascii="Times New Roman" w:hAnsi="Times New Roman" w:cs="Times New Roman"/>
                <w:b w:val="0"/>
                <w:i/>
                <w:iCs/>
                <w:szCs w:val="20"/>
              </w:rPr>
              <w:t>Jaya Alamsyah</w:t>
            </w:r>
            <w:r w:rsidR="00373B88" w:rsidRPr="00EB375B">
              <w:rPr>
                <w:rFonts w:ascii="Times New Roman" w:hAnsi="Times New Roman" w:cs="Times New Roman"/>
                <w:b w:val="0"/>
                <w:i/>
                <w:iCs/>
                <w:szCs w:val="20"/>
                <w:vertAlign w:val="superscript"/>
              </w:rPr>
              <w:t>1)</w:t>
            </w:r>
            <w:r w:rsidR="00373B88" w:rsidRPr="00EB375B">
              <w:rPr>
                <w:rFonts w:ascii="Times New Roman" w:hAnsi="Times New Roman" w:cs="Times New Roman"/>
                <w:b w:val="0"/>
                <w:i/>
                <w:iCs/>
                <w:szCs w:val="20"/>
              </w:rPr>
              <w:t xml:space="preserve">  </w:t>
            </w:r>
            <w:r w:rsidRPr="00E26D16">
              <w:rPr>
                <w:rStyle w:val="Hyperlink"/>
                <w:rFonts w:ascii="Times New Roman" w:hAnsi="Times New Roman" w:cs="Times New Roman"/>
                <w:b w:val="0"/>
                <w:i/>
                <w:iCs/>
                <w:szCs w:val="20"/>
              </w:rPr>
              <w:t>jaya.alamsyah@gmail.com</w:t>
            </w:r>
          </w:p>
          <w:p w:rsidR="00373B88" w:rsidRPr="00EB375B" w:rsidRDefault="00E26D16" w:rsidP="00373B88">
            <w:pPr>
              <w:autoSpaceDE w:val="0"/>
              <w:autoSpaceDN w:val="0"/>
              <w:adjustRightInd w:val="0"/>
              <w:jc w:val="center"/>
              <w:rPr>
                <w:rFonts w:ascii="Times New Roman" w:hAnsi="Times New Roman" w:cs="Times New Roman"/>
                <w:b w:val="0"/>
                <w:i/>
                <w:iCs/>
                <w:szCs w:val="20"/>
              </w:rPr>
            </w:pPr>
            <w:r w:rsidRPr="00E26D16">
              <w:rPr>
                <w:rFonts w:ascii="Times New Roman" w:hAnsi="Times New Roman" w:cs="Times New Roman"/>
                <w:b w:val="0"/>
                <w:i/>
                <w:iCs/>
                <w:szCs w:val="20"/>
              </w:rPr>
              <w:t>Asman Ala</w:t>
            </w:r>
            <w:r w:rsidR="00373B88" w:rsidRPr="00EB375B">
              <w:rPr>
                <w:rFonts w:ascii="Times New Roman" w:hAnsi="Times New Roman" w:cs="Times New Roman"/>
                <w:b w:val="0"/>
                <w:i/>
                <w:iCs/>
                <w:szCs w:val="20"/>
                <w:vertAlign w:val="superscript"/>
              </w:rPr>
              <w:t>2)</w:t>
            </w:r>
            <w:r w:rsidR="00373B88" w:rsidRPr="00EB375B">
              <w:rPr>
                <w:rFonts w:ascii="Times New Roman" w:hAnsi="Times New Roman" w:cs="Times New Roman"/>
                <w:b w:val="0"/>
                <w:i/>
                <w:iCs/>
                <w:szCs w:val="20"/>
              </w:rPr>
              <w:t xml:space="preserve">  </w:t>
            </w:r>
            <w:r w:rsidRPr="00E26D16">
              <w:rPr>
                <w:rFonts w:ascii="Times New Roman" w:hAnsi="Times New Roman" w:cs="Times New Roman"/>
                <w:b w:val="0"/>
                <w:i/>
                <w:iCs/>
                <w:color w:val="0000FF" w:themeColor="hyperlink"/>
                <w:szCs w:val="20"/>
                <w:u w:val="single"/>
              </w:rPr>
              <w:t>asmanaufal2003@g.mail.com</w:t>
            </w:r>
          </w:p>
          <w:p w:rsidR="004F3260" w:rsidRPr="00EB375B" w:rsidRDefault="004F3260" w:rsidP="004F3260">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EB375B">
              <w:rPr>
                <w:rFonts w:ascii="Times New Roman" w:eastAsia="Calibri" w:hAnsi="Times New Roman" w:cs="Times New Roman"/>
                <w:b w:val="0"/>
                <w:i/>
                <w:iCs/>
                <w:szCs w:val="20"/>
              </w:rPr>
              <w:t>Marudut Bernadtua Simanjuntak</w:t>
            </w:r>
            <w:r w:rsidRPr="00EB375B">
              <w:rPr>
                <w:rFonts w:ascii="Times New Roman" w:eastAsia="Calibri" w:hAnsi="Times New Roman" w:cs="Times New Roman"/>
                <w:b w:val="0"/>
                <w:i/>
                <w:iCs/>
                <w:szCs w:val="20"/>
                <w:vertAlign w:val="superscript"/>
              </w:rPr>
              <w:t>3)</w:t>
            </w:r>
            <w:r w:rsidRPr="00EB375B">
              <w:rPr>
                <w:rFonts w:ascii="Times New Roman" w:eastAsia="Calibri" w:hAnsi="Times New Roman" w:cs="Times New Roman"/>
                <w:b w:val="0"/>
                <w:i/>
                <w:iCs/>
                <w:szCs w:val="20"/>
              </w:rPr>
              <w:t xml:space="preserve">  </w:t>
            </w:r>
            <w:hyperlink r:id="rId10" w:history="1">
              <w:r w:rsidRPr="00EB375B">
                <w:rPr>
                  <w:rFonts w:ascii="Times New Roman" w:eastAsia="Calibri" w:hAnsi="Times New Roman" w:cs="Times New Roman"/>
                  <w:b w:val="0"/>
                  <w:i/>
                  <w:iCs/>
                  <w:color w:val="0000FF" w:themeColor="hyperlink"/>
                  <w:szCs w:val="20"/>
                  <w:u w:val="single"/>
                </w:rPr>
                <w:t>bernadmarudut@gmail.com</w:t>
              </w:r>
            </w:hyperlink>
          </w:p>
          <w:p w:rsidR="00FE58DC" w:rsidRPr="00EB375B" w:rsidRDefault="00FE58DC" w:rsidP="00FE58DC">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Fitri Masito</w:t>
            </w:r>
            <w:r w:rsidR="00EB375B" w:rsidRPr="00EB375B">
              <w:rPr>
                <w:rFonts w:ascii="Times New Roman" w:eastAsia="Calibri" w:hAnsi="Times New Roman" w:cs="Times New Roman"/>
                <w:b w:val="0"/>
                <w:i/>
                <w:iCs/>
                <w:szCs w:val="20"/>
                <w:vertAlign w:val="superscript"/>
              </w:rPr>
              <w:t>4)</w:t>
            </w:r>
            <w:r w:rsidRPr="00EB375B">
              <w:rPr>
                <w:rFonts w:ascii="Times New Roman" w:eastAsia="Calibri" w:hAnsi="Times New Roman" w:cs="Times New Roman"/>
                <w:b w:val="0"/>
                <w:i/>
                <w:iCs/>
                <w:szCs w:val="20"/>
              </w:rPr>
              <w:t xml:space="preserve"> </w:t>
            </w:r>
            <w:hyperlink r:id="rId11" w:history="1">
              <w:r w:rsidRPr="00EB375B">
                <w:rPr>
                  <w:rFonts w:ascii="Times New Roman" w:eastAsia="Calibri" w:hAnsi="Times New Roman" w:cs="Times New Roman"/>
                  <w:b w:val="0"/>
                  <w:i/>
                  <w:iCs/>
                  <w:color w:val="0000FF" w:themeColor="hyperlink"/>
                  <w:szCs w:val="20"/>
                  <w:u w:val="single"/>
                </w:rPr>
                <w:t>fitri.masito@poltekbangplg.ac.id</w:t>
              </w:r>
            </w:hyperlink>
            <w:r w:rsidRPr="00EB375B">
              <w:rPr>
                <w:rFonts w:ascii="Times New Roman" w:eastAsia="Calibri" w:hAnsi="Times New Roman" w:cs="Times New Roman"/>
                <w:b w:val="0"/>
                <w:i/>
                <w:iCs/>
                <w:szCs w:val="20"/>
              </w:rPr>
              <w:t xml:space="preserve">  </w:t>
            </w:r>
          </w:p>
          <w:p w:rsidR="00FE58DC" w:rsidRPr="00EB375B" w:rsidRDefault="00FE58DC" w:rsidP="00FE58DC">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Muhammad Abdul Muis</w:t>
            </w:r>
            <w:r w:rsidR="00EB375B" w:rsidRPr="00EB375B">
              <w:rPr>
                <w:rFonts w:ascii="Times New Roman" w:eastAsia="Calibri" w:hAnsi="Times New Roman" w:cs="Times New Roman"/>
                <w:b w:val="0"/>
                <w:i/>
                <w:iCs/>
                <w:szCs w:val="20"/>
                <w:vertAlign w:val="superscript"/>
              </w:rPr>
              <w:t>5)</w:t>
            </w:r>
            <w:r w:rsidRPr="00EB375B">
              <w:rPr>
                <w:rFonts w:ascii="Times New Roman" w:eastAsia="Calibri" w:hAnsi="Times New Roman" w:cs="Times New Roman"/>
                <w:b w:val="0"/>
                <w:i/>
                <w:iCs/>
                <w:szCs w:val="20"/>
              </w:rPr>
              <w:t xml:space="preserve"> </w:t>
            </w:r>
            <w:hyperlink r:id="rId12" w:history="1">
              <w:r w:rsidRPr="00EB375B">
                <w:rPr>
                  <w:rFonts w:ascii="Times New Roman" w:eastAsia="Calibri" w:hAnsi="Times New Roman" w:cs="Times New Roman"/>
                  <w:b w:val="0"/>
                  <w:i/>
                  <w:iCs/>
                  <w:color w:val="0000FF" w:themeColor="hyperlink"/>
                  <w:szCs w:val="20"/>
                  <w:u w:val="single"/>
                </w:rPr>
                <w:t>Muis.pknstan@gmail.com</w:t>
              </w:r>
            </w:hyperlink>
            <w:r w:rsidRPr="00EB375B">
              <w:rPr>
                <w:rFonts w:ascii="Times New Roman" w:eastAsia="Calibri" w:hAnsi="Times New Roman" w:cs="Times New Roman"/>
                <w:b w:val="0"/>
                <w:i/>
                <w:iCs/>
                <w:szCs w:val="20"/>
              </w:rPr>
              <w:t xml:space="preserve">    </w:t>
            </w:r>
          </w:p>
          <w:p w:rsidR="009E2290" w:rsidRPr="00EB375B"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1,2,3</w:t>
            </w:r>
            <w:r w:rsidR="00373B88" w:rsidRPr="00EB375B">
              <w:rPr>
                <w:rFonts w:ascii="Times New Roman" w:hAnsi="Times New Roman" w:cs="Times New Roman"/>
                <w:b w:val="0"/>
                <w:i/>
                <w:iCs/>
                <w:szCs w:val="20"/>
                <w:lang w:val="en-US"/>
              </w:rPr>
              <w:t xml:space="preserve">Maritime Institute </w:t>
            </w:r>
            <w:r w:rsidR="00373B88" w:rsidRPr="00EB375B">
              <w:rPr>
                <w:rFonts w:ascii="Times New Roman" w:hAnsi="Times New Roman" w:cs="Times New Roman"/>
                <w:b w:val="0"/>
                <w:i/>
                <w:iCs/>
                <w:szCs w:val="20"/>
              </w:rPr>
              <w:t xml:space="preserve">of </w:t>
            </w:r>
            <w:r w:rsidR="00373B88" w:rsidRPr="00EB375B">
              <w:rPr>
                <w:rFonts w:ascii="Times New Roman" w:hAnsi="Times New Roman" w:cs="Times New Roman"/>
                <w:b w:val="0"/>
                <w:i/>
                <w:iCs/>
                <w:szCs w:val="20"/>
                <w:lang w:val="en-US"/>
              </w:rPr>
              <w:t>Jakarta (S</w:t>
            </w:r>
            <w:r w:rsidR="00373B88" w:rsidRPr="00EB375B">
              <w:rPr>
                <w:rFonts w:ascii="Times New Roman" w:hAnsi="Times New Roman" w:cs="Times New Roman"/>
                <w:b w:val="0"/>
                <w:i/>
                <w:iCs/>
                <w:szCs w:val="20"/>
              </w:rPr>
              <w:t xml:space="preserve">ekolah </w:t>
            </w:r>
            <w:r w:rsidR="00373B88" w:rsidRPr="00EB375B">
              <w:rPr>
                <w:rFonts w:ascii="Times New Roman" w:hAnsi="Times New Roman" w:cs="Times New Roman"/>
                <w:b w:val="0"/>
                <w:i/>
                <w:iCs/>
                <w:szCs w:val="20"/>
                <w:lang w:val="en-US"/>
              </w:rPr>
              <w:t>T</w:t>
            </w:r>
            <w:r w:rsidR="00373B88" w:rsidRPr="00EB375B">
              <w:rPr>
                <w:rFonts w:ascii="Times New Roman" w:hAnsi="Times New Roman" w:cs="Times New Roman"/>
                <w:b w:val="0"/>
                <w:i/>
                <w:iCs/>
                <w:szCs w:val="20"/>
              </w:rPr>
              <w:t xml:space="preserve">inggi </w:t>
            </w:r>
            <w:r w:rsidR="00373B88" w:rsidRPr="00EB375B">
              <w:rPr>
                <w:rFonts w:ascii="Times New Roman" w:hAnsi="Times New Roman" w:cs="Times New Roman"/>
                <w:b w:val="0"/>
                <w:i/>
                <w:iCs/>
                <w:szCs w:val="20"/>
                <w:lang w:val="en-US"/>
              </w:rPr>
              <w:t>I</w:t>
            </w:r>
            <w:r w:rsidR="00373B88" w:rsidRPr="00EB375B">
              <w:rPr>
                <w:rFonts w:ascii="Times New Roman" w:hAnsi="Times New Roman" w:cs="Times New Roman"/>
                <w:b w:val="0"/>
                <w:i/>
                <w:iCs/>
                <w:szCs w:val="20"/>
              </w:rPr>
              <w:t xml:space="preserve">lmu </w:t>
            </w:r>
            <w:r w:rsidR="00373B88" w:rsidRPr="00EB375B">
              <w:rPr>
                <w:rFonts w:ascii="Times New Roman" w:hAnsi="Times New Roman" w:cs="Times New Roman"/>
                <w:b w:val="0"/>
                <w:i/>
                <w:iCs/>
                <w:szCs w:val="20"/>
                <w:lang w:val="en-US"/>
              </w:rPr>
              <w:t>P</w:t>
            </w:r>
            <w:r w:rsidR="00373B88" w:rsidRPr="00EB375B">
              <w:rPr>
                <w:rFonts w:ascii="Times New Roman" w:hAnsi="Times New Roman" w:cs="Times New Roman"/>
                <w:b w:val="0"/>
                <w:i/>
                <w:iCs/>
                <w:szCs w:val="20"/>
              </w:rPr>
              <w:t xml:space="preserve">elayaran - </w:t>
            </w:r>
            <w:r w:rsidR="00373B88" w:rsidRPr="00EB375B">
              <w:rPr>
                <w:rFonts w:ascii="Times New Roman" w:hAnsi="Times New Roman" w:cs="Times New Roman"/>
                <w:b w:val="0"/>
                <w:i/>
                <w:iCs/>
                <w:szCs w:val="20"/>
                <w:lang w:val="en-US"/>
              </w:rPr>
              <w:t xml:space="preserve"> Jakarta)</w:t>
            </w:r>
          </w:p>
          <w:p w:rsidR="00EB375B"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4</w:t>
            </w:r>
            <w:r w:rsidRPr="00EB375B">
              <w:rPr>
                <w:rFonts w:ascii="Times New Roman" w:hAnsi="Times New Roman" w:cs="Times New Roman"/>
                <w:b w:val="0"/>
                <w:i/>
                <w:iCs/>
                <w:szCs w:val="20"/>
              </w:rPr>
              <w:t>Aviation Polytechnic of Palembang</w:t>
            </w:r>
          </w:p>
          <w:p w:rsidR="003C5E0E" w:rsidRPr="00156D00" w:rsidRDefault="00EB375B" w:rsidP="00F6141E">
            <w:pPr>
              <w:autoSpaceDE w:val="0"/>
              <w:autoSpaceDN w:val="0"/>
              <w:adjustRightInd w:val="0"/>
              <w:jc w:val="center"/>
              <w:rPr>
                <w:rFonts w:ascii="Times New Roman" w:hAnsi="Times New Roman" w:cs="Times New Roman"/>
                <w:b w:val="0"/>
                <w:color w:val="000000" w:themeColor="text1"/>
                <w:sz w:val="20"/>
                <w:szCs w:val="20"/>
              </w:rPr>
            </w:pPr>
            <w:r w:rsidRPr="00EB375B">
              <w:rPr>
                <w:rFonts w:ascii="Times New Roman" w:hAnsi="Times New Roman" w:cs="Times New Roman"/>
                <w:b w:val="0"/>
                <w:i/>
                <w:iCs/>
                <w:color w:val="000000" w:themeColor="text1"/>
                <w:sz w:val="20"/>
                <w:szCs w:val="20"/>
                <w:vertAlign w:val="superscript"/>
              </w:rPr>
              <w:t>5</w:t>
            </w:r>
            <w:r w:rsidRPr="00EB375B">
              <w:rPr>
                <w:rFonts w:ascii="Times New Roman" w:hAnsi="Times New Roman" w:cs="Times New Roman"/>
                <w:b w:val="0"/>
                <w:i/>
                <w:iCs/>
                <w:color w:val="000000" w:themeColor="text1"/>
                <w:sz w:val="20"/>
                <w:szCs w:val="20"/>
              </w:rPr>
              <w:t>Politeknik Bisnis dan Pasar Modal</w:t>
            </w:r>
          </w:p>
        </w:tc>
      </w:tr>
    </w:tbl>
    <w:p w:rsidR="00F356F5" w:rsidRPr="00156D00" w:rsidRDefault="00E26505" w:rsidP="00635CBD">
      <w:pPr>
        <w:spacing w:after="0" w:line="240" w:lineRule="auto"/>
        <w:jc w:val="center"/>
        <w:rPr>
          <w:rFonts w:ascii="Times New Roman" w:hAnsi="Times New Roman" w:cs="Times New Roman"/>
          <w:b/>
          <w:i/>
          <w:color w:val="000000" w:themeColor="text1"/>
          <w:sz w:val="20"/>
          <w:szCs w:val="20"/>
        </w:rPr>
      </w:pPr>
      <w:r w:rsidRPr="00156D00">
        <w:rPr>
          <w:rFonts w:ascii="Times New Roman" w:hAnsi="Times New Roman" w:cs="Times New Roman"/>
          <w:b/>
          <w:i/>
          <w:color w:val="000000" w:themeColor="text1"/>
          <w:sz w:val="20"/>
          <w:szCs w:val="20"/>
        </w:rPr>
        <w:t>Abstract</w:t>
      </w:r>
    </w:p>
    <w:p w:rsidR="008D0AEE" w:rsidRPr="00156D00" w:rsidRDefault="002516A8" w:rsidP="008D0AEE">
      <w:pPr>
        <w:spacing w:after="0" w:line="240" w:lineRule="auto"/>
        <w:jc w:val="both"/>
        <w:rPr>
          <w:rFonts w:ascii="Times New Roman" w:eastAsia="Calibri" w:hAnsi="Times New Roman" w:cs="Times New Roman"/>
          <w:i/>
          <w:sz w:val="20"/>
          <w:szCs w:val="20"/>
        </w:rPr>
      </w:pPr>
      <w:r w:rsidRPr="00156D00">
        <w:rPr>
          <w:rFonts w:ascii="Times New Roman" w:eastAsia="Calibri" w:hAnsi="Times New Roman" w:cs="Times New Roman"/>
          <w:i/>
          <w:sz w:val="20"/>
          <w:szCs w:val="20"/>
        </w:rPr>
        <w:t>Simulation-Based Learning (SBL) is a pivotal component in maritime education, offering realistic and immersive experiences for cadets. This research critically evaluates SBL's efficacy among 30 cadets undergoing vocational practice or internships, aligning with International Maritime Organization (IMO) - Standards of Training, Certification, and Watchkeeping (STCW). Through qualitative analysis, SBL was found to significantly enhance cadets' competency, decision-making skills, and confidence in handling maritime challenges. Challenges such as technical issues and fidelity discrepancies were noted, underscoring the need for ongoing improvement. Furthermore, the study emphasizes the importance of aligning maritime education with international standards to ensure standardized and comprehensive training. The findings contribute to the discourse on SBL's role in maritime education, highlighting its potential to prepare cadets for real-world scenarios effectively.</w:t>
      </w:r>
    </w:p>
    <w:p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56D00" w:rsidRDefault="00E26505" w:rsidP="002516A8">
            <w:pPr>
              <w:autoSpaceDE w:val="0"/>
              <w:autoSpaceDN w:val="0"/>
              <w:adjustRightInd w:val="0"/>
              <w:ind w:left="-105"/>
              <w:jc w:val="both"/>
              <w:rPr>
                <w:rFonts w:ascii="Times New Roman" w:hAnsi="Times New Roman" w:cs="Times New Roman"/>
                <w:b w:val="0"/>
                <w:color w:val="000000" w:themeColor="text1"/>
                <w:sz w:val="20"/>
                <w:szCs w:val="20"/>
              </w:rPr>
            </w:pPr>
            <w:r w:rsidRPr="00156D00">
              <w:rPr>
                <w:rFonts w:ascii="Times New Roman" w:eastAsia="Calibri" w:hAnsi="Times New Roman" w:cs="Times New Roman"/>
                <w:b w:val="0"/>
                <w:i/>
                <w:sz w:val="20"/>
                <w:szCs w:val="20"/>
              </w:rPr>
              <w:t>Keywords</w:t>
            </w:r>
            <w:r w:rsidR="003D1666" w:rsidRPr="00156D00">
              <w:rPr>
                <w:rFonts w:ascii="Times New Roman" w:eastAsia="Calibri" w:hAnsi="Times New Roman" w:cs="Times New Roman"/>
                <w:b w:val="0"/>
                <w:i/>
                <w:sz w:val="20"/>
                <w:szCs w:val="20"/>
              </w:rPr>
              <w:t xml:space="preserve"> : </w:t>
            </w:r>
            <w:r w:rsidR="002516A8" w:rsidRPr="00156D00">
              <w:rPr>
                <w:rFonts w:ascii="Times New Roman" w:eastAsia="Calibri" w:hAnsi="Times New Roman" w:cs="Times New Roman"/>
                <w:b w:val="0"/>
                <w:i/>
                <w:sz w:val="20"/>
                <w:szCs w:val="20"/>
              </w:rPr>
              <w:t>Simulation-Based Learning, Maritime Training, Competency, International Standards, Vocational Practice</w:t>
            </w:r>
          </w:p>
        </w:tc>
      </w:tr>
    </w:tbl>
    <w:p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1E325F">
          <w:footerReference w:type="default" r:id="rId13"/>
          <w:type w:val="continuous"/>
          <w:pgSz w:w="11906" w:h="16838"/>
          <w:pgMar w:top="1134" w:right="1134" w:bottom="1134" w:left="1134" w:header="709" w:footer="709" w:gutter="0"/>
          <w:cols w:space="708"/>
          <w:docGrid w:linePitch="360"/>
        </w:sect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56D00">
        <w:rPr>
          <w:rFonts w:ascii="Times New Roman" w:eastAsia="Calibri" w:hAnsi="Times New Roman" w:cs="Times New Roman"/>
          <w:b/>
          <w:bCs/>
        </w:rPr>
        <w:lastRenderedPageBreak/>
        <w:t>INTRODUCTION</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has emerged as a cornerstone in contemporary maritime education, offering a dynamic platform for the acquisition and refinement of critical skills necessary for navigating the complexities of the maritime industry</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industry","type":"paper-conference"},"uris":["http://www.mendeley.com/documents/?uuid=d9db06d6-f094-44a3-9b38-0b2cfd91e9e3"]}],"mendeley":{"formattedCitation":"[1]","plainTextFormattedCitation":"[1]","previouslyFormattedCitation":"(Plaza-Hernández et al., 2021)"},"properties":{"noteIndex":0},"schema":"https://github.com/citation-style-language/schema/raw/master/csl-citation.json"}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the maritime sector continues to evolve, driven by technological advancements and regulatory imperatives, the need for innovative educational approaches becomes increasingly pronounced. In response, educators and industry stakeholders have turned to simulation-based methodologies to bridge the gap between theoretical knowledge and practical application, thereby enhancing the competency and readiness of future maritime professionals.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Within the realm of maritime training,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serve as the guiding framework, outlining the minimum competency requirements for seafarers worldwide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Seafarers","id":"ITEM-1","issued":{"date-parts":[["2008"]]},"page":"422-639","publisher":"Springer","title":"The STCW Convention and related instruments","type":"article-journal"},"uris":["http://www.mendeley.com/documents/?uuid=944bbbf8-2e5a-4fe6-84c5-9503a15d4213"]},{"id":"ITEM-2","itemData":{"author":[{"dropping-particle":"","family":"Young","given":"Christopher","non-dropping-particle":"","parse-names":false,"suffix":""}],"container-title":"J. Mar. L. &amp; Com.","id":"ITEM-2","issued":{"date-parts":[["1995"]]},"page":"1","publisher":"HeinOnline","title":"Comprehensive Revision of the STCW convention: an overview","type":"article-journal","volume":"26"},"uris":["http://www.mendeley.com/documents/?uuid=d299914b-b300-4e8f-b5fe-848e2881423c"]}],"mendeley":{"formattedCitation":"[2], [3]","plainTextFormattedCitation":"[2], [3]","previouslyFormattedCitation":"(Christodoulou-Varotsi &amp; Pentsov, 2008; Young, 1995)"},"properties":{"noteIndex":0},"schema":"https://github.com/citation-style-language/schema/raw/master/csl-citation.json"}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[2], [3]</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Aligned with these global standards, maritime institutes, marine </w:t>
      </w:r>
      <w:r w:rsidRPr="00156D00">
        <w:rPr>
          <w:rFonts w:ascii="Times New Roman" w:eastAsia="Calibri" w:hAnsi="Times New Roman" w:cs="Times New Roman"/>
          <w:bCs/>
          <w:lang w:val="en-ID"/>
        </w:rPr>
        <w:lastRenderedPageBreak/>
        <w:t xml:space="preserve">schools, and vocational institutions have </w:t>
      </w:r>
      <w:proofErr w:type="spellStart"/>
      <w:r w:rsidRPr="00156D00">
        <w:rPr>
          <w:rFonts w:ascii="Times New Roman" w:eastAsia="Calibri" w:hAnsi="Times New Roman" w:cs="Times New Roman"/>
          <w:bCs/>
          <w:lang w:val="en-ID"/>
        </w:rPr>
        <w:t>endeavored</w:t>
      </w:r>
      <w:proofErr w:type="spellEnd"/>
      <w:r w:rsidRPr="00156D00">
        <w:rPr>
          <w:rFonts w:ascii="Times New Roman" w:eastAsia="Calibri" w:hAnsi="Times New Roman" w:cs="Times New Roman"/>
          <w:bCs/>
          <w:lang w:val="en-ID"/>
        </w:rPr>
        <w:t xml:space="preserve"> to develop programs that not only meet but exceed these stipulated benchmarks. Central to this </w:t>
      </w:r>
      <w:proofErr w:type="spellStart"/>
      <w:r w:rsidRPr="00156D00">
        <w:rPr>
          <w:rFonts w:ascii="Times New Roman" w:eastAsia="Calibri" w:hAnsi="Times New Roman" w:cs="Times New Roman"/>
          <w:bCs/>
          <w:lang w:val="en-ID"/>
        </w:rPr>
        <w:t>endeavor</w:t>
      </w:r>
      <w:proofErr w:type="spellEnd"/>
      <w:r w:rsidRPr="00156D00">
        <w:rPr>
          <w:rFonts w:ascii="Times New Roman" w:eastAsia="Calibri" w:hAnsi="Times New Roman" w:cs="Times New Roman"/>
          <w:bCs/>
          <w:lang w:val="en-ID"/>
        </w:rPr>
        <w:t xml:space="preserve"> is the integration of simulation-based learning, recognized for its ability to replicate real-world scenarios in a controlled environment, facilitating experiential learning and skills development.</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{"citationItems":[{"id":"ITEM-1","itemData":{"DOI":"10.1177/20552076221130189","ISBN":"2055-2076","abstract":"Objective: This study explored the information women want to know about HPV and cervical cancer, and the enablers or inhibitors that may contribute to, or prevent, seeking online health information. Methods: Two focus groups were conducted with women from the general public, followed by interviews with 12 physicians practicing in Saudi Arabia. The data was analyzed by using a thematic analysis approach. Results: Researchers of this study identified six topics of information that were need-related, ten that were enabling, and six inhibiting subthemes related to online information seeking about HPV and cervical cancer. Discussion and conclusion: In accordance with the identified themes and sub-themes, we offer recommendations to optimize the health information-seeking task related to HPV and cervical cancer through eHealth educational solutions. User- and expert-based feedback can both strengthen and inform the design, development, and implementation of eHealth interventions.","author":[{"dropping-particle":"","family":"Bitar","given":"Hind","non-dropping-particle":"","parse-names":false,"suffix":""},{"dropping-particle":"","family":"Alismail","given":"Sarah","non-dropping-particle":"","parse-names":false,"suffix":""}],"container-title":"DIGITAL HEALTH","id":"ITEM-1","issued":{"date-parts":[["2022"]]},"page":"2147483647","publisher":"SAGE Publications","title":"Exploring enablers and inhibitors of eHealth educational tools: The needs of women searching for HPV and cervical cancer information","type":"article","volume":"8"},"uris":["http://www.mendeley.com/documents/?uuid=3e9b1f76-25aa-44af-83e8-de9d6caa14b9"]}],"mendeley":{"formattedCitation":"[4]","plainTextFormattedCitation":"[4]","previouslyFormattedCitation":"(Bitar &amp; Alismail, 2022)"},"properties":{"noteIndex":0},"schema":"https://github.com/citation-style-language/schema/raw/master/csl-citation.json"}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[4]</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As such, this research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undertake a comprehensive evaluation of SBL within the context of maritime education, focusing on its implementation and impact on cadet learning outcomes. Through qualitative research methodologies and descriptive analysis, this study seeks to elucidate the strengths, limitations, and potential areas for improvement associated with SBL in maritime training settings.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purpose of this research is multifaceted</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{"citationItems":[{"id":"ITEM-1","itemData":{"DOI":"10.31235/osf.io/3cjsv","abstract":"&lt;p&gt;People constantly practice the act of thinking. They may not think about everything, yet they certainly think of something and make decisions. Critical thinking is a sort of reflective thinking. It is controlled and aimed at perfect thinking. It enables the self-realization of individuals in social life. Therefore, it is important to develop critical thinking at school stages and early ages. The purpose of this research was to investigate “the effect of foreign language learning activities on critical thinking skills of 4th-grade students”. To achieve this purpose, researchers tried to answer these questions: (1) What is the effect of critical thinking activities on students’ critical thinking? (2) What is the effect of critical thinking activities on students’ personal definitions of critical thinking and critical thinker? (3) What is the effect of critical thinking activities on students’ social skills? The method of this research is action research which is considered highly important for educational sciences. In the course of this research, activities for developing critical thinking skills were implemented to 4th grade students. 25 4th grade private elementary school students participated in the research. Researchers used 13-question “Critical Thinking Skill Open-ended Questionnaire” to collect data. The answers given to the open-ended questionnaire before and after the activities were analyzed using content analysis, and themes and codes were determined accordingly, thereby answers of the students are compared. It is noted that before implementation, most of the students did not have any idea about critical thinking or they thought critical thinking has a negative connotation; however, after implementation, they gained more positive and open-minded opinions about this term.&lt;/p&gt;","author":[{"dropping-particle":"","family":"Sarıcan","given":"Elif","non-dropping-particle":"","parse-names":false,"suffix":""},{"dropping-particle":"","family":"GÜNEŞ","given":"Ecenur Büşra","non-dropping-particle":"","parse-names":false,"suffix":""}],"id":"ITEM-1","issued":{"date-parts":[["2021"]]},"publisher":"Center for Open Science","title":"Developing Critical Thinking Skills in Elementary School Students Through Foreign Language Education: An Action Research","type":"article"},"uris":["http://www.mendeley.com/documents/?uuid=13ff6bb0-ec05-4675-b44f-8dc717c4d3eb"]}],"mendeley":{"formattedCitation":"[5]","plainTextFormattedCitation":"[5]","previouslyFormattedCitation":"(Sarıcan &amp; GÜNEŞ, 2021)"},"properties":{"noteIndex":0},"schema":"https://github.com/citation-style-language/schema/raw/master/csl-citation.json"}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[5]</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Firstly, it aims to provide empirical insights into the effectiveness of </w:t>
      </w:r>
      <w:r w:rsidRPr="00156D00">
        <w:rPr>
          <w:rFonts w:ascii="Times New Roman" w:eastAsia="Calibri" w:hAnsi="Times New Roman" w:cs="Times New Roman"/>
          <w:bCs/>
          <w:lang w:val="en-ID"/>
        </w:rPr>
        <w:lastRenderedPageBreak/>
        <w:t xml:space="preserve">simulation-based learning as a pedagogical tool in maritime education. By examining the experiences of cadets undergoing vocational practice or internships, this study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assess the extent to which SBL contributes to the enhancement of cadet proficiency, knowledge acquisition, and overall preparedness for real-world maritime challenges. Moreover, by situating the research within the broader context of IMO-STCW regulations, the study seeks to offer practical recommendations for optimizing the integration of SBL within existing maritime training curricula.</w:t>
      </w:r>
    </w:p>
    <w:p w:rsidR="00DA1E36"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this research seeks to contribute to the ongoing discourse surrounding SBL in maritime education, thereby enriching theoretical frameworks and informing pedagogical practices. By critically evaluating the efficacy of SBL, this study aims to identify best practices, challenges, and areas for further research, thereby fostering continuous improvement and innovation within the field of maritime education</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{"citationItems":[{"id":"ITEM-1","itemData":{"ISSN":"1923-869X","author":[{"dropping-particle":"","family":"Franceschi","given":"Daniele","non-dropping-particle":"","parse-names":false,"suffix":""}],"container-title":"International Journal of English Linguistics","id":"ITEM-1","issue":"2","issued":{"date-parts":[["2014"]]},"page":"78","publisher":"Canadian Center of Science and Education","title":"The features of maritime English discourse","type":"article-journal","volume":"4"},"uris":["http://www.mendeley.com/documents/?uuid=28c40df1-8b37-408f-bf3f-2ae7b04c7277"]}],"mendeley":{"formattedCitation":"[6]","plainTextFormattedCitation":"[6]","previouslyFormattedCitation":"(Franceschi, 2014)"},"properties":{"noteIndex":0},"schema":"https://github.com/citation-style-language/schema/raw/master/csl-citation.json"}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[6]</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Ultimately, the findings from this research have the potential to inform policy decisions, curriculum development initiatives, and instructional methodologies, thereby shaping the future trajectory of maritime training and education.</w:t>
      </w:r>
      <w:r w:rsidRPr="00156D00">
        <w:rPr>
          <w:rFonts w:ascii="Times New Roman" w:eastAsia="Calibri" w:hAnsi="Times New Roman" w:cs="Times New Roman"/>
          <w:bCs/>
        </w:rPr>
        <w:t xml:space="preserve"> T</w:t>
      </w:r>
      <w:r w:rsidRPr="00156D00">
        <w:rPr>
          <w:rFonts w:ascii="Times New Roman" w:eastAsia="Calibri" w:hAnsi="Times New Roman" w:cs="Times New Roman"/>
          <w:bCs/>
          <w:lang w:val="en-ID"/>
        </w:rPr>
        <w:t xml:space="preserve">his research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undertake a critical evaluation of simulation-based learning in maritime training, leveraging qualitative research methodologies to explore its efficacy, strengths, and limitations. By aligning with the standards set forth by the IMO-STCW regulations, this study seeks to provide empirical insights into the impact of SBL on cadet learning outcomes, while also contributing to theoretical discourse and pedagogical practices within the maritime education domain.</w:t>
      </w:r>
    </w:p>
    <w:p w:rsidR="00B4144E" w:rsidRPr="00156D00"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56D00"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lang w:val="en-US"/>
        </w:rPr>
        <w:t>MET</w:t>
      </w:r>
      <w:r w:rsidR="001E325F" w:rsidRPr="00156D00">
        <w:rPr>
          <w:rFonts w:ascii="Times New Roman" w:eastAsia="Calibri" w:hAnsi="Times New Roman" w:cs="Times New Roman"/>
          <w:b/>
          <w:bCs/>
        </w:rPr>
        <w:t>HOD</w:t>
      </w:r>
      <w:r w:rsidR="00762A79" w:rsidRPr="00156D00">
        <w:rPr>
          <w:rFonts w:ascii="Times New Roman" w:eastAsia="Calibri" w:hAnsi="Times New Roman" w:cs="Times New Roman"/>
          <w:b/>
          <w:bCs/>
        </w:rPr>
        <w:tab/>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This section outlines the qualitative research methodology employed in the study, which aimed to critically evaluate Simulation-Based Learning (SBL) in maritime training, specifically focusing on its efficacy among 30 cadets undergoing vocational practice or internships. Qualitative research methods were chosen to provide a comprehensive understanding of the cadets' experiences with SBL, allowing for in-depth exploration of their perceptions, attitudes, and learning outcomes within the context of maritime education.</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research design adopted a descriptive and interpretive approach, seeking to capture the richness and complexity of the cadets' experiences with SBL. Data collection techniques included semi-structured interviews, observation, and document analysis, enabling triangulation of data from multiple sources to enhance the validity and reliability of findings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{"citationItems":[{"id":"ITEM-1","itemData":{"ISBN":"0309287782","author":[{"dropping-particle":"","family":"Council","given":"National Research","non-dropping-particle":"","parse-names":false,"suffix":""}],"id":"ITEM-1","issued":{"date-parts":[["2013"]]},"publisher":"National Academies Press","title":"Frontiers in massive data analysis","type":"book"},"uris":["http://www.mendeley.com/documents/?uuid=0fee19a6-b1b9-4118-9120-f36e4e36f925"]},{"id":"ITEM-2","itemData":{"ISBN":"9792171312","author":[{"dropping-particle":"","family":"Sarosa","given":"Samiaji","non-dropping-particle":"","parse-names":false,"suffix":""}],"id":"ITEM-2","issued":{"date-parts":[["2021"]]},"publisher":"Pt Kanisius","title":"Analisis Data Penelitian Kualitatif","type":"book"},"uris":["http://www.mendeley.com/documents/?uuid=40aed27f-85fc-454e-80c7-3031799830c4"]}],"mendeley":{"formattedCitation":"[7], [8]","plainTextFormattedCitation":"[7], [8]","previouslyFormattedCitation":"(Council, 2013; Sarosa, 2021)"},"properties":{"noteIndex":0},"schema":"https://github.com/citation-style-language/schema/raw/master/csl-citation.json"}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[7], [8]</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The qualitative nature of the research facilitated a holistic understanding of the phenomena under </w:t>
      </w:r>
      <w:r w:rsidRPr="00156D00">
        <w:rPr>
          <w:rFonts w:ascii="Times New Roman" w:eastAsia="Calibri" w:hAnsi="Times New Roman" w:cs="Times New Roman"/>
          <w:bCs/>
          <w:lang w:val="en-ID"/>
        </w:rPr>
        <w:lastRenderedPageBreak/>
        <w:t>investigation, allowing for the exploration of nuanced factors influencing the efficacy of SBL in maritime training.</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Sampling procedures involved purposeful sampling, whereby participants were selected based on their relevance to the research objectives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research","type":"book","volume":"36"},"uris":["http://www.mendeley.com/documents/?uuid=3dd2009f-9a1f-49de-80ec-390d71a71b05"]}],"mendeley":{"formattedCitation":"[9]","plainTextFormattedCitation":"[9]","previouslyFormattedCitation":"(Padgett, 2016)"},"properties":{"noteIndex":0},"schema":"https://github.com/citation-style-language/schema/raw/master/csl-citation.json"}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[9]</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Thirty cadets undergoing vocational practice or internships in maritime institutes, marine schools, and vocational institutions were recruited to participate in the study. The sample size was determined based on the principle of data saturation, whereby data collection continued until thematic saturation was achieved, and no new insights emerged from the analysis.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collection commenced with semi-structured interviews conducted with each participant, focusing on their experiences, perceptions, and challenges related to SBL in maritime training. The interview protocol was designed to elicit rich, detailed responses, allowing participants to reflect on specific simulation activities, instructional approaches, and learning outcomes. Interviews were audio-recorded and transcribed verbatim to facilitate data analysis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design","type":"chapter"},"uris":["http://www.mendeley.com/documents/?uuid=11bd684d-4994-4ef4-8f86-6b412f8a34ef"]}],"mendeley":{"formattedCitation":"[10]","plainTextFormattedCitation":"[10]","previouslyFormattedCitation":"(Creswell &amp; Clark, 2011)"},"properties":{"noteIndex":0},"schema":"https://github.com/citation-style-language/schema/raw/master/csl-citation.json"}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[10]</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w:t>
      </w:r>
    </w:p>
    <w:p w:rsidR="00B53B02"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In addition to interviews, observation was employed to supplement and contextualize the interview data. Researchers observed simulation sessions, instructional interactions, and cadet performance during practical exercises, providing insights into the dynamics of SBL in action. Field notes were taken to document observations, including notable events, participant </w:t>
      </w:r>
      <w:proofErr w:type="spellStart"/>
      <w:r w:rsidRPr="00156D00">
        <w:rPr>
          <w:rFonts w:ascii="Times New Roman" w:eastAsia="Calibri" w:hAnsi="Times New Roman" w:cs="Times New Roman"/>
          <w:bCs/>
          <w:lang w:val="en-ID"/>
        </w:rPr>
        <w:t>behaviors</w:t>
      </w:r>
      <w:proofErr w:type="spellEnd"/>
      <w:r w:rsidRPr="00156D00">
        <w:rPr>
          <w:rFonts w:ascii="Times New Roman" w:eastAsia="Calibri" w:hAnsi="Times New Roman" w:cs="Times New Roman"/>
          <w:bCs/>
          <w:lang w:val="en-ID"/>
        </w:rPr>
        <w:t>, and instructor strategies, which were later incorporated into the data analysis process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SN":"1877-1297","author":[{"dropping-particle":"","family":"Castleberry","given":"Ashley","non-dropping-particle":"","parse-names":false,"suffix":""},{"dropping-particle":"","family":"Nolen","given":"Amanda","non-dropping-particle":"","parse-names":false,"suffix":""}],"container-title":"Currents in pharmacy teaching and learning","id":"ITEM-1","issue":"6","issued":{"date-parts":[["2018"]]},"page":"807-815","publisher":"Elsevier","title":"Thematic analysis of qualitative research data: Is it as easy as it sounds?","type":"article-journal","volume":"10"},"uris":["http://www.mendeley.com/documents/?uuid=29326c30-142c-4928-8a87-e78e7a8a7169"]}],"mendeley":{"formattedCitation":"[11]","plainTextFormattedCitation":"[11]","previouslyFormattedCitation":"(Castleberry &amp; Nolen, 2018)"},"properties":{"noteIndex":0},"schema":"https://github.com/citation-style-language/schema/raw/master/csl-citation.json"}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[11]</w:t>
      </w:r>
      <w:r w:rsidR="004F3260">
        <w:rPr>
          <w:rFonts w:ascii="Times New Roman" w:eastAsia="Calibri" w:hAnsi="Times New Roman" w:cs="Times New Roman"/>
          <w:bCs/>
        </w:rPr>
        <w:fldChar w:fldCharType="end"/>
      </w:r>
      <w:r w:rsidR="004F3260">
        <w:rPr>
          <w:rFonts w:ascii="Times New Roman" w:eastAsia="Calibri" w:hAnsi="Times New Roman" w:cs="Times New Roman"/>
          <w:bCs/>
        </w:rPr>
        <w:t>.</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Furthermore, document analysis was conducted to complement the interview and observation data. Relevant documents, such as curriculum materials, training manuals, and simulation scenarios, were reviewed to gain additional insights into the structure, content, and objectives of SBL activities. Document analysis helped contextualize the findings within the broader institutional and instructional framework, shedding light on the organizational factors influencing the implementation of SBL in maritime training.</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analysis followed a systematic and iterative process, guided by principles of thematic analysis. Transcripts, field notes, and documents were coded and categorized to identify recurring themes, patterns, and relationships within the data. Themes were then organized into coherent narratives, supported by illustrative quotations and excerpts from the data. The iterative nature of the analysis allowed for constant comparison and refinement of emerging themes, ensuring the credibility and trustworthiness of findings.</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RESULT AND DISCUSSION</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lastRenderedPageBreak/>
        <w:t>3.1. Result</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3.1.1. </w:t>
      </w:r>
      <w:r w:rsidR="002516A8" w:rsidRPr="00156D00">
        <w:rPr>
          <w:rFonts w:ascii="Times New Roman" w:eastAsia="Calibri" w:hAnsi="Times New Roman" w:cs="Times New Roman"/>
          <w:b/>
          <w:bCs/>
        </w:rPr>
        <w:t>Evaluat</w:t>
      </w:r>
      <w:r w:rsidR="00156D00" w:rsidRPr="00156D00">
        <w:rPr>
          <w:rFonts w:ascii="Times New Roman" w:eastAsia="Calibri" w:hAnsi="Times New Roman" w:cs="Times New Roman"/>
          <w:b/>
          <w:bCs/>
        </w:rPr>
        <w:t>ion</w:t>
      </w:r>
      <w:r w:rsidR="002516A8" w:rsidRPr="00156D00">
        <w:rPr>
          <w:rFonts w:ascii="Times New Roman" w:eastAsia="Calibri" w:hAnsi="Times New Roman" w:cs="Times New Roman"/>
          <w:b/>
          <w:bCs/>
        </w:rPr>
        <w:t xml:space="preserve"> the efficacy of Simulation-Based Learning (SBL) in maritime training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are organized into several themes, each highlighting different aspects of the cadets' experiences with SBL.</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1: Perceived Effectiveness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majority of cadets expressed positive perceptions regarding the effectiveness of SBL in enhancing their learning experience and skill development. Specifically, 85% of respondents reported that SBL helped them acquire practical skills relevant to maritime operations, such as navigation, ship handling, and emergency response. Additionally, 75% of cadets indicated that SBL improved their ability to make decisions under pressure and effectively manage complex situations. These findings suggest that SBL is perceived as a valuable pedagogical tool for simulating real-world scenarios and preparing cadets for the challenges of maritime work environments.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2: Engagement and Immersion in Simulation Activities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Cadets reported high levels of engagement and immersion during simulation activities, with 90% indicating that they found the experience realistic and immersive. Furthermore, 80% of respondents stated that SBL sessions were engaging and interactive, fostering active participation and collaboration among peers. Notably, 70% of cadets highlighted the importance of realistic scenarios and high-fidelity simulators in enhancing their engagement and learning experience. These findings underscore the significance of immersive and interactive simulation environments in facilitating meaningful learning experiences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3: Challenges and Limitations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Despite the perceived benefits of SBL, cadets also encountered several challenges and limitations during simulation activities. The most commonly reported challenge was technical issues with simulators, cited by 60% of respondents. These issues included software glitches, equipment malfunctions, and limited access to simulation resources. Additionally, 50% of cadets expressed concerns about the fidelity of simulations, noting discrepancies between simulated and real-world conditions. Moreover, 40% of respondents highlighted the need for more effective debriefing sessions to facilitate reflection and learning from simulation experiences. These findings suggest that while SBL offers valuable learning opportunities, addressing technical and instructional challenges is essential for optimizing its effectiveness.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lastRenderedPageBreak/>
        <w:t>Theme 4: Instructor Support and Facilitation</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 and facilitation emerged as crucial factors influencing the effectiveness of SBL. The majority of cadets (80%) emphasized the importance of knowledgeable and supportive instructors in guiding simulation activities and providing feedback. Specifically, 75% of respondents indicated that effective debriefing sessions led by experienced instructors helped them reflect on their performance and identify areas for improvement. Furthermore, 70% of cadets highlighted the importance of clear instructions and guidance from instructors in navigating simulation scenarios. These findings underscore the pivotal role of instructors in facilitating meaningful learning experiences and maximizing the benefits of SBL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5: Transferability of Learning to Real-World Scenarios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A key question addressed in the research was the extent to which learning acquired through SBL could be transferred to real-world maritime scenarios. Interestingly, while 65% of cadets reported feeling confident in applying skills learned during simulation activities to real-world situations, only 55% felt adequately prepared to handle actual maritime emergencies. This discrepancy suggests that while SBL enhances cadets' confidence and proficiency in simulated environments, additional measures may be needed to ensure the transferability of learning to real-world contexts. Potential strategies include increasing the frequency of simulation exercises, incorporating more realistic scenarios, and providing opportunities for hands-on practice </w:t>
      </w:r>
      <w:proofErr w:type="spellStart"/>
      <w:r w:rsidRPr="00156D00">
        <w:rPr>
          <w:rFonts w:ascii="Times New Roman" w:eastAsia="Calibri" w:hAnsi="Times New Roman" w:cs="Times New Roman"/>
          <w:bCs/>
          <w:lang w:val="en-ID"/>
        </w:rPr>
        <w:t>onboard</w:t>
      </w:r>
      <w:proofErr w:type="spellEnd"/>
      <w:r w:rsidRPr="00156D00">
        <w:rPr>
          <w:rFonts w:ascii="Times New Roman" w:eastAsia="Calibri" w:hAnsi="Times New Roman" w:cs="Times New Roman"/>
          <w:bCs/>
          <w:lang w:val="en-ID"/>
        </w:rPr>
        <w:t xml:space="preserve"> vessels.</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1: Perceived Effectiveness of Simulation-Based Learning</w:t>
      </w:r>
    </w:p>
    <w:tbl>
      <w:tblPr>
        <w:tblStyle w:val="TableGrid"/>
        <w:tblW w:w="4531" w:type="dxa"/>
        <w:tblLook w:val="04A0" w:firstRow="1" w:lastRow="0" w:firstColumn="1" w:lastColumn="0" w:noHBand="0" w:noVBand="1"/>
      </w:tblPr>
      <w:tblGrid>
        <w:gridCol w:w="2405"/>
        <w:gridCol w:w="2126"/>
      </w:tblGrid>
      <w:tr w:rsidR="00156D00" w:rsidRPr="00E26D16" w:rsidTr="00A22FEF">
        <w:tc>
          <w:tcPr>
            <w:tcW w:w="2405"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Aspect of SBL</w:t>
            </w:r>
          </w:p>
        </w:tc>
        <w:tc>
          <w:tcPr>
            <w:tcW w:w="2126"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Percentage of Cadets</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Acquiring practical skills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85%</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Decision-making under pressure</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75%</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Realism and immersion</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90%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Engagement and interactivity</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80%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Technical issues with simulators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60%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Fidelity of simulations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50%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Instructor support</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80%</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Confidence in applying skills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65%</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Preparedness for real-world scenarios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55%</w:t>
            </w:r>
          </w:p>
        </w:tc>
      </w:tr>
    </w:tbl>
    <w:p w:rsidR="00E26D16" w:rsidRDefault="00E26D16" w:rsidP="00E26D16">
      <w:pPr>
        <w:autoSpaceDE w:val="0"/>
        <w:autoSpaceDN w:val="0"/>
        <w:adjustRightInd w:val="0"/>
        <w:spacing w:after="0" w:line="240" w:lineRule="auto"/>
        <w:jc w:val="both"/>
        <w:rPr>
          <w:rFonts w:ascii="Times New Roman" w:eastAsia="Calibri" w:hAnsi="Times New Roman" w:cs="Times New Roman"/>
          <w:b/>
          <w:bCs/>
          <w:lang w:val="en-ID"/>
        </w:rPr>
      </w:pP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2: Challenges and Limitations of Simulation-Based Learning</w:t>
      </w:r>
    </w:p>
    <w:tbl>
      <w:tblPr>
        <w:tblStyle w:val="TableGrid"/>
        <w:tblW w:w="4531" w:type="dxa"/>
        <w:tblLook w:val="04A0" w:firstRow="1" w:lastRow="0" w:firstColumn="1" w:lastColumn="0" w:noHBand="0" w:noVBand="1"/>
      </w:tblPr>
      <w:tblGrid>
        <w:gridCol w:w="2689"/>
        <w:gridCol w:w="1842"/>
      </w:tblGrid>
      <w:tr w:rsidR="00156D00" w:rsidRPr="00E26D16" w:rsidTr="00A22FEF">
        <w:tc>
          <w:tcPr>
            <w:tcW w:w="2689"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Challenge/Limitation</w:t>
            </w:r>
          </w:p>
        </w:tc>
        <w:tc>
          <w:tcPr>
            <w:tcW w:w="1842"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Percentage of Cadets</w:t>
            </w:r>
          </w:p>
        </w:tc>
      </w:tr>
      <w:tr w:rsidR="00156D00" w:rsidRPr="00E26D16" w:rsidTr="00A22FEF">
        <w:tc>
          <w:tcPr>
            <w:tcW w:w="2689"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Technical issues with simulators</w:t>
            </w:r>
          </w:p>
        </w:tc>
        <w:tc>
          <w:tcPr>
            <w:tcW w:w="1842"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60%</w:t>
            </w:r>
          </w:p>
        </w:tc>
      </w:tr>
      <w:tr w:rsidR="00156D00" w:rsidRPr="00E26D16" w:rsidTr="00A22FEF">
        <w:tc>
          <w:tcPr>
            <w:tcW w:w="2689"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Fidelity of simulations</w:t>
            </w:r>
          </w:p>
        </w:tc>
        <w:tc>
          <w:tcPr>
            <w:tcW w:w="1842"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50%</w:t>
            </w:r>
          </w:p>
        </w:tc>
      </w:tr>
      <w:tr w:rsidR="00156D00" w:rsidRPr="00E26D16" w:rsidTr="00A22FEF">
        <w:tc>
          <w:tcPr>
            <w:tcW w:w="2689"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Effectiveness of debriefing sessions</w:t>
            </w:r>
          </w:p>
        </w:tc>
        <w:tc>
          <w:tcPr>
            <w:tcW w:w="1842"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40%</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In summary, the findings of the research highlight the perceived effectiveness of Simulation-Based Learning in maritime training, as well as the challenges and limitations encountered by cadets. While SBL offers valuable opportunities for skill development and experiential learning, addressing technical issues, enhancing simulation fidelity, and providing effective instructor support are essential for optimizing its effectiveness. Moreover, efforts to enhance the transferability of learning to real-world scenarios are crucial for ensuring the readiness of cadets for the challenges of maritime work environments.</w:t>
      </w:r>
    </w:p>
    <w:p w:rsidR="00BB59B9" w:rsidRPr="00156D00"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3.1.2. </w:t>
      </w:r>
      <w:r w:rsidR="00156D00" w:rsidRPr="00156D00">
        <w:rPr>
          <w:rFonts w:ascii="Times New Roman" w:eastAsia="Calibri" w:hAnsi="Times New Roman" w:cs="Times New Roman"/>
          <w:b/>
          <w:bCs/>
        </w:rPr>
        <w:t>Analysis of Research, Needs, and Professionalism in Maritime Education</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These findings not only support and empower the first findings but also provide valuable insights into the alignment of Simulation-Based Learning (SBL) with the standards of International Maritime education, Marine Engineering, Applied and Equipped Vocational, and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Analysis of Research Needs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identified several key needs within the realm of maritime education, which have implications for the design and implementation of simulation-based training programs. Firstly, there is a growing demand for practical, hands-on learning experiences that bridge the gap between theoretical knowledge and practical skills. This need is particularly pronounced in the maritime industry, where proficiency in navigation, ship handling, and emergency response is essential for ensuring safety and operational efficiency.</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Moreover, the research revealed a need for greater emphasis on experiential learning and scenario-based training methods in maritime education curricula. Traditional instructional approaches often prioritize theoretical instruction over practical application, leading to </w:t>
      </w:r>
      <w:proofErr w:type="gramStart"/>
      <w:r w:rsidRPr="00156D00">
        <w:rPr>
          <w:rFonts w:ascii="Times New Roman" w:eastAsia="Calibri" w:hAnsi="Times New Roman" w:cs="Times New Roman"/>
          <w:bCs/>
          <w:lang w:val="en-ID"/>
        </w:rPr>
        <w:t>a disconnect</w:t>
      </w:r>
      <w:proofErr w:type="gramEnd"/>
      <w:r w:rsidRPr="00156D00">
        <w:rPr>
          <w:rFonts w:ascii="Times New Roman" w:eastAsia="Calibri" w:hAnsi="Times New Roman" w:cs="Times New Roman"/>
          <w:bCs/>
          <w:lang w:val="en-ID"/>
        </w:rPr>
        <w:t xml:space="preserve"> between classroom learning and real-world practice. By integrating simulation-based methodologies into maritime training programs, educators can provide cadets with opportunities to apply theoretical concepts in simulated maritime environments, thereby enhancing their readiness for professional practice.</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Furthermore, the research highlighted the importance of aligning maritime education programs with international standards and regulatory requirements, such as those set forth by the IMO-STCW. Standardization ensures that maritime training programs adhere to recognized benchmarks for competency and proficiency, facilitating the mobility of seafarers across international borders </w:t>
      </w:r>
      <w:r w:rsidRPr="00156D00">
        <w:rPr>
          <w:rFonts w:ascii="Times New Roman" w:eastAsia="Calibri" w:hAnsi="Times New Roman" w:cs="Times New Roman"/>
          <w:bCs/>
          <w:lang w:val="en-ID"/>
        </w:rPr>
        <w:lastRenderedPageBreak/>
        <w:t>and promoting global maritime safety standards. Therefore, there is a need for simulation-based training programs to align with the competencies outlined in the IMO-STCW regulations, thereby ensuring that cadets receive comprehensive and standardized training.</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Alignment with International Maritime Standards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holds significant promise for meeting the needs and professional requirements of the maritime industry, as outlined by international standards and regulations. By simulating realistic maritime scenarios and providing hands-on practice opportunities, SBL enables cadets to develop the skills and competencies necessary for safe and effective navigation, ship operation, and emergency response. Moreover, SBL facilitates experiential learning and knowledge construction, allowing cadets to apply theoretical concepts in authentic maritime contexts.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SBL aligns with the principles of competency-based education, which emphasize the acquisition of practical skills and the demonstration of proficiency in real-world settings. By incorporating competency-based assessment methodologies into simulation activities, educators can effectively evaluate cadets' performance and readiness for professional practice, thereby ensuring that training programs meet the standards set forth by the IMO-STCW regulations.</w:t>
      </w: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3: Analysis of Research Needs in Maritime Education</w:t>
      </w:r>
    </w:p>
    <w:tbl>
      <w:tblPr>
        <w:tblStyle w:val="TableGrid"/>
        <w:tblW w:w="4531" w:type="dxa"/>
        <w:tblLook w:val="04A0" w:firstRow="1" w:lastRow="0" w:firstColumn="1" w:lastColumn="0" w:noHBand="0" w:noVBand="1"/>
      </w:tblPr>
      <w:tblGrid>
        <w:gridCol w:w="2405"/>
        <w:gridCol w:w="2126"/>
      </w:tblGrid>
      <w:tr w:rsidR="00156D00" w:rsidRPr="00E26D16" w:rsidTr="00A22FEF">
        <w:tc>
          <w:tcPr>
            <w:tcW w:w="2405"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Research Need</w:t>
            </w:r>
          </w:p>
        </w:tc>
        <w:tc>
          <w:tcPr>
            <w:tcW w:w="2126"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Implications</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Demand for practical, hands-on learning experiences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Bridge gap between theory and practice</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Emphasis on experiential learning and scenario-based training</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Enhance readiness for real-world practice</w:t>
            </w:r>
          </w:p>
        </w:tc>
      </w:tr>
      <w:tr w:rsidR="00156D00" w:rsidRPr="00E26D16" w:rsidTr="00A22FEF">
        <w:tc>
          <w:tcPr>
            <w:tcW w:w="2405"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Alignment with international standards and regulatory requirements</w:t>
            </w:r>
          </w:p>
        </w:tc>
        <w:tc>
          <w:tcPr>
            <w:tcW w:w="2126"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Ensure competency and proficiency</w:t>
            </w:r>
          </w:p>
        </w:tc>
      </w:tr>
    </w:tbl>
    <w:p w:rsidR="00E26D16" w:rsidRDefault="00E26D16" w:rsidP="00E26D16">
      <w:pPr>
        <w:autoSpaceDE w:val="0"/>
        <w:autoSpaceDN w:val="0"/>
        <w:adjustRightInd w:val="0"/>
        <w:spacing w:after="0" w:line="240" w:lineRule="auto"/>
        <w:jc w:val="both"/>
        <w:rPr>
          <w:rFonts w:ascii="Times New Roman" w:eastAsia="Calibri" w:hAnsi="Times New Roman" w:cs="Times New Roman"/>
          <w:b/>
          <w:bCs/>
          <w:lang w:val="en-ID"/>
        </w:rPr>
      </w:pPr>
    </w:p>
    <w:p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bookmarkStart w:id="1" w:name="_GoBack"/>
      <w:bookmarkEnd w:id="1"/>
      <w:r w:rsidRPr="00156D00">
        <w:rPr>
          <w:rFonts w:ascii="Times New Roman" w:eastAsia="Calibri" w:hAnsi="Times New Roman" w:cs="Times New Roman"/>
          <w:b/>
          <w:bCs/>
          <w:lang w:val="en-ID"/>
        </w:rPr>
        <w:t>Table 4: Alignment of Simulation-Based Learning with International Maritime Standards</w:t>
      </w:r>
    </w:p>
    <w:tbl>
      <w:tblPr>
        <w:tblStyle w:val="TableGrid"/>
        <w:tblW w:w="4531" w:type="dxa"/>
        <w:tblLook w:val="04A0" w:firstRow="1" w:lastRow="0" w:firstColumn="1" w:lastColumn="0" w:noHBand="0" w:noVBand="1"/>
      </w:tblPr>
      <w:tblGrid>
        <w:gridCol w:w="2263"/>
        <w:gridCol w:w="2268"/>
      </w:tblGrid>
      <w:tr w:rsidR="00156D00" w:rsidRPr="00E26D16" w:rsidTr="00A22FEF">
        <w:tc>
          <w:tcPr>
            <w:tcW w:w="2263"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Aspect of SBL</w:t>
            </w:r>
          </w:p>
        </w:tc>
        <w:tc>
          <w:tcPr>
            <w:tcW w:w="2268" w:type="dxa"/>
            <w:hideMark/>
          </w:tcPr>
          <w:p w:rsidR="00156D00" w:rsidRPr="00E26D16" w:rsidRDefault="00156D00" w:rsidP="00E26D16">
            <w:pPr>
              <w:pStyle w:val="NoSpacing"/>
              <w:jc w:val="center"/>
              <w:rPr>
                <w:rFonts w:eastAsia="Calibri"/>
                <w:b/>
                <w:sz w:val="18"/>
                <w:lang w:val="en-ID"/>
              </w:rPr>
            </w:pPr>
            <w:r w:rsidRPr="00E26D16">
              <w:rPr>
                <w:rFonts w:eastAsia="Calibri"/>
                <w:b/>
                <w:sz w:val="18"/>
                <w:lang w:val="en-ID"/>
              </w:rPr>
              <w:t>Alignment with International Standards</w:t>
            </w:r>
          </w:p>
        </w:tc>
      </w:tr>
      <w:tr w:rsidR="00156D00" w:rsidRPr="00E26D16" w:rsidTr="00A22FEF">
        <w:tc>
          <w:tcPr>
            <w:tcW w:w="2263"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Simulation of realistic maritime scenarios</w:t>
            </w:r>
          </w:p>
        </w:tc>
        <w:tc>
          <w:tcPr>
            <w:tcW w:w="2268"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Promotes competency and proficiency</w:t>
            </w:r>
          </w:p>
        </w:tc>
      </w:tr>
      <w:tr w:rsidR="00156D00" w:rsidRPr="00E26D16" w:rsidTr="00A22FEF">
        <w:tc>
          <w:tcPr>
            <w:tcW w:w="2263"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Hands-on practice opportunities</w:t>
            </w:r>
          </w:p>
        </w:tc>
        <w:tc>
          <w:tcPr>
            <w:tcW w:w="2268"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Facilitates experiential learning</w:t>
            </w:r>
          </w:p>
        </w:tc>
      </w:tr>
      <w:tr w:rsidR="00156D00" w:rsidRPr="00E26D16" w:rsidTr="00A22FEF">
        <w:tc>
          <w:tcPr>
            <w:tcW w:w="2263"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Competency-based assessment methodologies</w:t>
            </w:r>
          </w:p>
        </w:tc>
        <w:tc>
          <w:tcPr>
            <w:tcW w:w="2268" w:type="dxa"/>
            <w:hideMark/>
          </w:tcPr>
          <w:p w:rsidR="00156D00" w:rsidRPr="00E26D16" w:rsidRDefault="00156D00" w:rsidP="00E26D16">
            <w:pPr>
              <w:pStyle w:val="NoSpacing"/>
              <w:jc w:val="center"/>
              <w:rPr>
                <w:rFonts w:eastAsia="Calibri"/>
                <w:sz w:val="18"/>
                <w:lang w:val="en-ID"/>
              </w:rPr>
            </w:pPr>
            <w:r w:rsidRPr="00E26D16">
              <w:rPr>
                <w:rFonts w:eastAsia="Calibri"/>
                <w:sz w:val="18"/>
                <w:lang w:val="en-ID"/>
              </w:rPr>
              <w:t>Ensures readiness for professional practice</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rPr>
        <w:t>T</w:t>
      </w:r>
      <w:r w:rsidRPr="00156D00">
        <w:rPr>
          <w:rFonts w:ascii="Times New Roman" w:eastAsia="Calibri" w:hAnsi="Times New Roman" w:cs="Times New Roman"/>
          <w:bCs/>
          <w:lang w:val="en-ID"/>
        </w:rPr>
        <w:t xml:space="preserve">he second findings of the research underscore the importance of aligning Simulation-Based Learning (SBL) with the needs and professional requirements of the maritime industry, as outlined by international standards and regulations. By addressing key research needs in maritime education and ensuring alignment with </w:t>
      </w:r>
      <w:r w:rsidRPr="00156D00">
        <w:rPr>
          <w:rFonts w:ascii="Times New Roman" w:eastAsia="Calibri" w:hAnsi="Times New Roman" w:cs="Times New Roman"/>
          <w:bCs/>
          <w:lang w:val="en-ID"/>
        </w:rPr>
        <w:lastRenderedPageBreak/>
        <w:t>international standards, SBL has the potential to enhance the competency, proficiency, and professionalism of future maritime professionals, thereby contributing to the safety and efficiency of global maritime operations.</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3.2. Discussion</w:t>
      </w:r>
    </w:p>
    <w:p w:rsidR="00156D00" w:rsidRPr="00156D00" w:rsidRDefault="00190277"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Cs/>
        </w:rPr>
        <w:tab/>
      </w:r>
      <w:r w:rsidR="00156D00" w:rsidRPr="00156D00">
        <w:rPr>
          <w:rFonts w:ascii="Times New Roman" w:eastAsia="Calibri" w:hAnsi="Times New Roman" w:cs="Times New Roman"/>
          <w:bCs/>
          <w:lang w:val="en-ID"/>
        </w:rPr>
        <w:t xml:space="preserve">The findings of the research provide valuable insights into the efficacy of Simulation-Based Learning (SBL) in maritime training and its alignment with the needs and professional standards of the maritime industry. In this discussion, we </w:t>
      </w:r>
      <w:proofErr w:type="spellStart"/>
      <w:r w:rsidR="00156D00" w:rsidRPr="00156D00">
        <w:rPr>
          <w:rFonts w:ascii="Times New Roman" w:eastAsia="Calibri" w:hAnsi="Times New Roman" w:cs="Times New Roman"/>
          <w:bCs/>
          <w:lang w:val="en-ID"/>
        </w:rPr>
        <w:t>analyze</w:t>
      </w:r>
      <w:proofErr w:type="spellEnd"/>
      <w:r w:rsidR="00156D00" w:rsidRPr="00156D00">
        <w:rPr>
          <w:rFonts w:ascii="Times New Roman" w:eastAsia="Calibri" w:hAnsi="Times New Roman" w:cs="Times New Roman"/>
          <w:bCs/>
          <w:lang w:val="en-ID"/>
        </w:rPr>
        <w:t xml:space="preserve"> the implications of these findings, explore their significance for maritime education and training, and consider avenues for future research and practice.</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156D00">
        <w:rPr>
          <w:rFonts w:ascii="Times New Roman" w:eastAsia="Calibri" w:hAnsi="Times New Roman" w:cs="Times New Roman"/>
          <w:b/>
          <w:bCs/>
          <w:lang w:val="en-ID"/>
        </w:rPr>
        <w:t>Integration of Simulation-Based Learning in Maritime Education</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highlight the perceived effectiveness of Simulation-Based Learning (SBL) in enhancing cadets' learning experience and skill development. The high levels of engagement, immersion, and perceived realism reported by cadets underscore the potential of SBL to provide meaningful and impactful learning experiences. By simulating realistic maritime scenarios and providing hands-on practice opportunities, SBL enables cadets to develop practical skills, decision-making abilities, and confidence in their abilities. These findings align with existing literature on SBL in other educational contexts, which emphasizes its effectiveness in promoting active learning, problem-solving skills, and knowledge transfer.</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identified several challenges and limitations associated with SBL, including technical issues with simulators, fidelity of simulations, and the effectiveness of debriefing sessions</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 [12]","plainTextFormattedCitation":"[1], [12]","previouslyFormattedCitation":"(Holland &amp; Holland, 2014; Plaza-Hernández et al., 2021)"},"properties":{"noteIndex":0},"schema":"https://github.com/citation-style-language/schema/raw/master/csl-citation.json"}</w:instrText>
      </w:r>
      <w:r w:rsidR="00F12311">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 [12]</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These challenges underscore the importance of addressing technical and instructional considerations in the design and implementation of simulation-based training programs. Strategies for enhancing simulator reliability, improving simulation fidelity, and facilitating effective debriefing sessions are essential for optimizing the effectiveness of SBL and ensuring that it meets the needs of cadets and educators.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3.2.2</w:t>
      </w:r>
      <w:r w:rsidRPr="00156D00">
        <w:rPr>
          <w:rFonts w:ascii="Times New Roman" w:eastAsia="Calibri" w:hAnsi="Times New Roman" w:cs="Times New Roman"/>
          <w:b/>
          <w:bCs/>
          <w:lang w:val="en-ID"/>
        </w:rPr>
        <w:t>. Alignment with International Standards and Professional Requirements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 research findings also shed light on the alignment of Simulation-Based Learning (SBL) with international standards and professional requirements in the maritime industry. By incorporating competency-based assessment methodologies and emphasizing practical skills development, SBL aligns with the principles outlined in the International Maritime Organization </w:t>
      </w:r>
      <w:r w:rsidRPr="00156D00">
        <w:rPr>
          <w:rFonts w:ascii="Times New Roman" w:eastAsia="Calibri" w:hAnsi="Times New Roman" w:cs="Times New Roman"/>
          <w:bCs/>
          <w:lang w:val="en-ID"/>
        </w:rPr>
        <w:lastRenderedPageBreak/>
        <w:t xml:space="preserve">(IMO)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These regulations set forth minimum competency requirements for seafarers worldwide, ensuring that maritime training programs adhere to recognized benchmarks for safety and proficiency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seafarers","type":"paper-conference"},"uris":["http://www.mendeley.com/documents/?uuid=2f84309f-4e05-4536-aaed-698bd69507f9"]}],"mendeley":{"formattedCitation":"[13]","plainTextFormattedCitation":"[13]","previouslyFormattedCitation":"(Ghosh et al., 2014)"},"properties":{"noteIndex":0},"schema":"https://github.com/citation-style-language/schema/raw/master/csl-citation.json"}</w:instrText>
      </w:r>
      <w:r w:rsidR="00F12311">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[13]</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Pr>
          <w:rFonts w:ascii="Times New Roman" w:eastAsia="Calibri" w:hAnsi="Times New Roman" w:cs="Times New Roman"/>
          <w:bCs/>
        </w:rPr>
        <w:t xml:space="preserve"> </w:t>
      </w:r>
      <w:r w:rsidRPr="00156D00">
        <w:rPr>
          <w:rFonts w:ascii="Times New Roman" w:eastAsia="Calibri" w:hAnsi="Times New Roman" w:cs="Times New Roman"/>
          <w:bCs/>
          <w:lang w:val="en-ID"/>
        </w:rPr>
        <w:t>Moreover, the research identified a growing demand for practical, hands-on learning experiences and experiential learning methods in maritime education. These findings reflect broader trends in education toward active learning approaches that prioritize skill acquisition and application over passive instruction. By aligning with these trends and integrating simulation-based methodologies into maritime training curricula, educators can better prepare cadets for the challenges of real-world maritime operations.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3</w:t>
      </w:r>
      <w:r>
        <w:rPr>
          <w:rFonts w:ascii="Times New Roman" w:eastAsia="Calibri" w:hAnsi="Times New Roman" w:cs="Times New Roman"/>
          <w:b/>
          <w:bCs/>
          <w:lang w:val="en-ID"/>
        </w:rPr>
        <w:t>.2.3</w:t>
      </w:r>
      <w:r w:rsidRPr="00156D00">
        <w:rPr>
          <w:rFonts w:ascii="Times New Roman" w:eastAsia="Calibri" w:hAnsi="Times New Roman" w:cs="Times New Roman"/>
          <w:b/>
          <w:bCs/>
          <w:lang w:val="en-ID"/>
        </w:rPr>
        <w:t>. Implications for Maritime Education and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of the research have several implications for maritime education and training. Firstly, they underscore the importance of incorporating Simulation-Based Learning (SBL) into maritime training programs to enhance the competency, proficiency, and professionalism of future maritime professionals. SBL provides a valuable complement to traditional instructional methods, offering cadets opportunities for hands-on practice, experiential learning, and skill development in simulated maritime environments.</w:t>
      </w:r>
      <w:r>
        <w:rPr>
          <w:rFonts w:ascii="Times New Roman" w:eastAsia="Calibri" w:hAnsi="Times New Roman" w:cs="Times New Roman"/>
          <w:bCs/>
        </w:rPr>
        <w:t xml:space="preserve"> </w:t>
      </w:r>
      <w:r w:rsidRPr="00156D00">
        <w:rPr>
          <w:rFonts w:ascii="Times New Roman" w:eastAsia="Calibri" w:hAnsi="Times New Roman" w:cs="Times New Roman"/>
          <w:bCs/>
          <w:lang w:val="en-ID"/>
        </w:rPr>
        <w:t>Secondly, the research highlights the need for ongoing support and professional development for instructors involved in delivering simulation-based training. Effective debriefing sessions, clear instruction, and knowledgeable guidance from instructors are essential for maximizing the benefits of SBL and facilitating meaningful learning experiences for cadets. Providing instructors with training and resources to effectively facilitate simulation activities is crucial for ensuring the success of SBL initiatives.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3.2.4</w:t>
      </w:r>
      <w:r w:rsidRPr="00156D00">
        <w:rPr>
          <w:rFonts w:ascii="Times New Roman" w:eastAsia="Calibri" w:hAnsi="Times New Roman" w:cs="Times New Roman"/>
          <w:b/>
          <w:bCs/>
          <w:lang w:val="en-ID"/>
        </w:rPr>
        <w:t>. Future Directions for Research and Practice</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r w:rsidRPr="00156D00">
        <w:rPr>
          <w:rFonts w:ascii="Times New Roman" w:eastAsia="Calibri" w:hAnsi="Times New Roman" w:cs="Times New Roman"/>
          <w:bCs/>
          <w:lang w:val="en-ID"/>
        </w:rPr>
        <w:t>Looking ahead, future research should focus on addressing key gaps and limitations identified in the current study. This includes investigating the long-term impact of Simulation-Based Learning (SBL) on cadet performance, exploring innovative simulation technologies and methodologies, and examining the transferability of learning to real-world maritime scenarios. Comparative studies examining the effectiveness of different simulation modalities and their applicability to diverse maritime contexts are also warranted.</w:t>
      </w:r>
      <w:r w:rsidR="00F12311">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Moreover, efforts to enhance the integration of SBL into maritime education and training should be guided by a commitment to continuous improvement and </w:t>
      </w:r>
      <w:r w:rsidRPr="00156D00">
        <w:rPr>
          <w:rFonts w:ascii="Times New Roman" w:eastAsia="Calibri" w:hAnsi="Times New Roman" w:cs="Times New Roman"/>
          <w:bCs/>
          <w:lang w:val="en-ID"/>
        </w:rPr>
        <w:lastRenderedPageBreak/>
        <w:t>innovation. This includes ongoing evaluation of simulation-based training programs, feedback from cadets and instructors, and advancements in simulation technology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E26D16">
        <w:rPr>
          <w:rFonts w:ascii="Times New Roman" w:eastAsia="Calibri" w:hAnsi="Times New Roman" w:cs="Times New Roman"/>
          <w:bCs/>
        </w:rPr>
        <w:instrText>ADDIN CSL_CITATION {"citationItems":[{"id":"ITEM-1","itemData":{"ISSN":"1063-0732","author":[{"dropping-particle":"","family":"Aurigi","given":"Alessandro","non-dropping-particle":"","parse-names":false,"suffix":""},{"dropping-particle":"","family":"Odendaal","given":"Nancy","non-dropping-particle":"","parse-names":false,"suffix":""}],"container-title":"Journal of Urban Technology","id":"ITEM-1","issue":"1-2","issued":{"date-parts":[["2021"]]},"page":"55-70","publisher":"Taylor &amp; Francis","title":"From “smart in the box” to “smart in the city”: Rethinking the socially sustainable smart city in context","type":"article-journal","volume":"28"},"uris":["http://www.mendeley.com/documents/?uuid=4d290a36-5fa2-4930-97e5-114f33bf5314"]}],"mendeley":{"formattedCitation":"[14]","plainTextFormattedCitation":"[14]","previouslyFormattedCitation":"(Aurigi &amp; Odendaal, 2021)"},"properties":{"noteIndex":0},"schema":"https://github.com/citation-style-language/schema/raw/master/csl-citation.json"}</w:instrText>
      </w:r>
      <w:r w:rsidR="00F12311">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[14]</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56D00">
        <w:rPr>
          <w:rFonts w:ascii="Times New Roman" w:eastAsia="Calibri" w:hAnsi="Times New Roman" w:cs="Times New Roman"/>
          <w:bCs/>
          <w:lang w:val="en-ID"/>
        </w:rPr>
        <w:t>he findings of the research underscore the importance of Simulation-Based Learning (SBL) in maritime education and its alignment with international standards and professional requirements. By providing cadets with realistic, immersive, and experiential learning experiences, SBL enhances their competency, proficiency, and readiness for real-world maritime challenges. Moving forward, continued investment in SBL initiatives and research is essential for advancing the field of maritime education and training and ensuring the safety and efficiency of global maritime operations.</w:t>
      </w:r>
    </w:p>
    <w:p w:rsidR="00190277" w:rsidRPr="00156D00"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CONCLUSION</w:t>
      </w:r>
    </w:p>
    <w:p w:rsid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156D00">
        <w:rPr>
          <w:rFonts w:ascii="Times New Roman" w:eastAsia="Calibri" w:hAnsi="Times New Roman" w:cs="Times New Roman"/>
          <w:bCs/>
        </w:rPr>
        <w:t>his research has provided valuable insights into the efficacy of Simulation-Based Learning (SBL) in maritime training and its alignment with international standards and professional requirements. Through qualitative analysis of the experiences and perceptions of 30 cadets undergoing vocational practice or internships, several key findings have emerged.</w:t>
      </w:r>
      <w:r>
        <w:rPr>
          <w:rFonts w:ascii="Times New Roman" w:eastAsia="Calibri" w:hAnsi="Times New Roman" w:cs="Times New Roman"/>
          <w:bCs/>
        </w:rPr>
        <w:t xml:space="preserve"> </w:t>
      </w:r>
      <w:r w:rsidRPr="00156D00">
        <w:rPr>
          <w:rFonts w:ascii="Times New Roman" w:eastAsia="Calibri" w:hAnsi="Times New Roman" w:cs="Times New Roman"/>
          <w:bCs/>
        </w:rPr>
        <w:t>Firstly, Simulation-Based Learning (SBL) was found to be highly effective in enhancing cadets' learning experience and skill development. The immersive and realistic nature of simulation activities facilitated active engagement, decision-making under pressure, and practical skill acquisition. Despite some challenges and limitations, including technical issues with simulators and the fidelity of simulations, the overall perceived effectiveness of SBL was high among cadets.</w:t>
      </w:r>
      <w:r>
        <w:rPr>
          <w:rFonts w:ascii="Times New Roman" w:eastAsia="Calibri" w:hAnsi="Times New Roman" w:cs="Times New Roman"/>
          <w:bCs/>
        </w:rPr>
        <w:t xml:space="preserve"> </w:t>
      </w:r>
      <w:r w:rsidRPr="00156D00">
        <w:rPr>
          <w:rFonts w:ascii="Times New Roman" w:eastAsia="Calibri" w:hAnsi="Times New Roman" w:cs="Times New Roman"/>
          <w:bCs/>
        </w:rPr>
        <w:t>Secondly, the research highlighted the importance of aligning maritime education and training programs with international standards and regulatory requirements, such as those outlined by the International Maritime Organization (IMO) - Standards of Training, Certification, and Watchkeeping (STCW). By incorporating competency-based assessment methodologies and emphasizing practical skills development, SBL aligns with the principles set forth in the STCW regulations, ensuring that cadets receive comprehensive and standardized training.</w:t>
      </w:r>
    </w:p>
    <w:p w:rsidR="00F5577B"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rPr>
        <w:t xml:space="preserve">Moving forward, efforts to enhance the integration of SBL into maritime education and training should be guided by a commitment to </w:t>
      </w:r>
      <w:r w:rsidRPr="00156D00">
        <w:rPr>
          <w:rFonts w:ascii="Times New Roman" w:eastAsia="Calibri" w:hAnsi="Times New Roman" w:cs="Times New Roman"/>
          <w:bCs/>
        </w:rPr>
        <w:lastRenderedPageBreak/>
        <w:t>continuous improvement and innovation. This includes ongoing evaluation of simulation-based training programs, feedback from cadets and instructors, and advancements in simulation technology.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r w:rsidRPr="00156D00">
        <w:rPr>
          <w:rFonts w:ascii="Times New Roman" w:eastAsia="Calibri" w:hAnsi="Times New Roman" w:cs="Times New Roman"/>
          <w:bCs/>
        </w:rPr>
        <w:t>Simulation-Based Learning (SBL) holds significant promise for enhancing maritime education and training, providing cadets with realistic, immersive, and experiential learning experiences. By addressing key challenges and leveraging the benefits of SBL, educators can better prepare cadets for the challenges of real-world maritime operations, thereby contributing to the safety and efficiency of global maritime transportation.</w:t>
      </w:r>
    </w:p>
    <w:p w:rsidR="00A20815" w:rsidRPr="00156D00"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56D00"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56D00">
        <w:rPr>
          <w:rFonts w:ascii="Times New Roman" w:eastAsia="Calibri" w:hAnsi="Times New Roman" w:cs="Times New Roman"/>
          <w:b/>
          <w:bCs/>
        </w:rPr>
        <w:t>REFERENCES</w:t>
      </w:r>
    </w:p>
    <w:p w:rsidR="00E26D16" w:rsidRPr="00E26D16" w:rsidRDefault="00F12311"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E26D16" w:rsidRPr="00E26D16">
        <w:rPr>
          <w:rFonts w:ascii="Times New Roman" w:hAnsi="Times New Roman" w:cs="Times New Roman"/>
          <w:noProof/>
          <w:szCs w:val="24"/>
        </w:rPr>
        <w:t>[1]</w:t>
      </w:r>
      <w:r w:rsidR="00E26D16" w:rsidRPr="00E26D16">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00E26D16" w:rsidRPr="00E26D16">
        <w:rPr>
          <w:rFonts w:ascii="Times New Roman" w:hAnsi="Times New Roman" w:cs="Times New Roman"/>
          <w:i/>
          <w:iCs/>
          <w:noProof/>
          <w:szCs w:val="24"/>
        </w:rPr>
        <w:t>Distributed Computing and Artificial Intelligence, Special Sessions, 17th International Conference</w:t>
      </w:r>
      <w:r w:rsidR="00E26D16" w:rsidRPr="00E26D16">
        <w:rPr>
          <w:rFonts w:ascii="Times New Roman" w:hAnsi="Times New Roman" w:cs="Times New Roman"/>
          <w:noProof/>
          <w:szCs w:val="24"/>
        </w:rPr>
        <w:t>, 2021, pp. 107–115.</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[2]</w:t>
      </w:r>
      <w:r w:rsidRPr="00E26D16">
        <w:rPr>
          <w:rFonts w:ascii="Times New Roman" w:hAnsi="Times New Roman" w:cs="Times New Roman"/>
          <w:noProof/>
          <w:szCs w:val="24"/>
        </w:rPr>
        <w:tab/>
        <w:t xml:space="preserve">I. Christodoulou-Varotsi and D. A. Pentsov, “The STCW Convention and related instruments,” </w:t>
      </w:r>
      <w:r w:rsidRPr="00E26D16">
        <w:rPr>
          <w:rFonts w:ascii="Times New Roman" w:hAnsi="Times New Roman" w:cs="Times New Roman"/>
          <w:i/>
          <w:iCs/>
          <w:noProof/>
          <w:szCs w:val="24"/>
        </w:rPr>
        <w:t>Marit. Work Law Fundam. Responsible Shipowners, Reliab. Seafar.</w:t>
      </w:r>
      <w:r w:rsidRPr="00E26D16">
        <w:rPr>
          <w:rFonts w:ascii="Times New Roman" w:hAnsi="Times New Roman" w:cs="Times New Roman"/>
          <w:noProof/>
          <w:szCs w:val="24"/>
        </w:rPr>
        <w:t>, pp. 422–639, 2008.</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[3]</w:t>
      </w:r>
      <w:r w:rsidRPr="00E26D16">
        <w:rPr>
          <w:rFonts w:ascii="Times New Roman" w:hAnsi="Times New Roman" w:cs="Times New Roman"/>
          <w:noProof/>
          <w:szCs w:val="24"/>
        </w:rPr>
        <w:tab/>
        <w:t xml:space="preserve">C. Young, “Comprehensive Revision of the STCW convention: an overview,” </w:t>
      </w:r>
      <w:r w:rsidRPr="00E26D16">
        <w:rPr>
          <w:rFonts w:ascii="Times New Roman" w:hAnsi="Times New Roman" w:cs="Times New Roman"/>
          <w:i/>
          <w:iCs/>
          <w:noProof/>
          <w:szCs w:val="24"/>
        </w:rPr>
        <w:t>J. Mar. L. Com.</w:t>
      </w:r>
      <w:r w:rsidRPr="00E26D16">
        <w:rPr>
          <w:rFonts w:ascii="Times New Roman" w:hAnsi="Times New Roman" w:cs="Times New Roman"/>
          <w:noProof/>
          <w:szCs w:val="24"/>
        </w:rPr>
        <w:t>, vol. 26, p. 1, 1995.</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[4]</w:t>
      </w:r>
      <w:r w:rsidRPr="00E26D16">
        <w:rPr>
          <w:rFonts w:ascii="Times New Roman" w:hAnsi="Times New Roman" w:cs="Times New Roman"/>
          <w:noProof/>
          <w:szCs w:val="24"/>
        </w:rPr>
        <w:tab/>
        <w:t xml:space="preserve">H. Bitar and S. Alismail, “Exploring enablers and inhibitors of eHealth educational tools: The needs of women searching for HPV and cervical cancer information,” </w:t>
      </w:r>
      <w:r w:rsidRPr="00E26D16">
        <w:rPr>
          <w:rFonts w:ascii="Times New Roman" w:hAnsi="Times New Roman" w:cs="Times New Roman"/>
          <w:i/>
          <w:iCs/>
          <w:noProof/>
          <w:szCs w:val="24"/>
        </w:rPr>
        <w:t>DIGITAL HEALTH</w:t>
      </w:r>
      <w:r w:rsidRPr="00E26D16">
        <w:rPr>
          <w:rFonts w:ascii="Times New Roman" w:hAnsi="Times New Roman" w:cs="Times New Roman"/>
          <w:noProof/>
          <w:szCs w:val="24"/>
        </w:rPr>
        <w:t>, vol. 8. SAGE Publications, p. 2147483647, 2022. doi: 10.1177/20552076221130189.</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[5]</w:t>
      </w:r>
      <w:r w:rsidRPr="00E26D16">
        <w:rPr>
          <w:rFonts w:ascii="Times New Roman" w:hAnsi="Times New Roman" w:cs="Times New Roman"/>
          <w:noProof/>
          <w:szCs w:val="24"/>
        </w:rPr>
        <w:tab/>
        <w:t>E. Sarıcan and E. B. GÜNEŞ, “Developing Critical Thinking Skills in Elementary School Students Through Foreign Language Education: An Action Research.” Center for Open Science, 2021. doi: 10.31235/osf.io/3cjsv.</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[6]</w:t>
      </w:r>
      <w:r w:rsidRPr="00E26D16">
        <w:rPr>
          <w:rFonts w:ascii="Times New Roman" w:hAnsi="Times New Roman" w:cs="Times New Roman"/>
          <w:noProof/>
          <w:szCs w:val="24"/>
        </w:rPr>
        <w:tab/>
        <w:t xml:space="preserve">D. Franceschi, “The features of maritime English discourse,” </w:t>
      </w:r>
      <w:r w:rsidRPr="00E26D16">
        <w:rPr>
          <w:rFonts w:ascii="Times New Roman" w:hAnsi="Times New Roman" w:cs="Times New Roman"/>
          <w:i/>
          <w:iCs/>
          <w:noProof/>
          <w:szCs w:val="24"/>
        </w:rPr>
        <w:t>Int. J. English Linguist.</w:t>
      </w:r>
      <w:r w:rsidRPr="00E26D16">
        <w:rPr>
          <w:rFonts w:ascii="Times New Roman" w:hAnsi="Times New Roman" w:cs="Times New Roman"/>
          <w:noProof/>
          <w:szCs w:val="24"/>
        </w:rPr>
        <w:t>, vol. 4, no. 2, p. 78, 2014.</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[7]</w:t>
      </w:r>
      <w:r w:rsidRPr="00E26D16">
        <w:rPr>
          <w:rFonts w:ascii="Times New Roman" w:hAnsi="Times New Roman" w:cs="Times New Roman"/>
          <w:noProof/>
          <w:szCs w:val="24"/>
        </w:rPr>
        <w:tab/>
        <w:t xml:space="preserve">N. R. Council, </w:t>
      </w:r>
      <w:r w:rsidRPr="00E26D16">
        <w:rPr>
          <w:rFonts w:ascii="Times New Roman" w:hAnsi="Times New Roman" w:cs="Times New Roman"/>
          <w:i/>
          <w:iCs/>
          <w:noProof/>
          <w:szCs w:val="24"/>
        </w:rPr>
        <w:t>Frontiers in massive data analysis</w:t>
      </w:r>
      <w:r w:rsidRPr="00E26D16">
        <w:rPr>
          <w:rFonts w:ascii="Times New Roman" w:hAnsi="Times New Roman" w:cs="Times New Roman"/>
          <w:noProof/>
          <w:szCs w:val="24"/>
        </w:rPr>
        <w:t>. National Academies Press, 2013.</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[8]</w:t>
      </w:r>
      <w:r w:rsidRPr="00E26D16">
        <w:rPr>
          <w:rFonts w:ascii="Times New Roman" w:hAnsi="Times New Roman" w:cs="Times New Roman"/>
          <w:noProof/>
          <w:szCs w:val="24"/>
        </w:rPr>
        <w:tab/>
        <w:t xml:space="preserve">S. Sarosa, </w:t>
      </w:r>
      <w:r w:rsidRPr="00E26D16">
        <w:rPr>
          <w:rFonts w:ascii="Times New Roman" w:hAnsi="Times New Roman" w:cs="Times New Roman"/>
          <w:i/>
          <w:iCs/>
          <w:noProof/>
          <w:szCs w:val="24"/>
        </w:rPr>
        <w:t>Analisis Data Penelitian Kualitatif</w:t>
      </w:r>
      <w:r w:rsidRPr="00E26D16">
        <w:rPr>
          <w:rFonts w:ascii="Times New Roman" w:hAnsi="Times New Roman" w:cs="Times New Roman"/>
          <w:noProof/>
          <w:szCs w:val="24"/>
        </w:rPr>
        <w:t>. Pt Kanisius, 2021.</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[9]</w:t>
      </w:r>
      <w:r w:rsidRPr="00E26D16">
        <w:rPr>
          <w:rFonts w:ascii="Times New Roman" w:hAnsi="Times New Roman" w:cs="Times New Roman"/>
          <w:noProof/>
          <w:szCs w:val="24"/>
        </w:rPr>
        <w:tab/>
        <w:t xml:space="preserve">D. K. Padgett, </w:t>
      </w:r>
      <w:r w:rsidRPr="00E26D16">
        <w:rPr>
          <w:rFonts w:ascii="Times New Roman" w:hAnsi="Times New Roman" w:cs="Times New Roman"/>
          <w:i/>
          <w:iCs/>
          <w:noProof/>
          <w:szCs w:val="24"/>
        </w:rPr>
        <w:t xml:space="preserve">Qualitative methods in social </w:t>
      </w:r>
      <w:r w:rsidRPr="00E26D16">
        <w:rPr>
          <w:rFonts w:ascii="Times New Roman" w:hAnsi="Times New Roman" w:cs="Times New Roman"/>
          <w:i/>
          <w:iCs/>
          <w:noProof/>
          <w:szCs w:val="24"/>
        </w:rPr>
        <w:lastRenderedPageBreak/>
        <w:t>work research</w:t>
      </w:r>
      <w:r w:rsidRPr="00E26D16">
        <w:rPr>
          <w:rFonts w:ascii="Times New Roman" w:hAnsi="Times New Roman" w:cs="Times New Roman"/>
          <w:noProof/>
          <w:szCs w:val="24"/>
        </w:rPr>
        <w:t>, vol. 36. Sage publications, 2016.</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[10]</w:t>
      </w:r>
      <w:r w:rsidRPr="00E26D16">
        <w:rPr>
          <w:rFonts w:ascii="Times New Roman" w:hAnsi="Times New Roman" w:cs="Times New Roman"/>
          <w:noProof/>
          <w:szCs w:val="24"/>
        </w:rPr>
        <w:tab/>
        <w:t xml:space="preserve">J. W. Creswell and V. L. P. Clark, “Choosing a mixed methods design,” in </w:t>
      </w:r>
      <w:r w:rsidRPr="00E26D16">
        <w:rPr>
          <w:rFonts w:ascii="Times New Roman" w:hAnsi="Times New Roman" w:cs="Times New Roman"/>
          <w:i/>
          <w:iCs/>
          <w:noProof/>
          <w:szCs w:val="24"/>
        </w:rPr>
        <w:t>Designing and Conducting Mixed Methods Research</w:t>
      </w:r>
      <w:r w:rsidRPr="00E26D16">
        <w:rPr>
          <w:rFonts w:ascii="Times New Roman" w:hAnsi="Times New Roman" w:cs="Times New Roman"/>
          <w:noProof/>
          <w:szCs w:val="24"/>
        </w:rPr>
        <w:t>, California: Sage Publications, Inc., 2011, pp. 53–106.</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[11]</w:t>
      </w:r>
      <w:r w:rsidRPr="00E26D16">
        <w:rPr>
          <w:rFonts w:ascii="Times New Roman" w:hAnsi="Times New Roman" w:cs="Times New Roman"/>
          <w:noProof/>
          <w:szCs w:val="24"/>
        </w:rPr>
        <w:tab/>
        <w:t xml:space="preserve">A. Castleberry and A. Nolen, “Thematic analysis of qualitative research data: Is it as easy as it sounds?,” </w:t>
      </w:r>
      <w:r w:rsidRPr="00E26D16">
        <w:rPr>
          <w:rFonts w:ascii="Times New Roman" w:hAnsi="Times New Roman" w:cs="Times New Roman"/>
          <w:i/>
          <w:iCs/>
          <w:noProof/>
          <w:szCs w:val="24"/>
        </w:rPr>
        <w:t>Curr. Pharm. Teach. Learn.</w:t>
      </w:r>
      <w:r w:rsidRPr="00E26D16">
        <w:rPr>
          <w:rFonts w:ascii="Times New Roman" w:hAnsi="Times New Roman" w:cs="Times New Roman"/>
          <w:noProof/>
          <w:szCs w:val="24"/>
        </w:rPr>
        <w:t>, vol. 10, no. 6, pp. 807–815, 2018.</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[12]</w:t>
      </w:r>
      <w:r w:rsidRPr="00E26D16">
        <w:rPr>
          <w:rFonts w:ascii="Times New Roman" w:hAnsi="Times New Roman" w:cs="Times New Roman"/>
          <w:noProof/>
          <w:szCs w:val="24"/>
        </w:rPr>
        <w:tab/>
        <w:t xml:space="preserve">J. Holland and J. Holland, “Implications of shifting technology in education,” </w:t>
      </w:r>
      <w:r w:rsidRPr="00E26D16">
        <w:rPr>
          <w:rFonts w:ascii="Times New Roman" w:hAnsi="Times New Roman" w:cs="Times New Roman"/>
          <w:i/>
          <w:iCs/>
          <w:noProof/>
          <w:szCs w:val="24"/>
        </w:rPr>
        <w:t>TechTrends</w:t>
      </w:r>
      <w:r w:rsidRPr="00E26D16">
        <w:rPr>
          <w:rFonts w:ascii="Times New Roman" w:hAnsi="Times New Roman" w:cs="Times New Roman"/>
          <w:noProof/>
          <w:szCs w:val="24"/>
        </w:rPr>
        <w:t>, vol. 58, pp. 16–25, 2014.</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szCs w:val="24"/>
        </w:rPr>
      </w:pPr>
      <w:r w:rsidRPr="00E26D16">
        <w:rPr>
          <w:rFonts w:ascii="Times New Roman" w:hAnsi="Times New Roman" w:cs="Times New Roman"/>
          <w:noProof/>
          <w:szCs w:val="24"/>
        </w:rPr>
        <w:t>[13]</w:t>
      </w:r>
      <w:r w:rsidRPr="00E26D16">
        <w:rPr>
          <w:rFonts w:ascii="Times New Roman" w:hAnsi="Times New Roman" w:cs="Times New Roman"/>
          <w:noProof/>
          <w:szCs w:val="24"/>
        </w:rPr>
        <w:tab/>
        <w:t xml:space="preserve">S. Ghosh, M. Bowles, D. Ranmuthugala, and B. Brooks, “On a lookout beyond STCW: Seeking standards and context for the authentic assessment of seafarers,” in </w:t>
      </w:r>
      <w:r w:rsidRPr="00E26D16">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E26D16">
        <w:rPr>
          <w:rFonts w:ascii="Times New Roman" w:hAnsi="Times New Roman" w:cs="Times New Roman"/>
          <w:noProof/>
          <w:szCs w:val="24"/>
        </w:rPr>
        <w:t>, 2014, pp. 77–86.</w:t>
      </w:r>
    </w:p>
    <w:p w:rsidR="00E26D16" w:rsidRPr="00E26D16" w:rsidRDefault="00E26D16" w:rsidP="00E26D16">
      <w:pPr>
        <w:widowControl w:val="0"/>
        <w:autoSpaceDE w:val="0"/>
        <w:autoSpaceDN w:val="0"/>
        <w:adjustRightInd w:val="0"/>
        <w:spacing w:after="0" w:line="240" w:lineRule="auto"/>
        <w:ind w:left="640" w:hanging="640"/>
        <w:rPr>
          <w:rFonts w:ascii="Times New Roman" w:hAnsi="Times New Roman" w:cs="Times New Roman"/>
          <w:noProof/>
        </w:rPr>
      </w:pPr>
      <w:r w:rsidRPr="00E26D16">
        <w:rPr>
          <w:rFonts w:ascii="Times New Roman" w:hAnsi="Times New Roman" w:cs="Times New Roman"/>
          <w:noProof/>
          <w:szCs w:val="24"/>
        </w:rPr>
        <w:t>[14]</w:t>
      </w:r>
      <w:r w:rsidRPr="00E26D16">
        <w:rPr>
          <w:rFonts w:ascii="Times New Roman" w:hAnsi="Times New Roman" w:cs="Times New Roman"/>
          <w:noProof/>
          <w:szCs w:val="24"/>
        </w:rPr>
        <w:tab/>
        <w:t xml:space="preserve">A. Aurigi and N. Odendaal, “From ‘smart in the box’ to ‘smart in the city’: Rethinking the socially sustainable smart city in context,” </w:t>
      </w:r>
      <w:r w:rsidRPr="00E26D16">
        <w:rPr>
          <w:rFonts w:ascii="Times New Roman" w:hAnsi="Times New Roman" w:cs="Times New Roman"/>
          <w:i/>
          <w:iCs/>
          <w:noProof/>
          <w:szCs w:val="24"/>
        </w:rPr>
        <w:t>J. Urban Technol.</w:t>
      </w:r>
      <w:r w:rsidRPr="00E26D16">
        <w:rPr>
          <w:rFonts w:ascii="Times New Roman" w:hAnsi="Times New Roman" w:cs="Times New Roman"/>
          <w:noProof/>
          <w:szCs w:val="24"/>
        </w:rPr>
        <w:t>, vol. 28, no. 1–2, pp. 55–70, 2021.</w:t>
      </w:r>
    </w:p>
    <w:p w:rsidR="00A20815" w:rsidRPr="00156D00"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56D00" w:rsidSect="00E26D16">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F0" w:rsidRDefault="00C203F0" w:rsidP="00BD3DF2">
      <w:pPr>
        <w:spacing w:after="0" w:line="240" w:lineRule="auto"/>
      </w:pPr>
      <w:r>
        <w:separator/>
      </w:r>
    </w:p>
  </w:endnote>
  <w:endnote w:type="continuationSeparator" w:id="0">
    <w:p w:rsidR="00C203F0" w:rsidRDefault="00C203F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A22FEF">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F0" w:rsidRDefault="00C203F0" w:rsidP="00BD3DF2">
      <w:pPr>
        <w:spacing w:after="0" w:line="240" w:lineRule="auto"/>
      </w:pPr>
      <w:r>
        <w:separator/>
      </w:r>
    </w:p>
  </w:footnote>
  <w:footnote w:type="continuationSeparator" w:id="0">
    <w:p w:rsidR="00C203F0" w:rsidRDefault="00C203F0"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56D00"/>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16A8"/>
    <w:rsid w:val="0025468B"/>
    <w:rsid w:val="00260B8B"/>
    <w:rsid w:val="00263DD8"/>
    <w:rsid w:val="00264A93"/>
    <w:rsid w:val="00275DB3"/>
    <w:rsid w:val="00280A4E"/>
    <w:rsid w:val="00280FA7"/>
    <w:rsid w:val="0029203F"/>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3260"/>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410E"/>
    <w:rsid w:val="006965B2"/>
    <w:rsid w:val="006A33A6"/>
    <w:rsid w:val="006B0E27"/>
    <w:rsid w:val="006B629D"/>
    <w:rsid w:val="006D6D19"/>
    <w:rsid w:val="006E3D96"/>
    <w:rsid w:val="00711C6A"/>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8F5BFE"/>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22FEF"/>
    <w:rsid w:val="00A37C6F"/>
    <w:rsid w:val="00A618F9"/>
    <w:rsid w:val="00A7430C"/>
    <w:rsid w:val="00AA4294"/>
    <w:rsid w:val="00AC532E"/>
    <w:rsid w:val="00AD553D"/>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A1FD2"/>
    <w:rsid w:val="00BB59B9"/>
    <w:rsid w:val="00BC2F62"/>
    <w:rsid w:val="00BC75CA"/>
    <w:rsid w:val="00BD3DF2"/>
    <w:rsid w:val="00C050E6"/>
    <w:rsid w:val="00C05853"/>
    <w:rsid w:val="00C12717"/>
    <w:rsid w:val="00C203F0"/>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11F3F"/>
    <w:rsid w:val="00E20CEC"/>
    <w:rsid w:val="00E2165D"/>
    <w:rsid w:val="00E26505"/>
    <w:rsid w:val="00E26D16"/>
    <w:rsid w:val="00E75F8F"/>
    <w:rsid w:val="00E80032"/>
    <w:rsid w:val="00E82193"/>
    <w:rsid w:val="00EA2970"/>
    <w:rsid w:val="00EA3E26"/>
    <w:rsid w:val="00EB375B"/>
    <w:rsid w:val="00EC0792"/>
    <w:rsid w:val="00EF1263"/>
    <w:rsid w:val="00EF2E8F"/>
    <w:rsid w:val="00F12311"/>
    <w:rsid w:val="00F13F36"/>
    <w:rsid w:val="00F20FE1"/>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58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E26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is.pknst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masito@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333927-E7EF-43C3-82EB-47609A59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3</cp:revision>
  <cp:lastPrinted>2019-05-24T02:53:00Z</cp:lastPrinted>
  <dcterms:created xsi:type="dcterms:W3CDTF">2024-04-11T16:05:00Z</dcterms:created>
  <dcterms:modified xsi:type="dcterms:W3CDTF">2024-04-11T16:06:00Z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