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 xml:space="preserve">JURNAL PENELITIAN ILMIAH </w:t>
            </w:r>
          </w:p>
          <w:p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rsidR="0094162E" w:rsidRPr="00FE58DC" w:rsidRDefault="0094162E" w:rsidP="00373B88">
            <w:pPr>
              <w:autoSpaceDE w:val="0"/>
              <w:autoSpaceDN w:val="0"/>
              <w:adjustRightInd w:val="0"/>
              <w:jc w:val="center"/>
              <w:rPr>
                <w:rFonts w:ascii="Times New Roman" w:hAnsi="Times New Roman" w:cs="Times New Roman"/>
                <w:b w:val="0"/>
                <w:iCs/>
                <w:szCs w:val="20"/>
              </w:rPr>
            </w:pPr>
          </w:p>
          <w:p w:rsidR="00373B88" w:rsidRPr="00EB375B" w:rsidRDefault="00EA2970" w:rsidP="00373B88">
            <w:pPr>
              <w:autoSpaceDE w:val="0"/>
              <w:autoSpaceDN w:val="0"/>
              <w:adjustRightInd w:val="0"/>
              <w:jc w:val="center"/>
              <w:rPr>
                <w:rFonts w:ascii="Times New Roman" w:hAnsi="Times New Roman" w:cs="Times New Roman"/>
                <w:b w:val="0"/>
                <w:i/>
                <w:iCs/>
                <w:szCs w:val="20"/>
              </w:rPr>
            </w:pPr>
            <w:r w:rsidRPr="00EB375B">
              <w:rPr>
                <w:rFonts w:ascii="Times New Roman" w:hAnsi="Times New Roman" w:cs="Times New Roman"/>
                <w:b w:val="0"/>
                <w:i/>
                <w:iCs/>
                <w:szCs w:val="20"/>
              </w:rPr>
              <w:t>Asman Ala</w:t>
            </w:r>
            <w:r w:rsidR="00373B88" w:rsidRPr="00EB375B">
              <w:rPr>
                <w:rFonts w:ascii="Times New Roman" w:hAnsi="Times New Roman" w:cs="Times New Roman"/>
                <w:b w:val="0"/>
                <w:i/>
                <w:iCs/>
                <w:szCs w:val="20"/>
                <w:vertAlign w:val="superscript"/>
              </w:rPr>
              <w:t>1)</w:t>
            </w:r>
            <w:r w:rsidR="00373B88" w:rsidRPr="00EB375B">
              <w:rPr>
                <w:rFonts w:ascii="Times New Roman" w:hAnsi="Times New Roman" w:cs="Times New Roman"/>
                <w:b w:val="0"/>
                <w:i/>
                <w:iCs/>
                <w:szCs w:val="20"/>
              </w:rPr>
              <w:t xml:space="preserve">  </w:t>
            </w:r>
            <w:r w:rsidRPr="00EB375B">
              <w:rPr>
                <w:rStyle w:val="Hyperlink"/>
                <w:rFonts w:ascii="Times New Roman" w:hAnsi="Times New Roman" w:cs="Times New Roman"/>
                <w:b w:val="0"/>
                <w:i/>
                <w:iCs/>
                <w:szCs w:val="20"/>
              </w:rPr>
              <w:t>asmanaufal2003@g.mail.com</w:t>
            </w:r>
          </w:p>
          <w:p w:rsidR="00373B88" w:rsidRPr="00EB375B" w:rsidRDefault="00280A4E" w:rsidP="00373B88">
            <w:pPr>
              <w:autoSpaceDE w:val="0"/>
              <w:autoSpaceDN w:val="0"/>
              <w:adjustRightInd w:val="0"/>
              <w:jc w:val="center"/>
              <w:rPr>
                <w:rFonts w:ascii="Times New Roman" w:hAnsi="Times New Roman" w:cs="Times New Roman"/>
                <w:b w:val="0"/>
                <w:i/>
                <w:iCs/>
                <w:szCs w:val="20"/>
              </w:rPr>
            </w:pPr>
            <w:r w:rsidRPr="00EB375B">
              <w:rPr>
                <w:rFonts w:ascii="Times New Roman" w:hAnsi="Times New Roman" w:cs="Times New Roman"/>
                <w:b w:val="0"/>
                <w:i/>
                <w:iCs/>
                <w:szCs w:val="20"/>
              </w:rPr>
              <w:t>Nazilul Hamidi</w:t>
            </w:r>
            <w:r w:rsidR="00373B88" w:rsidRPr="00EB375B">
              <w:rPr>
                <w:rFonts w:ascii="Times New Roman" w:hAnsi="Times New Roman" w:cs="Times New Roman"/>
                <w:b w:val="0"/>
                <w:i/>
                <w:iCs/>
                <w:szCs w:val="20"/>
                <w:vertAlign w:val="superscript"/>
              </w:rPr>
              <w:t>2)</w:t>
            </w:r>
            <w:r w:rsidR="00373B88" w:rsidRPr="00EB375B">
              <w:rPr>
                <w:rFonts w:ascii="Times New Roman" w:hAnsi="Times New Roman" w:cs="Times New Roman"/>
                <w:b w:val="0"/>
                <w:i/>
                <w:iCs/>
                <w:szCs w:val="20"/>
              </w:rPr>
              <w:t xml:space="preserve">  </w:t>
            </w:r>
            <w:r w:rsidRPr="00EB375B">
              <w:rPr>
                <w:rStyle w:val="Hyperlink"/>
                <w:rFonts w:ascii="Times New Roman" w:hAnsi="Times New Roman" w:cs="Times New Roman"/>
                <w:b w:val="0"/>
                <w:i/>
                <w:iCs/>
                <w:szCs w:val="20"/>
              </w:rPr>
              <w:t>nzlhmd@gmail.com</w:t>
            </w:r>
          </w:p>
          <w:p w:rsidR="004F3260" w:rsidRPr="00EB375B" w:rsidRDefault="004F3260" w:rsidP="004F3260">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EB375B">
              <w:rPr>
                <w:rFonts w:ascii="Times New Roman" w:eastAsia="Calibri" w:hAnsi="Times New Roman" w:cs="Times New Roman"/>
                <w:b w:val="0"/>
                <w:i/>
                <w:iCs/>
                <w:szCs w:val="20"/>
              </w:rPr>
              <w:t>Marudut Bernadtua Simanjuntak</w:t>
            </w:r>
            <w:r w:rsidRPr="00EB375B">
              <w:rPr>
                <w:rFonts w:ascii="Times New Roman" w:eastAsia="Calibri" w:hAnsi="Times New Roman" w:cs="Times New Roman"/>
                <w:b w:val="0"/>
                <w:i/>
                <w:iCs/>
                <w:szCs w:val="20"/>
                <w:vertAlign w:val="superscript"/>
              </w:rPr>
              <w:t>3)</w:t>
            </w:r>
            <w:r w:rsidRPr="00EB375B">
              <w:rPr>
                <w:rFonts w:ascii="Times New Roman" w:eastAsia="Calibri" w:hAnsi="Times New Roman" w:cs="Times New Roman"/>
                <w:b w:val="0"/>
                <w:i/>
                <w:iCs/>
                <w:szCs w:val="20"/>
              </w:rPr>
              <w:t xml:space="preserve">  </w:t>
            </w:r>
            <w:hyperlink r:id="rId10" w:history="1">
              <w:r w:rsidRPr="00EB375B">
                <w:rPr>
                  <w:rFonts w:ascii="Times New Roman" w:eastAsia="Calibri" w:hAnsi="Times New Roman" w:cs="Times New Roman"/>
                  <w:b w:val="0"/>
                  <w:i/>
                  <w:iCs/>
                  <w:color w:val="0000FF" w:themeColor="hyperlink"/>
                  <w:szCs w:val="20"/>
                  <w:u w:val="single"/>
                </w:rPr>
                <w:t>bernadmarudut@gmail.com</w:t>
              </w:r>
            </w:hyperlink>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Fitri Masito</w:t>
            </w:r>
            <w:r w:rsidR="00EB375B" w:rsidRPr="00EB375B">
              <w:rPr>
                <w:rFonts w:ascii="Times New Roman" w:eastAsia="Calibri" w:hAnsi="Times New Roman" w:cs="Times New Roman"/>
                <w:b w:val="0"/>
                <w:i/>
                <w:iCs/>
                <w:szCs w:val="20"/>
                <w:vertAlign w:val="superscript"/>
              </w:rPr>
              <w:t>4)</w:t>
            </w:r>
            <w:r w:rsidRPr="00EB375B">
              <w:rPr>
                <w:rFonts w:ascii="Times New Roman" w:eastAsia="Calibri" w:hAnsi="Times New Roman" w:cs="Times New Roman"/>
                <w:b w:val="0"/>
                <w:i/>
                <w:iCs/>
                <w:szCs w:val="20"/>
              </w:rPr>
              <w:t xml:space="preserve"> </w:t>
            </w:r>
            <w:hyperlink r:id="rId11" w:history="1">
              <w:r w:rsidRPr="00EB375B">
                <w:rPr>
                  <w:rFonts w:ascii="Times New Roman" w:eastAsia="Calibri" w:hAnsi="Times New Roman" w:cs="Times New Roman"/>
                  <w:b w:val="0"/>
                  <w:i/>
                  <w:iCs/>
                  <w:color w:val="0000FF" w:themeColor="hyperlink"/>
                  <w:szCs w:val="20"/>
                  <w:u w:val="single"/>
                </w:rPr>
                <w:t>fitri.masito@poltekbangplg.ac.id</w:t>
              </w:r>
            </w:hyperlink>
            <w:r w:rsidRPr="00EB375B">
              <w:rPr>
                <w:rFonts w:ascii="Times New Roman" w:eastAsia="Calibri" w:hAnsi="Times New Roman" w:cs="Times New Roman"/>
                <w:b w:val="0"/>
                <w:i/>
                <w:iCs/>
                <w:szCs w:val="20"/>
              </w:rPr>
              <w:t xml:space="preserve">  </w:t>
            </w:r>
          </w:p>
          <w:p w:rsidR="00FE58DC" w:rsidRPr="00EB375B" w:rsidRDefault="00FE58DC" w:rsidP="00FE58DC">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Muhammad Abdul Muis</w:t>
            </w:r>
            <w:r w:rsidR="00EB375B" w:rsidRPr="00EB375B">
              <w:rPr>
                <w:rFonts w:ascii="Times New Roman" w:eastAsia="Calibri" w:hAnsi="Times New Roman" w:cs="Times New Roman"/>
                <w:b w:val="0"/>
                <w:i/>
                <w:iCs/>
                <w:szCs w:val="20"/>
                <w:vertAlign w:val="superscript"/>
              </w:rPr>
              <w:t>5)</w:t>
            </w:r>
            <w:r w:rsidRPr="00EB375B">
              <w:rPr>
                <w:rFonts w:ascii="Times New Roman" w:eastAsia="Calibri" w:hAnsi="Times New Roman" w:cs="Times New Roman"/>
                <w:b w:val="0"/>
                <w:i/>
                <w:iCs/>
                <w:szCs w:val="20"/>
              </w:rPr>
              <w:t xml:space="preserve"> </w:t>
            </w:r>
            <w:hyperlink r:id="rId12" w:history="1">
              <w:r w:rsidRPr="00EB375B">
                <w:rPr>
                  <w:rFonts w:ascii="Times New Roman" w:eastAsia="Calibri" w:hAnsi="Times New Roman" w:cs="Times New Roman"/>
                  <w:b w:val="0"/>
                  <w:i/>
                  <w:iCs/>
                  <w:color w:val="0000FF" w:themeColor="hyperlink"/>
                  <w:szCs w:val="20"/>
                  <w:u w:val="single"/>
                </w:rPr>
                <w:t>Muis.pknstan@gmail.com</w:t>
              </w:r>
            </w:hyperlink>
            <w:r w:rsidRPr="00EB375B">
              <w:rPr>
                <w:rFonts w:ascii="Times New Roman" w:eastAsia="Calibri" w:hAnsi="Times New Roman" w:cs="Times New Roman"/>
                <w:b w:val="0"/>
                <w:i/>
                <w:iCs/>
                <w:szCs w:val="20"/>
              </w:rPr>
              <w:t xml:space="preserve">    </w:t>
            </w:r>
          </w:p>
          <w:p w:rsidR="00FE58DC" w:rsidRPr="00EB375B" w:rsidRDefault="00FE58DC" w:rsidP="004F3260">
            <w:pPr>
              <w:autoSpaceDE w:val="0"/>
              <w:autoSpaceDN w:val="0"/>
              <w:adjustRightInd w:val="0"/>
              <w:jc w:val="center"/>
              <w:rPr>
                <w:rFonts w:ascii="Times New Roman" w:eastAsia="Calibri" w:hAnsi="Times New Roman" w:cs="Times New Roman"/>
                <w:b w:val="0"/>
                <w:i/>
                <w:iCs/>
                <w:szCs w:val="20"/>
              </w:rPr>
            </w:pPr>
          </w:p>
          <w:p w:rsidR="009E2290"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1,2,3</w:t>
            </w:r>
            <w:r w:rsidR="00373B88" w:rsidRPr="00EB375B">
              <w:rPr>
                <w:rFonts w:ascii="Times New Roman" w:hAnsi="Times New Roman" w:cs="Times New Roman"/>
                <w:b w:val="0"/>
                <w:i/>
                <w:iCs/>
                <w:szCs w:val="20"/>
                <w:lang w:val="en-US"/>
              </w:rPr>
              <w:t xml:space="preserve">Maritime Institute </w:t>
            </w:r>
            <w:r w:rsidR="00373B88" w:rsidRPr="00EB375B">
              <w:rPr>
                <w:rFonts w:ascii="Times New Roman" w:hAnsi="Times New Roman" w:cs="Times New Roman"/>
                <w:b w:val="0"/>
                <w:i/>
                <w:iCs/>
                <w:szCs w:val="20"/>
              </w:rPr>
              <w:t xml:space="preserve">of </w:t>
            </w:r>
            <w:r w:rsidR="00373B88" w:rsidRPr="00EB375B">
              <w:rPr>
                <w:rFonts w:ascii="Times New Roman" w:hAnsi="Times New Roman" w:cs="Times New Roman"/>
                <w:b w:val="0"/>
                <w:i/>
                <w:iCs/>
                <w:szCs w:val="20"/>
                <w:lang w:val="en-US"/>
              </w:rPr>
              <w:t>Jakarta (S</w:t>
            </w:r>
            <w:r w:rsidR="00373B88" w:rsidRPr="00EB375B">
              <w:rPr>
                <w:rFonts w:ascii="Times New Roman" w:hAnsi="Times New Roman" w:cs="Times New Roman"/>
                <w:b w:val="0"/>
                <w:i/>
                <w:iCs/>
                <w:szCs w:val="20"/>
              </w:rPr>
              <w:t xml:space="preserve">ekolah </w:t>
            </w:r>
            <w:r w:rsidR="00373B88" w:rsidRPr="00EB375B">
              <w:rPr>
                <w:rFonts w:ascii="Times New Roman" w:hAnsi="Times New Roman" w:cs="Times New Roman"/>
                <w:b w:val="0"/>
                <w:i/>
                <w:iCs/>
                <w:szCs w:val="20"/>
                <w:lang w:val="en-US"/>
              </w:rPr>
              <w:t>T</w:t>
            </w:r>
            <w:r w:rsidR="00373B88" w:rsidRPr="00EB375B">
              <w:rPr>
                <w:rFonts w:ascii="Times New Roman" w:hAnsi="Times New Roman" w:cs="Times New Roman"/>
                <w:b w:val="0"/>
                <w:i/>
                <w:iCs/>
                <w:szCs w:val="20"/>
              </w:rPr>
              <w:t xml:space="preserve">inggi </w:t>
            </w:r>
            <w:r w:rsidR="00373B88" w:rsidRPr="00EB375B">
              <w:rPr>
                <w:rFonts w:ascii="Times New Roman" w:hAnsi="Times New Roman" w:cs="Times New Roman"/>
                <w:b w:val="0"/>
                <w:i/>
                <w:iCs/>
                <w:szCs w:val="20"/>
                <w:lang w:val="en-US"/>
              </w:rPr>
              <w:t>I</w:t>
            </w:r>
            <w:r w:rsidR="00373B88" w:rsidRPr="00EB375B">
              <w:rPr>
                <w:rFonts w:ascii="Times New Roman" w:hAnsi="Times New Roman" w:cs="Times New Roman"/>
                <w:b w:val="0"/>
                <w:i/>
                <w:iCs/>
                <w:szCs w:val="20"/>
              </w:rPr>
              <w:t xml:space="preserve">lmu </w:t>
            </w:r>
            <w:r w:rsidR="00373B88" w:rsidRPr="00EB375B">
              <w:rPr>
                <w:rFonts w:ascii="Times New Roman" w:hAnsi="Times New Roman" w:cs="Times New Roman"/>
                <w:b w:val="0"/>
                <w:i/>
                <w:iCs/>
                <w:szCs w:val="20"/>
                <w:lang w:val="en-US"/>
              </w:rPr>
              <w:t>P</w:t>
            </w:r>
            <w:r w:rsidR="00373B88" w:rsidRPr="00EB375B">
              <w:rPr>
                <w:rFonts w:ascii="Times New Roman" w:hAnsi="Times New Roman" w:cs="Times New Roman"/>
                <w:b w:val="0"/>
                <w:i/>
                <w:iCs/>
                <w:szCs w:val="20"/>
              </w:rPr>
              <w:t xml:space="preserve">elayaran - </w:t>
            </w:r>
            <w:r w:rsidR="00373B88" w:rsidRPr="00EB375B">
              <w:rPr>
                <w:rFonts w:ascii="Times New Roman" w:hAnsi="Times New Roman" w:cs="Times New Roman"/>
                <w:b w:val="0"/>
                <w:i/>
                <w:iCs/>
                <w:szCs w:val="20"/>
                <w:lang w:val="en-US"/>
              </w:rPr>
              <w:t xml:space="preserve"> Jakarta)</w:t>
            </w:r>
          </w:p>
          <w:p w:rsidR="00EB375B"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4</w:t>
            </w:r>
            <w:r w:rsidRPr="00EB375B">
              <w:rPr>
                <w:rFonts w:ascii="Times New Roman" w:hAnsi="Times New Roman" w:cs="Times New Roman"/>
                <w:b w:val="0"/>
                <w:i/>
                <w:iCs/>
                <w:szCs w:val="20"/>
              </w:rPr>
              <w:t>Aviation Polytechnic of Palembang</w:t>
            </w:r>
            <w:bookmarkStart w:id="1" w:name="_GoBack"/>
            <w:bookmarkEnd w:id="1"/>
          </w:p>
          <w:p w:rsidR="003C5E0E" w:rsidRPr="00156D00" w:rsidRDefault="00EB375B" w:rsidP="00F6141E">
            <w:pPr>
              <w:autoSpaceDE w:val="0"/>
              <w:autoSpaceDN w:val="0"/>
              <w:adjustRightInd w:val="0"/>
              <w:jc w:val="center"/>
              <w:rPr>
                <w:rFonts w:ascii="Times New Roman" w:hAnsi="Times New Roman" w:cs="Times New Roman"/>
                <w:b w:val="0"/>
                <w:color w:val="000000" w:themeColor="text1"/>
                <w:sz w:val="20"/>
                <w:szCs w:val="20"/>
              </w:rPr>
            </w:pPr>
            <w:r w:rsidRPr="00E45EE9">
              <w:rPr>
                <w:rFonts w:ascii="Times New Roman" w:hAnsi="Times New Roman" w:cs="Times New Roman"/>
                <w:b w:val="0"/>
                <w:i/>
                <w:iCs/>
                <w:color w:val="000000" w:themeColor="text1"/>
                <w:szCs w:val="20"/>
                <w:vertAlign w:val="superscript"/>
              </w:rPr>
              <w:t>5</w:t>
            </w:r>
            <w:r w:rsidRPr="00E45EE9">
              <w:rPr>
                <w:rFonts w:ascii="Times New Roman" w:hAnsi="Times New Roman" w:cs="Times New Roman"/>
                <w:b w:val="0"/>
                <w:i/>
                <w:iCs/>
                <w:color w:val="000000" w:themeColor="text1"/>
                <w:szCs w:val="20"/>
              </w:rPr>
              <w:t>Politeknik Bisnis dan Pasar Modal</w:t>
            </w:r>
          </w:p>
        </w:tc>
      </w:tr>
    </w:tbl>
    <w:p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rsidR="008D0AEE" w:rsidRPr="00156D00"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1E325F">
          <w:footerReference w:type="default" r:id="rId13"/>
          <w:type w:val="continuous"/>
          <w:pgSz w:w="11906" w:h="16838"/>
          <w:pgMar w:top="1134" w:right="1134" w:bottom="1134" w:left="1134" w:header="709" w:footer="709" w:gutter="0"/>
          <w:cols w:space="708"/>
          <w:docGrid w:linePitch="360"/>
        </w:sect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56D00">
        <w:rPr>
          <w:rFonts w:ascii="Times New Roman" w:eastAsia="Calibri" w:hAnsi="Times New Roman" w:cs="Times New Roman"/>
          <w:b/>
          <w:bCs/>
        </w:rPr>
        <w:lastRenderedPageBreak/>
        <w:t>INTRODUCTION</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(Plaza-Hernández et al.,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Within the realm of maritime training,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serve as the guiding framework, 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overview","type":"article-journal","volume":"26"},"uris":["http://www.mendeley.com/documents/?uuid=d299914b-b300-4e8f-b5fe-848e2881423c"]}],"mendeley":{"formattedCitation":"(Christodoulou-Varotsi &amp; Pentsov, 2008; Young, 1995)","plainTextFormattedCitation":"(Christodoulou-Varotsi &amp; Pentsov, 2008; Young, 1995)","previouslyFormattedCitation":"(Christodoulou-Varotsi &amp; Pentsov, 2008; Young, 1995)"},"properties":{"noteIndex":0},"schema":"https://github.com/citation-style-language/schema/raw/master/csl-citation.json"}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(Christodoulou-Varotsi &amp; Pentsov, 2008; Young, 1995)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Aligned with these global standards, maritime institutes, marine schools, and vocational institutions have </w:t>
      </w:r>
      <w:proofErr w:type="spellStart"/>
      <w:r w:rsidRPr="00156D00">
        <w:rPr>
          <w:rFonts w:ascii="Times New Roman" w:eastAsia="Calibri" w:hAnsi="Times New Roman" w:cs="Times New Roman"/>
          <w:bCs/>
          <w:lang w:val="en-ID"/>
        </w:rPr>
        <w:t>endeavored</w:t>
      </w:r>
      <w:proofErr w:type="spellEnd"/>
      <w:r w:rsidRPr="00156D00">
        <w:rPr>
          <w:rFonts w:ascii="Times New Roman" w:eastAsia="Calibri" w:hAnsi="Times New Roman" w:cs="Times New Roman"/>
          <w:bCs/>
          <w:lang w:val="en-ID"/>
        </w:rPr>
        <w:t xml:space="preserve"> to develop programs that not only meet but exceed these stipulated benchmarks. Central to this </w:t>
      </w:r>
      <w:proofErr w:type="spellStart"/>
      <w:r w:rsidRPr="00156D00">
        <w:rPr>
          <w:rFonts w:ascii="Times New Roman" w:eastAsia="Calibri" w:hAnsi="Times New Roman" w:cs="Times New Roman"/>
          <w:bCs/>
          <w:lang w:val="en-ID"/>
        </w:rPr>
        <w:t>endeavor</w:t>
      </w:r>
      <w:proofErr w:type="spellEnd"/>
      <w:r w:rsidRPr="00156D00">
        <w:rPr>
          <w:rFonts w:ascii="Times New Roman" w:eastAsia="Calibri" w:hAnsi="Times New Roman" w:cs="Times New Roman"/>
          <w:bCs/>
          <w:lang w:val="en-ID"/>
        </w:rPr>
        <w:t xml:space="preserve"> is the integration of simulation-based learning, recognized for its ability to replicate real-world scenarios in a controlled environment, facilitating experiential learning and skills development.</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information","type":"article","volume":"8"},"uris":["http://www.mendeley.com/documents/?uuid=3e9b1f76-25aa-44af-83e8-de9d6caa14b9"]}],"mendeley":{"formattedCitation":"(Bitar &amp; Alismail, 2022)","plainTextFormattedCitation":"(Bitar &amp; Alismail, 2022)","previouslyFormattedCitation":"(Bitar &amp; Alismail, 2022)"},"properties":{"noteIndex":0},"schema":"https://github.com/citation-style-language/schema/raw/master/csl-citation.json"}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(Bitar &amp; Alismail, 2022)</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As such, this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comprehensive evaluation of SBL within the context of maritime education, focusing on its implementation and impact on cadet learning outcomes. Through qualitative research methodologies and descriptive analysis, this study seeks to elucidate the strengths, limitations, and potential areas for 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Research","type":"article"},"uris":["http://www.mendeley.com/documents/?uuid=13ff6bb0-ec05-4675-b44f-8dc717c4d3eb"]}],"mendeley":{"formattedCitation":"(Sarıcan &amp; GÜNEŞ, 2021)","plainTextFormattedCitation":"(Sarıcan &amp; GÜNEŞ, 2021)","previouslyFormattedCitation":"(Sarıcan &amp; GÜNEŞ,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(Sarıcan &amp; GÜNEŞ,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Firstly, it aims to provide empirical insights </w:t>
      </w:r>
      <w:r w:rsidRPr="00156D00">
        <w:rPr>
          <w:rFonts w:ascii="Times New Roman" w:eastAsia="Calibri" w:hAnsi="Times New Roman" w:cs="Times New Roman"/>
          <w:bCs/>
          <w:lang w:val="en-ID"/>
        </w:rPr>
        <w:lastRenderedPageBreak/>
        <w:t xml:space="preserve">into the effectiveness of simulation-based learning as a pedagogical tool in maritime education. By examining the experiences of cadets undergoing vocational practice or internships, this study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assess the extent to which SBL contributes to the enhancement of cadet proficiency, knowledge acquisition, and overall preparedness for real-world maritime challenges. Moreover, by situating the research within the broader context of IMO-STCW regulations, the study seeks to offer practical recommendations for optimizing the integration of SBL within existing maritime training curricula.</w:t>
      </w:r>
    </w:p>
    <w:p w:rsidR="00DA1E36"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this research seeks to contribute to the ongoing discourse surrounding SBL in maritime education, thereby enriching theoretical frameworks and informing pedagogical practices. 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discourse","type":"article-journal","volume":"4"},"uris":["http://www.mendeley.com/documents/?uuid=28c40df1-8b37-408f-bf3f-2ae7b04c7277"]}],"mendeley":{"formattedCitation":"(Franceschi, 2014)","plainTextFormattedCitation":"(Franceschi, 2014)","previouslyFormattedCitation":"(Franceschi, 2014)"},"properties":{"noteIndex":0},"schema":"https://github.com/citation-style-language/schema/raw/master/csl-citation.json"}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(Franceschi, 2014)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T</w:t>
      </w:r>
      <w:r w:rsidRPr="00156D00">
        <w:rPr>
          <w:rFonts w:ascii="Times New Roman" w:eastAsia="Calibri" w:hAnsi="Times New Roman" w:cs="Times New Roman"/>
          <w:bCs/>
          <w:lang w:val="en-ID"/>
        </w:rPr>
        <w:t xml:space="preserve">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critical evaluation of simulation-based learning in maritime training, leveraging qualitative research methodologies to explore its efficacy, strengths, and limitations. By aligning with the standards set forth by the IMO-STCW regulations, this study seeks to provide empirical insights into the impact of SBL on cadet learning outcomes, while also contributing to theoretical discourse and pedagogical practices within the maritime education domain.</w:t>
      </w:r>
    </w:p>
    <w:p w:rsidR="00B4144E" w:rsidRPr="00156D00"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56D00"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lang w:val="en-US"/>
        </w:rPr>
        <w:t>MET</w:t>
      </w:r>
      <w:r w:rsidR="001E325F" w:rsidRPr="00156D00">
        <w:rPr>
          <w:rFonts w:ascii="Times New Roman" w:eastAsia="Calibri" w:hAnsi="Times New Roman" w:cs="Times New Roman"/>
          <w:b/>
          <w:bCs/>
        </w:rPr>
        <w:t>HOD</w:t>
      </w:r>
      <w:r w:rsidR="00762A79" w:rsidRPr="00156D00">
        <w:rPr>
          <w:rFonts w:ascii="Times New Roman" w:eastAsia="Calibri" w:hAnsi="Times New Roman" w:cs="Times New Roman"/>
          <w:b/>
          <w:bCs/>
        </w:rPr>
        <w:tab/>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Kualitatif","type":"book"},"uris":["http://www.mendeley.com/documents/?uuid=40aed27f-85fc-454e-80c7-3031799830c4"]}],"mendeley":{"formattedCitation":"(Council, 2013; Sarosa, 2021)","plainTextFormattedCitation":"(Council, 2013; Sarosa, 2021)","previouslyFormattedCitation":"(Council, 2013; Sarosa,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(Council, 2013; Sarosa,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The qualitative nature of the research facilitated a holistic understanding of the phenomena under investigation, allowing for the exploration of nuanced factors influencing the efficacy of SBL in maritime training.</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(Padgett, 2016)</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design","type":"chapter"},"uris":["http://www.mendeley.com/documents/?uuid=11bd684d-4994-4ef4-8f86-6b412f8a34ef"]}],"mendeley":{"formattedCitation":"(Creswell &amp; Clark, 2011)","plainTextFormattedCitation":"(Creswell &amp; Clark, 2011)","previouslyFormattedCitation":"(Creswell &amp; Clark, 2011)"},"properties":{"noteIndex":0},"schema":"https://github.com/citation-style-language/schema/raw/master/csl-citation.json"}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(Creswell &amp; Clark, 2011)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w:t>
      </w:r>
      <w:proofErr w:type="spellStart"/>
      <w:r w:rsidRPr="00156D00">
        <w:rPr>
          <w:rFonts w:ascii="Times New Roman" w:eastAsia="Calibri" w:hAnsi="Times New Roman" w:cs="Times New Roman"/>
          <w:bCs/>
          <w:lang w:val="en-ID"/>
        </w:rPr>
        <w:t>behaviors</w:t>
      </w:r>
      <w:proofErr w:type="spellEnd"/>
      <w:r w:rsidRPr="00156D00">
        <w:rPr>
          <w:rFonts w:ascii="Times New Roman" w:eastAsia="Calibri" w:hAnsi="Times New Roman" w:cs="Times New Roman"/>
          <w:bCs/>
          <w:lang w:val="en-ID"/>
        </w:rPr>
        <w:t>,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sounds?","type":"article-journal","volume":"10"},"uris":["http://www.mendeley.com/documents/?uuid=29326c30-142c-4928-8a87-e78e7a8a7169"]}],"mendeley":{"formattedCitation":"(Castleberry &amp; Nolen, 2018)","plainTextFormattedCitation":"(Castleberry &amp; Nolen, 2018)","previouslyFormattedCitation":"(Castleberry &amp; Nolen, 2018)"},"properties":{"noteIndex":0},"schema":"https://github.com/citation-style-language/schema/raw/master/csl-citation.json"}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(Castleberry &amp; Nolen, 2018)</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Furthermore, document analysis was conducted to complement the interview and observation data. Relevant 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emerging themes, ensuring the credibility and trustworthiness of findings.</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RESULT AND DISCUSSION</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lastRenderedPageBreak/>
        <w:t>3.1. Result</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are organized into several themes, each highlighting different aspects of the cadets' experiences with SBL.</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interactive simulation environments in facilitating meaningful learning experiences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while SBL offers valuable learning opportunities, addressing technical and instructional challenges is essential for optimizing its effectiveness.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4: Instructor Support and Facilitation</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w:t>
      </w:r>
      <w:proofErr w:type="spellStart"/>
      <w:r w:rsidRPr="00156D00">
        <w:rPr>
          <w:rFonts w:ascii="Times New Roman" w:eastAsia="Calibri" w:hAnsi="Times New Roman" w:cs="Times New Roman"/>
          <w:bCs/>
          <w:lang w:val="en-ID"/>
        </w:rPr>
        <w:t>onboard</w:t>
      </w:r>
      <w:proofErr w:type="spellEnd"/>
      <w:r w:rsidRPr="00156D00">
        <w:rPr>
          <w:rFonts w:ascii="Times New Roman" w:eastAsia="Calibri" w:hAnsi="Times New Roman" w:cs="Times New Roman"/>
          <w:bCs/>
          <w:lang w:val="en-ID"/>
        </w:rPr>
        <w:t xml:space="preserve"> vessels.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1: Perceived Effectiveness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8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Acquiring practical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Decision-making under pressure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75%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Realism and immersion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90%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Engagement and interactivity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Confidence in applying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Preparedness for real-world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55%</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2: Challenges and Limitations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4"/>
        <w:gridCol w:w="39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Challenge/Limitation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Effectiveness of debriefing sessions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40%</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Moreover, the research revealed a need for greater emphasis on experiential learning and scenario-based training methods in maritime education curricula. Traditional instructional approaches often prioritize theoretical instruction over practical application, leading to </w:t>
      </w:r>
      <w:proofErr w:type="gramStart"/>
      <w:r w:rsidRPr="00156D00">
        <w:rPr>
          <w:rFonts w:ascii="Times New Roman" w:eastAsia="Calibri" w:hAnsi="Times New Roman" w:cs="Times New Roman"/>
          <w:bCs/>
          <w:lang w:val="en-ID"/>
        </w:rPr>
        <w:t>a disconnect</w:t>
      </w:r>
      <w:proofErr w:type="gramEnd"/>
      <w:r w:rsidRPr="00156D00">
        <w:rPr>
          <w:rFonts w:ascii="Times New Roman" w:eastAsia="Calibri" w:hAnsi="Times New Roman" w:cs="Times New Roman"/>
          <w:bCs/>
          <w:lang w:val="en-ID"/>
        </w:rPr>
        <w:t xml:space="preserve">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highlighted the importance of aligning maritime education programs with international standards and regulatory requirements, such as those set forth by the IMO-STCW. Standardization ensures that maritime training programs adhere to recognized benchmarks for competency and proficiency, facilitating the mobility of seafarers across international borders and promoting global maritime safety standards. Therefore, there is a need for simulation-based training programs to align with the competencies outlined in the IMO-STCW regulations, thereby ensuring that cadets receive comprehensive and standardized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7"/>
        <w:gridCol w:w="4013"/>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lastRenderedPageBreak/>
              <w:t>Research Need</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Implications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Demand for practical, hands-on learning experiences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Bridge gap between theory and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Emphasis on experiential learning and scenario-based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Enhance readiness for real-world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Alignment with international standards and regulatory requirements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 competency and proficiency</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4: Alignment of Simulation-Based Learning with International Maritime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3"/>
        <w:gridCol w:w="4777"/>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Alignment with International Standards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 of realistic maritime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Promotes competency and proficiency</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Hands-on practice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Facilitates experiential learning</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Competency-based assessment methodologies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Ensures readiness for professional practice</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he second findings of the research underscore the importance of aligning Simulation-Based Learning (SBL) with the needs and professional requirements of the maritime industry, as outlined by international standards and regulations. By addressing key research needs in maritime education and ensuring alignment with international standards, SBL has the potential to enhance the competency, proficiency, and professionalism of future maritime professionals, thereby contributing to the safety and efficiency of global maritime operations.</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 xml:space="preserve">The findings of the research provide valuable insights into the efficacy of Simulation-Based Learning (SBL) in maritime training and its alignment with the needs and professional standards of the maritime industry. In this discussion, we </w:t>
      </w:r>
      <w:proofErr w:type="spellStart"/>
      <w:r w:rsidR="00156D00" w:rsidRPr="00156D00">
        <w:rPr>
          <w:rFonts w:ascii="Times New Roman" w:eastAsia="Calibri" w:hAnsi="Times New Roman" w:cs="Times New Roman"/>
          <w:bCs/>
          <w:lang w:val="en-ID"/>
        </w:rPr>
        <w:t>analyze</w:t>
      </w:r>
      <w:proofErr w:type="spellEnd"/>
      <w:r w:rsidR="00156D00" w:rsidRPr="00156D00">
        <w:rPr>
          <w:rFonts w:ascii="Times New Roman" w:eastAsia="Calibri" w:hAnsi="Times New Roman" w:cs="Times New Roman"/>
          <w:bCs/>
          <w:lang w:val="en-ID"/>
        </w:rPr>
        <w:t xml:space="preserve"> the implications of these findings, explore their significance for maritime education and training, and consider avenues for future research and practice.</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industry","type":"paper-conference"},"uris":["http://www.mendeley.com/documents/?uuid=d9db06d6-f094-44a3-9b38-0b2cfd91e9e3"]}],"mendeley":{"formattedCitation":"(Holland &amp; Holland, 2014; Plaza-Hernández et al., 2021)","plainTextFormattedCitation":"(Holland &amp; Holland, 2014; Plaza-Hernández et al., 2021)","previouslyFormattedCitation":"(Holland &amp; Holland, 2014; Plaza-Hernández et 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(Holland &amp; Holland, 2014; Plaza-Hernández et 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 research findings also shed light on the alignment of Simulation-Based Learning (SBL) with international standards and professional requirements in the maritime industry. By incorporating competency-based assessment methodologies and emphasizing practical skills development, SBL aligns with the principles outlined in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seafarers","type":"paper-conference"},"uris":["http://www.mendeley.com/documents/?uuid=2f84309f-4e05-4536-aaed-698bd69507f9"]}],"mendeley":{"formattedCitation":"(Ghosh et al., 2014)","plainTextFormattedCitation":"(Ghosh et al., 2014)","previouslyFormattedCitation":"(Ghosh et al., 2014)"},"properties":{"noteIndex":0},"schema":"https://github.com/citation-style-language/schema/raw/master/csl-citation.json"}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(Ghosh et al., 2014)</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Secondly, the research highlights the need for ongoing support and professional development for instructors involved in delivering simulation-based training. Effective debriefing sessions, clear 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Moreover,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context","type":"article-journal","volume":"28"},"uris":["http://www.mendeley.com/documents/?uuid=4d290a36-5fa2-4930-97e5-114f33bf5314"]}],"mendeley":{"formattedCitation":"(Aurigi &amp; Odendaal, 2021)","plainTextFormattedCitation":"(Aurigi &amp; Odendaal,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(Aurigi &amp; Odendaal,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CONCLUSION</w:t>
      </w:r>
    </w:p>
    <w:p w:rsid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156D00">
        <w:rPr>
          <w:rFonts w:ascii="Times New Roman" w:eastAsia="Calibri" w:hAnsi="Times New Roman" w:cs="Times New Roman"/>
          <w:bCs/>
        </w:rPr>
        <w:t>his research has provided valuable insights into the efficacy of Simulation-Based Learning (SBL) in maritime training and its alignment with international standards and professional requirements. Through qualitative analysis of the experiences and perceptions of 30 cadets undergoing vocational practice or internships, several key findings have emerged.</w:t>
      </w:r>
      <w:r>
        <w:rPr>
          <w:rFonts w:ascii="Times New Roman" w:eastAsia="Calibri" w:hAnsi="Times New Roman" w:cs="Times New Roman"/>
          <w:bCs/>
        </w:rPr>
        <w:t xml:space="preserve"> </w:t>
      </w:r>
      <w:r w:rsidRPr="00156D00">
        <w:rPr>
          <w:rFonts w:ascii="Times New Roman" w:eastAsia="Calibri" w:hAnsi="Times New Roman" w:cs="Times New Roman"/>
          <w:bCs/>
        </w:rPr>
        <w:t>Firstly, Simulation-Based Learning (SBL) was found to be highly effective in enhancing cadets' learning experience and skill development. The immersive and realistic nature of simulation activities facilitated active engagement, decision-making under pressure, and practical skill acquisition. Despite some challenges and limitations, including technical issues with simulators and the fidelity of simulations, the overall perceived effectiveness of SBL was high among cadets.</w:t>
      </w:r>
      <w:r>
        <w:rPr>
          <w:rFonts w:ascii="Times New Roman" w:eastAsia="Calibri" w:hAnsi="Times New Roman" w:cs="Times New Roman"/>
          <w:bCs/>
        </w:rPr>
        <w:t xml:space="preserve"> </w:t>
      </w:r>
      <w:r w:rsidRPr="00156D00">
        <w:rPr>
          <w:rFonts w:ascii="Times New Roman" w:eastAsia="Calibri" w:hAnsi="Times New Roman" w:cs="Times New Roman"/>
          <w:bCs/>
        </w:rPr>
        <w:t>Secondly, the research highlighted the importance of aligning maritime education and training programs with international standards and regulatory requirements, such as those outlined by the International Maritime Organization (IMO) - Standards of Training, Certification, and Watchkeeping (STCW). By incorporating competency-based assessment methodologies and emphasizing practical skills development, SBL aligns with the principles set forth in the STCW regulations, ensuring that cadets receive comprehensive and standardized training.</w:t>
      </w:r>
    </w:p>
    <w:p w:rsidR="00F5577B"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rPr>
        <w:t>Moving forward,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r w:rsidRPr="00156D00">
        <w:rPr>
          <w:rFonts w:ascii="Times New Roman" w:eastAsia="Calibri" w:hAnsi="Times New Roman" w:cs="Times New Roman"/>
          <w:bCs/>
        </w:rPr>
        <w:t>Simulation-Based Learning (SBL) holds significant promise for enhancing maritime education and training, providing cadets with realistic, immersive, and experiential learning experiences. By addressing key challenges and leveraging the benefits of SBL, educators can better prepare cadets for the challenges of real-world maritime operations, thereby contributing to the safety and efficiency of global maritime transportation.</w:t>
      </w:r>
    </w:p>
    <w:p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56D00"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56D00">
        <w:rPr>
          <w:rFonts w:ascii="Times New Roman" w:eastAsia="Calibri" w:hAnsi="Times New Roman" w:cs="Times New Roman"/>
          <w:b/>
          <w:bCs/>
        </w:rPr>
        <w:t>REFERENCES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F12311">
        <w:rPr>
          <w:rFonts w:ascii="Times New Roman" w:hAnsi="Times New Roman" w:cs="Times New Roman"/>
          <w:noProof/>
          <w:szCs w:val="24"/>
        </w:rPr>
        <w:t xml:space="preserve">Aurigi, A., &amp; Odendaal, N. (2021). From “smart in the box” to “smart in the city”: Rethinking the socially </w:t>
      </w:r>
      <w:r w:rsidRPr="00F12311">
        <w:rPr>
          <w:rFonts w:ascii="Times New Roman" w:hAnsi="Times New Roman" w:cs="Times New Roman"/>
          <w:noProof/>
          <w:szCs w:val="24"/>
        </w:rPr>
        <w:lastRenderedPageBreak/>
        <w:t xml:space="preserve">sustainable smart city in context. </w:t>
      </w:r>
      <w:r w:rsidRPr="00F12311">
        <w:rPr>
          <w:rFonts w:ascii="Times New Roman" w:hAnsi="Times New Roman" w:cs="Times New Roman"/>
          <w:i/>
          <w:iCs/>
          <w:noProof/>
          <w:szCs w:val="24"/>
        </w:rPr>
        <w:t>Journal of Urban Technology</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28</w:t>
      </w:r>
      <w:r w:rsidRPr="00F12311">
        <w:rPr>
          <w:rFonts w:ascii="Times New Roman" w:hAnsi="Times New Roman" w:cs="Times New Roman"/>
          <w:noProof/>
          <w:szCs w:val="24"/>
        </w:rPr>
        <w:t>(1–2), 55–70.</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Bitar, H., &amp; Alismail, S. (2022). Exploring enablers and inhibitors of eHealth educational tools: The needs of women searching for HPV and cervical cancer information. In </w:t>
      </w:r>
      <w:r w:rsidRPr="00F12311">
        <w:rPr>
          <w:rFonts w:ascii="Times New Roman" w:hAnsi="Times New Roman" w:cs="Times New Roman"/>
          <w:i/>
          <w:iCs/>
          <w:noProof/>
          <w:szCs w:val="24"/>
        </w:rPr>
        <w:t>DIGITAL HEALTH</w:t>
      </w:r>
      <w:r w:rsidRPr="00F12311">
        <w:rPr>
          <w:rFonts w:ascii="Times New Roman" w:hAnsi="Times New Roman" w:cs="Times New Roman"/>
          <w:noProof/>
          <w:szCs w:val="24"/>
        </w:rPr>
        <w:t xml:space="preserve"> (Vol. 8, p. 2147483647). SAGE Publications. https://doi.org/10.1177/20552076221130189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Castleberry, A., &amp; Nolen, A. (2018). Thematic analysis of qualitative research data: Is it as easy as it sounds? </w:t>
      </w:r>
      <w:r w:rsidRPr="00F12311">
        <w:rPr>
          <w:rFonts w:ascii="Times New Roman" w:hAnsi="Times New Roman" w:cs="Times New Roman"/>
          <w:i/>
          <w:iCs/>
          <w:noProof/>
          <w:szCs w:val="24"/>
        </w:rPr>
        <w:t>Currents in Pharmacy Teaching and Learning</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10</w:t>
      </w:r>
      <w:r w:rsidRPr="00F12311">
        <w:rPr>
          <w:rFonts w:ascii="Times New Roman" w:hAnsi="Times New Roman" w:cs="Times New Roman"/>
          <w:noProof/>
          <w:szCs w:val="24"/>
        </w:rPr>
        <w:t>(6), 807–815.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Christodoulou-Varotsi, I., &amp; Pentsov, D. A. (2008). The STCW Convention and related instruments. </w:t>
      </w:r>
      <w:r w:rsidRPr="00F12311">
        <w:rPr>
          <w:rFonts w:ascii="Times New Roman" w:hAnsi="Times New Roman" w:cs="Times New Roman"/>
          <w:i/>
          <w:iCs/>
          <w:noProof/>
          <w:szCs w:val="24"/>
        </w:rPr>
        <w:t>Maritime Work Law Fundamentals: Responsible Shipowners, Reliable Seafarers</w:t>
      </w:r>
      <w:r w:rsidRPr="00F12311">
        <w:rPr>
          <w:rFonts w:ascii="Times New Roman" w:hAnsi="Times New Roman" w:cs="Times New Roman"/>
          <w:noProof/>
          <w:szCs w:val="24"/>
        </w:rPr>
        <w:t>, 422–639.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Council, N. R. (2013). </w:t>
      </w:r>
      <w:r w:rsidRPr="00F12311">
        <w:rPr>
          <w:rFonts w:ascii="Times New Roman" w:hAnsi="Times New Roman" w:cs="Times New Roman"/>
          <w:i/>
          <w:iCs/>
          <w:noProof/>
          <w:szCs w:val="24"/>
        </w:rPr>
        <w:t>Frontiers in massive data analysis</w:t>
      </w:r>
      <w:r w:rsidRPr="00F12311">
        <w:rPr>
          <w:rFonts w:ascii="Times New Roman" w:hAnsi="Times New Roman" w:cs="Times New Roman"/>
          <w:noProof/>
          <w:szCs w:val="24"/>
        </w:rPr>
        <w:t>. National Academies Press.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Creswell, J. W., &amp; Clark, V. L. P. (2011). Choosing a mixed methods design. In </w:t>
      </w:r>
      <w:r w:rsidRPr="00F12311">
        <w:rPr>
          <w:rFonts w:ascii="Times New Roman" w:hAnsi="Times New Roman" w:cs="Times New Roman"/>
          <w:i/>
          <w:iCs/>
          <w:noProof/>
          <w:szCs w:val="24"/>
        </w:rPr>
        <w:t>Designing and Conducting Mixed Methods Research</w:t>
      </w:r>
      <w:r w:rsidRPr="00F12311">
        <w:rPr>
          <w:rFonts w:ascii="Times New Roman" w:hAnsi="Times New Roman" w:cs="Times New Roman"/>
          <w:noProof/>
          <w:szCs w:val="24"/>
        </w:rPr>
        <w:t xml:space="preserve"> (pp. 53–106). Sage Publications, Inc.</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Franceschi, D. (2014). The features of maritime English discourse. </w:t>
      </w:r>
      <w:r w:rsidRPr="00F12311">
        <w:rPr>
          <w:rFonts w:ascii="Times New Roman" w:hAnsi="Times New Roman" w:cs="Times New Roman"/>
          <w:i/>
          <w:iCs/>
          <w:noProof/>
          <w:szCs w:val="24"/>
        </w:rPr>
        <w:t>International Journal of English Linguistics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4</w:t>
      </w:r>
      <w:r w:rsidRPr="00F12311">
        <w:rPr>
          <w:rFonts w:ascii="Times New Roman" w:hAnsi="Times New Roman" w:cs="Times New Roman"/>
          <w:noProof/>
          <w:szCs w:val="24"/>
        </w:rPr>
        <w:t>(2), 78.</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Ghosh, S., Bowles, M., Ranmuthugala, D., &amp; Brooks, B. (2014). On a lookout beyond STCW: Seeking standards and context for the authentic assessment of seafarers. </w:t>
      </w:r>
      <w:r w:rsidRPr="00F12311">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F12311">
        <w:rPr>
          <w:rFonts w:ascii="Times New Roman" w:hAnsi="Times New Roman" w:cs="Times New Roman"/>
          <w:noProof/>
          <w:szCs w:val="24"/>
        </w:rPr>
        <w:t>, 77–86.</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Holland, J., &amp; Holland, J. (2014). Implications of shifting technology in education. </w:t>
      </w:r>
      <w:r w:rsidRPr="00F12311">
        <w:rPr>
          <w:rFonts w:ascii="Times New Roman" w:hAnsi="Times New Roman" w:cs="Times New Roman"/>
          <w:i/>
          <w:iCs/>
          <w:noProof/>
          <w:szCs w:val="24"/>
        </w:rPr>
        <w:t>TechTrends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58</w:t>
      </w:r>
      <w:r w:rsidRPr="00F12311">
        <w:rPr>
          <w:rFonts w:ascii="Times New Roman" w:hAnsi="Times New Roman" w:cs="Times New Roman"/>
          <w:noProof/>
          <w:szCs w:val="24"/>
        </w:rPr>
        <w:t>, 16–25.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Padgett, D. K. (2016). </w:t>
      </w:r>
      <w:r w:rsidRPr="00F12311">
        <w:rPr>
          <w:rFonts w:ascii="Times New Roman" w:hAnsi="Times New Roman" w:cs="Times New Roman"/>
          <w:i/>
          <w:iCs/>
          <w:noProof/>
          <w:szCs w:val="24"/>
        </w:rPr>
        <w:t>Qualitative methods in social work research</w:t>
      </w:r>
      <w:r w:rsidRPr="00F12311">
        <w:rPr>
          <w:rFonts w:ascii="Times New Roman" w:hAnsi="Times New Roman" w:cs="Times New Roman"/>
          <w:noProof/>
          <w:szCs w:val="24"/>
        </w:rPr>
        <w:t xml:space="preserve"> (Vol. 36). Sage publications.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F12311">
        <w:rPr>
          <w:rFonts w:ascii="Times New Roman" w:hAnsi="Times New Roman" w:cs="Times New Roman"/>
          <w:i/>
          <w:iCs/>
          <w:noProof/>
          <w:szCs w:val="24"/>
        </w:rPr>
        <w:t>Distributed Computing and Artificial Intelligence, Special Sessions, 17th International Conference</w:t>
      </w:r>
      <w:r w:rsidRPr="00F12311">
        <w:rPr>
          <w:rFonts w:ascii="Times New Roman" w:hAnsi="Times New Roman" w:cs="Times New Roman"/>
          <w:noProof/>
          <w:szCs w:val="24"/>
        </w:rPr>
        <w:t>, 107–115.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Sarıcan, E., &amp; GÜNEŞ, E. B. (2021). </w:t>
      </w:r>
      <w:r w:rsidRPr="00F12311">
        <w:rPr>
          <w:rFonts w:ascii="Times New Roman" w:hAnsi="Times New Roman" w:cs="Times New Roman"/>
          <w:i/>
          <w:iCs/>
          <w:noProof/>
          <w:szCs w:val="24"/>
        </w:rPr>
        <w:t>Developing Critical Thinking Skills in Elementary School Students Through Foreign Language Education: An Action Research</w:t>
      </w:r>
      <w:r w:rsidRPr="00F12311">
        <w:rPr>
          <w:rFonts w:ascii="Times New Roman" w:hAnsi="Times New Roman" w:cs="Times New Roman"/>
          <w:noProof/>
          <w:szCs w:val="24"/>
        </w:rPr>
        <w:t>. Center for Open Science. https://doi.org/10.31235/osf.io/3cjsv</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Sarosa, S. (2021). </w:t>
      </w:r>
      <w:r w:rsidRPr="00F12311">
        <w:rPr>
          <w:rFonts w:ascii="Times New Roman" w:hAnsi="Times New Roman" w:cs="Times New Roman"/>
          <w:i/>
          <w:iCs/>
          <w:noProof/>
          <w:szCs w:val="24"/>
        </w:rPr>
        <w:t>Analisis Data Penelitian Kualitatif</w:t>
      </w:r>
      <w:r w:rsidRPr="00F12311">
        <w:rPr>
          <w:rFonts w:ascii="Times New Roman" w:hAnsi="Times New Roman" w:cs="Times New Roman"/>
          <w:noProof/>
          <w:szCs w:val="24"/>
        </w:rPr>
        <w:t>. Pt Kanisius.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rPr>
      </w:pPr>
      <w:r w:rsidRPr="00F12311">
        <w:rPr>
          <w:rFonts w:ascii="Times New Roman" w:hAnsi="Times New Roman" w:cs="Times New Roman"/>
          <w:noProof/>
          <w:szCs w:val="24"/>
        </w:rPr>
        <w:t xml:space="preserve">Young, C. (1995). Comprehensive Revision of the STCW convention: an overview. </w:t>
      </w:r>
      <w:r w:rsidRPr="00F12311">
        <w:rPr>
          <w:rFonts w:ascii="Times New Roman" w:hAnsi="Times New Roman" w:cs="Times New Roman"/>
          <w:i/>
          <w:iCs/>
          <w:noProof/>
          <w:szCs w:val="24"/>
        </w:rPr>
        <w:t>J. Mar. L. &amp; Com.</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26</w:t>
      </w:r>
      <w:r w:rsidRPr="00F12311">
        <w:rPr>
          <w:rFonts w:ascii="Times New Roman" w:hAnsi="Times New Roman" w:cs="Times New Roman"/>
          <w:noProof/>
          <w:szCs w:val="24"/>
        </w:rPr>
        <w:t>, 1.</w:t>
      </w:r>
    </w:p>
    <w:p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FC" w:rsidRDefault="001E09FC" w:rsidP="00BD3DF2">
      <w:pPr>
        <w:spacing w:after="0" w:line="240" w:lineRule="auto"/>
      </w:pPr>
      <w:r>
        <w:separator/>
      </w:r>
    </w:p>
  </w:endnote>
  <w:endnote w:type="continuationSeparator" w:id="0">
    <w:p w:rsidR="001E09FC" w:rsidRDefault="001E09F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E45EE9">
          <w:rPr>
            <w:rFonts w:ascii="Times New Roman" w:hAnsi="Times New Roman" w:cs="Times New Roman"/>
            <w:noProof/>
            <w:sz w:val="24"/>
            <w:szCs w:val="24"/>
          </w:rPr>
          <w:t>2</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FC" w:rsidRDefault="001E09FC" w:rsidP="00BD3DF2">
      <w:pPr>
        <w:spacing w:after="0" w:line="240" w:lineRule="auto"/>
      </w:pPr>
      <w:r>
        <w:separator/>
      </w:r>
    </w:p>
  </w:footnote>
  <w:footnote w:type="continuationSeparator" w:id="0">
    <w:p w:rsidR="001E09FC" w:rsidRDefault="001E09FC"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014F"/>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09FC"/>
    <w:rsid w:val="001E325F"/>
    <w:rsid w:val="001F2277"/>
    <w:rsid w:val="0022228E"/>
    <w:rsid w:val="0023056D"/>
    <w:rsid w:val="00231CEA"/>
    <w:rsid w:val="0023691F"/>
    <w:rsid w:val="0024363E"/>
    <w:rsid w:val="00247F0A"/>
    <w:rsid w:val="002516A8"/>
    <w:rsid w:val="0025468B"/>
    <w:rsid w:val="00260B8B"/>
    <w:rsid w:val="00263DD8"/>
    <w:rsid w:val="00264A93"/>
    <w:rsid w:val="00275DB3"/>
    <w:rsid w:val="00280A4E"/>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D553D"/>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11F3F"/>
    <w:rsid w:val="00E20CEC"/>
    <w:rsid w:val="00E2165D"/>
    <w:rsid w:val="00E26505"/>
    <w:rsid w:val="00E45EE9"/>
    <w:rsid w:val="00E75F8F"/>
    <w:rsid w:val="00E80032"/>
    <w:rsid w:val="00E82193"/>
    <w:rsid w:val="00EA2970"/>
    <w:rsid w:val="00EA3E26"/>
    <w:rsid w:val="00EB375B"/>
    <w:rsid w:val="00EC0792"/>
    <w:rsid w:val="00EF1263"/>
    <w:rsid w:val="00EF2E8F"/>
    <w:rsid w:val="00F12311"/>
    <w:rsid w:val="00F13F36"/>
    <w:rsid w:val="00F20FE1"/>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8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is.pknst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masito@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B14727-E2D0-490B-8E55-DB569E62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7078</Words>
  <Characters>40347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2024-02-16T02:57:00Z</dcterms:created>
  <dcterms:modified xsi:type="dcterms:W3CDTF">2024-02-16T03:07:00Z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