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F215C" w14:textId="77777777" w:rsidR="003C5E0E" w:rsidRPr="00156D00" w:rsidRDefault="002930A1" w:rsidP="003C5E0E">
      <w:pPr>
        <w:spacing w:after="0" w:line="240" w:lineRule="auto"/>
        <w:jc w:val="center"/>
        <w:rPr>
          <w:rFonts w:ascii="Times New Roman" w:hAnsi="Times New Roman" w:cs="Times New Roman"/>
          <w:color w:val="FF0000"/>
          <w:lang w:val="en-US"/>
        </w:rPr>
      </w:pPr>
      <w:r w:rsidRPr="00156D00">
        <w:rPr>
          <w:rFonts w:ascii="Times New Roman" w:hAnsi="Times New Roman" w:cs="Times New Roman"/>
          <w:color w:val="FF0000"/>
          <w:lang w:val="en-US"/>
        </w:rPr>
        <w:t>http://ejournal.stipjakarta.</w:t>
      </w:r>
      <w:r w:rsidR="005E3175" w:rsidRPr="00156D00">
        <w:rPr>
          <w:rFonts w:ascii="Times New Roman" w:hAnsi="Times New Roman" w:cs="Times New Roman"/>
          <w:color w:val="FF0000"/>
          <w:lang w:val="en-US"/>
        </w:rPr>
        <w:t>ac</w:t>
      </w:r>
      <w:r w:rsidRPr="00156D00">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156D00" w14:paraId="4F3891A8"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0EF6F7B" w14:textId="77777777" w:rsidR="0025468B" w:rsidRPr="00156D00"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156D00">
              <w:rPr>
                <w:rFonts w:ascii="Times New Roman" w:hAnsi="Times New Roman" w:cs="Times New Roman"/>
                <w:noProof/>
                <w:lang w:val="en-ID" w:eastAsia="en-ID"/>
              </w:rPr>
              <w:drawing>
                <wp:inline distT="0" distB="0" distL="0" distR="0" wp14:anchorId="1D6745DD" wp14:editId="7BEACF2B">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5C94B034" w14:textId="77777777" w:rsidR="002930A1" w:rsidRPr="00156D0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56D00">
              <w:rPr>
                <w:rFonts w:ascii="Times New Roman" w:eastAsia="Calibri" w:hAnsi="Times New Roman" w:cs="Times New Roman"/>
                <w:b w:val="0"/>
                <w:i/>
                <w:color w:val="1F497D" w:themeColor="text2"/>
                <w:sz w:val="66"/>
                <w:szCs w:val="66"/>
                <w:lang w:val="en-US"/>
              </w:rPr>
              <w:t>METEOR</w:t>
            </w:r>
            <w:r w:rsidR="001C79A0" w:rsidRPr="00156D00">
              <w:rPr>
                <w:rFonts w:ascii="Times New Roman" w:eastAsia="Calibri" w:hAnsi="Times New Roman" w:cs="Times New Roman"/>
                <w:b w:val="0"/>
                <w:i/>
                <w:color w:val="1F497D" w:themeColor="text2"/>
                <w:sz w:val="66"/>
                <w:szCs w:val="66"/>
                <w:lang w:val="en-US"/>
              </w:rPr>
              <w:t xml:space="preserve"> STIP MARUNDA</w:t>
            </w:r>
          </w:p>
        </w:tc>
      </w:tr>
      <w:tr w:rsidR="00DB5E65" w:rsidRPr="00156D00" w14:paraId="3BB042F6"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4838C0E8" w14:textId="77777777" w:rsidR="0025468B" w:rsidRPr="00156D00"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eastAsia="id-ID"/>
              </w:rPr>
              <w:t>ISSN</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5F4B71" w:rsidRPr="00156D00">
              <w:rPr>
                <w:rFonts w:ascii="Times New Roman" w:hAnsi="Times New Roman" w:cs="Times New Roman"/>
                <w:b w:val="0"/>
                <w:noProof/>
                <w:sz w:val="16"/>
                <w:szCs w:val="16"/>
                <w:lang w:eastAsia="id-ID"/>
              </w:rPr>
              <w:t>1</w:t>
            </w:r>
            <w:r w:rsidR="005F4B71" w:rsidRPr="00156D00">
              <w:rPr>
                <w:rFonts w:ascii="Times New Roman" w:hAnsi="Times New Roman" w:cs="Times New Roman"/>
                <w:b w:val="0"/>
                <w:noProof/>
                <w:sz w:val="16"/>
                <w:szCs w:val="16"/>
                <w:lang w:val="en-US" w:eastAsia="id-ID"/>
              </w:rPr>
              <w:t xml:space="preserve">979 </w:t>
            </w:r>
            <w:r w:rsidR="002930A1" w:rsidRPr="00156D00">
              <w:rPr>
                <w:rFonts w:ascii="Times New Roman" w:hAnsi="Times New Roman" w:cs="Times New Roman"/>
                <w:b w:val="0"/>
                <w:noProof/>
                <w:sz w:val="16"/>
                <w:szCs w:val="16"/>
                <w:lang w:val="en-US" w:eastAsia="id-ID"/>
              </w:rPr>
              <w:t>–</w:t>
            </w:r>
            <w:r w:rsidR="005F4B71" w:rsidRPr="00156D00">
              <w:rPr>
                <w:rFonts w:ascii="Times New Roman" w:hAnsi="Times New Roman" w:cs="Times New Roman"/>
                <w:b w:val="0"/>
                <w:noProof/>
                <w:sz w:val="16"/>
                <w:szCs w:val="16"/>
                <w:lang w:val="en-US" w:eastAsia="id-ID"/>
              </w:rPr>
              <w:t xml:space="preserve"> 4746</w:t>
            </w:r>
          </w:p>
          <w:p w14:paraId="444D6D2E" w14:textId="77777777" w:rsidR="002930A1" w:rsidRPr="00156D00"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val="en-US" w:eastAsia="id-ID"/>
              </w:rPr>
              <w:t xml:space="preserve">EISSN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7E7A7A3C" w14:textId="28563763" w:rsidR="0025468B" w:rsidRPr="00156D00" w:rsidRDefault="008B6AFA"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8B6AFA">
              <w:rPr>
                <w:rFonts w:ascii="Times New Roman" w:eastAsia="Calibri" w:hAnsi="Times New Roman" w:cs="Times New Roman"/>
                <w:b/>
                <w:i/>
                <w:color w:val="1F497D" w:themeColor="text2"/>
                <w:sz w:val="24"/>
                <w:szCs w:val="24"/>
                <w:lang w:val="en-US"/>
              </w:rPr>
              <w:t>Maritime Institute of Jakarta</w:t>
            </w:r>
          </w:p>
        </w:tc>
      </w:tr>
      <w:bookmarkEnd w:id="0"/>
    </w:tbl>
    <w:p w14:paraId="7405B83F" w14:textId="77777777" w:rsidR="009C4BE4" w:rsidRPr="00156D00"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24" w:space="0" w:color="auto"/>
          <w:bottom w:val="single" w:sz="8" w:space="0" w:color="auto"/>
          <w:insideH w:val="single" w:sz="8" w:space="0" w:color="auto"/>
          <w:insideV w:val="single" w:sz="24" w:space="0" w:color="auto"/>
        </w:tblBorders>
        <w:tblLook w:val="04A0" w:firstRow="1" w:lastRow="0" w:firstColumn="1" w:lastColumn="0" w:noHBand="0" w:noVBand="1"/>
      </w:tblPr>
      <w:tblGrid>
        <w:gridCol w:w="9639"/>
      </w:tblGrid>
      <w:tr w:rsidR="003C5E0E" w:rsidRPr="00156D00" w14:paraId="4758909A" w14:textId="77777777" w:rsidTr="008B6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1A7A43C6" w14:textId="77777777" w:rsidR="002516A8" w:rsidRPr="00156D00" w:rsidRDefault="002516A8" w:rsidP="002516A8">
            <w:pPr>
              <w:jc w:val="center"/>
              <w:rPr>
                <w:rFonts w:ascii="Times New Roman" w:eastAsia="Calibri" w:hAnsi="Times New Roman" w:cs="Times New Roman"/>
                <w:sz w:val="28"/>
                <w:szCs w:val="32"/>
                <w:lang w:val="en-ID"/>
              </w:rPr>
            </w:pPr>
            <w:r w:rsidRPr="00156D00">
              <w:rPr>
                <w:rFonts w:ascii="Times New Roman" w:eastAsia="Calibri" w:hAnsi="Times New Roman" w:cs="Times New Roman"/>
                <w:sz w:val="28"/>
                <w:szCs w:val="32"/>
                <w:lang w:val="en-ID"/>
              </w:rPr>
              <w:t>Simulation-Based Learning in Maritime Training: Enhancing Competency and Preparedness</w:t>
            </w:r>
          </w:p>
          <w:p w14:paraId="5F86B235" w14:textId="77777777" w:rsidR="0094162E" w:rsidRPr="00FE58DC" w:rsidRDefault="0094162E" w:rsidP="00373B88">
            <w:pPr>
              <w:autoSpaceDE w:val="0"/>
              <w:autoSpaceDN w:val="0"/>
              <w:adjustRightInd w:val="0"/>
              <w:jc w:val="center"/>
              <w:rPr>
                <w:rFonts w:ascii="Times New Roman" w:hAnsi="Times New Roman" w:cs="Times New Roman"/>
                <w:b w:val="0"/>
                <w:iCs/>
                <w:szCs w:val="20"/>
              </w:rPr>
            </w:pPr>
          </w:p>
          <w:p w14:paraId="4D6F8CB2" w14:textId="77777777" w:rsidR="00FE58DC" w:rsidRPr="00EB375B" w:rsidRDefault="00EF66AF" w:rsidP="00FE58DC">
            <w:pPr>
              <w:autoSpaceDE w:val="0"/>
              <w:autoSpaceDN w:val="0"/>
              <w:adjustRightInd w:val="0"/>
              <w:jc w:val="center"/>
              <w:rPr>
                <w:rFonts w:ascii="Times New Roman" w:eastAsia="Calibri" w:hAnsi="Times New Roman" w:cs="Times New Roman"/>
                <w:b w:val="0"/>
                <w:i/>
                <w:iCs/>
                <w:szCs w:val="20"/>
              </w:rPr>
            </w:pPr>
            <w:r w:rsidRPr="00E26D16">
              <w:rPr>
                <w:rFonts w:ascii="Times New Roman" w:hAnsi="Times New Roman" w:cs="Times New Roman"/>
                <w:b w:val="0"/>
                <w:i/>
                <w:iCs/>
                <w:szCs w:val="20"/>
              </w:rPr>
              <w:t>Asman Ala</w:t>
            </w:r>
            <w:r>
              <w:rPr>
                <w:rFonts w:ascii="Times New Roman" w:hAnsi="Times New Roman" w:cs="Times New Roman"/>
                <w:b w:val="0"/>
                <w:i/>
                <w:iCs/>
                <w:szCs w:val="20"/>
                <w:vertAlign w:val="superscript"/>
              </w:rPr>
              <w:t>1</w:t>
            </w:r>
            <w:r w:rsidRPr="00EB375B">
              <w:rPr>
                <w:rFonts w:ascii="Times New Roman" w:hAnsi="Times New Roman" w:cs="Times New Roman"/>
                <w:b w:val="0"/>
                <w:i/>
                <w:iCs/>
                <w:szCs w:val="20"/>
                <w:vertAlign w:val="superscript"/>
              </w:rPr>
              <w:t>)</w:t>
            </w:r>
            <w:r w:rsidRPr="00EB375B">
              <w:rPr>
                <w:rFonts w:ascii="Times New Roman" w:hAnsi="Times New Roman" w:cs="Times New Roman"/>
                <w:b w:val="0"/>
                <w:i/>
                <w:iCs/>
                <w:szCs w:val="20"/>
              </w:rPr>
              <w:t xml:space="preserve">  </w:t>
            </w:r>
            <w:r w:rsidR="00C622CB">
              <w:rPr>
                <w:rFonts w:ascii="Times New Roman" w:hAnsi="Times New Roman" w:cs="Times New Roman"/>
                <w:b w:val="0"/>
                <w:i/>
                <w:iCs/>
                <w:szCs w:val="20"/>
              </w:rPr>
              <w:t xml:space="preserve">, </w:t>
            </w:r>
            <w:r>
              <w:rPr>
                <w:rFonts w:ascii="Times New Roman" w:hAnsi="Times New Roman" w:cs="Times New Roman"/>
                <w:b w:val="0"/>
                <w:i/>
                <w:iCs/>
                <w:szCs w:val="20"/>
              </w:rPr>
              <w:t>Nazilul Hamidi</w:t>
            </w:r>
            <w:r>
              <w:rPr>
                <w:rFonts w:ascii="Times New Roman" w:hAnsi="Times New Roman" w:cs="Times New Roman"/>
                <w:b w:val="0"/>
                <w:i/>
                <w:iCs/>
                <w:szCs w:val="20"/>
                <w:vertAlign w:val="superscript"/>
              </w:rPr>
              <w:t>2</w:t>
            </w:r>
            <w:r w:rsidR="00373B88" w:rsidRPr="00EB375B">
              <w:rPr>
                <w:rFonts w:ascii="Times New Roman" w:hAnsi="Times New Roman" w:cs="Times New Roman"/>
                <w:b w:val="0"/>
                <w:i/>
                <w:iCs/>
                <w:szCs w:val="20"/>
                <w:vertAlign w:val="superscript"/>
              </w:rPr>
              <w:t>)</w:t>
            </w:r>
            <w:r w:rsidR="00C622CB">
              <w:rPr>
                <w:rFonts w:ascii="Times New Roman" w:hAnsi="Times New Roman" w:cs="Times New Roman"/>
                <w:b w:val="0"/>
                <w:i/>
                <w:iCs/>
                <w:szCs w:val="20"/>
              </w:rPr>
              <w:t xml:space="preserve">, </w:t>
            </w:r>
            <w:r w:rsidR="00A20475" w:rsidRPr="00A20475">
              <w:rPr>
                <w:rFonts w:ascii="Times New Roman" w:eastAsia="Calibri" w:hAnsi="Times New Roman" w:cs="Times New Roman"/>
                <w:b w:val="0"/>
                <w:i/>
                <w:iCs/>
                <w:szCs w:val="20"/>
              </w:rPr>
              <w:t>Siska Yoniessa</w:t>
            </w:r>
            <w:r w:rsidR="004F3260" w:rsidRPr="00EB375B">
              <w:rPr>
                <w:rFonts w:ascii="Times New Roman" w:eastAsia="Calibri" w:hAnsi="Times New Roman" w:cs="Times New Roman"/>
                <w:b w:val="0"/>
                <w:i/>
                <w:iCs/>
                <w:szCs w:val="20"/>
                <w:vertAlign w:val="superscript"/>
              </w:rPr>
              <w:t>3)</w:t>
            </w:r>
            <w:r w:rsidR="00C622CB">
              <w:rPr>
                <w:rFonts w:ascii="Times New Roman" w:eastAsia="Calibri" w:hAnsi="Times New Roman" w:cs="Times New Roman"/>
                <w:b w:val="0"/>
                <w:i/>
                <w:iCs/>
                <w:szCs w:val="20"/>
              </w:rPr>
              <w:t xml:space="preserve">, </w:t>
            </w:r>
            <w:r w:rsidR="00FE58DC" w:rsidRPr="00EB375B">
              <w:rPr>
                <w:rFonts w:ascii="Times New Roman" w:eastAsia="Calibri" w:hAnsi="Times New Roman" w:cs="Times New Roman"/>
                <w:b w:val="0"/>
                <w:i/>
                <w:iCs/>
                <w:szCs w:val="20"/>
              </w:rPr>
              <w:t>Fitri Masito</w:t>
            </w:r>
            <w:r w:rsidR="00EB375B" w:rsidRPr="00EB375B">
              <w:rPr>
                <w:rFonts w:ascii="Times New Roman" w:eastAsia="Calibri" w:hAnsi="Times New Roman" w:cs="Times New Roman"/>
                <w:b w:val="0"/>
                <w:i/>
                <w:iCs/>
                <w:szCs w:val="20"/>
                <w:vertAlign w:val="superscript"/>
              </w:rPr>
              <w:t>4)</w:t>
            </w:r>
            <w:r w:rsidR="00FE58DC" w:rsidRPr="00EB375B">
              <w:rPr>
                <w:rFonts w:ascii="Times New Roman" w:eastAsia="Calibri" w:hAnsi="Times New Roman" w:cs="Times New Roman"/>
                <w:b w:val="0"/>
                <w:i/>
                <w:iCs/>
                <w:szCs w:val="20"/>
              </w:rPr>
              <w:t xml:space="preserve"> </w:t>
            </w:r>
            <w:r w:rsidR="00C622CB">
              <w:rPr>
                <w:rFonts w:ascii="Times New Roman" w:eastAsia="Calibri" w:hAnsi="Times New Roman" w:cs="Times New Roman"/>
                <w:b w:val="0"/>
                <w:i/>
                <w:iCs/>
                <w:szCs w:val="20"/>
              </w:rPr>
              <w:t xml:space="preserve">, </w:t>
            </w:r>
            <w:r w:rsidR="00FE58DC" w:rsidRPr="00EB375B">
              <w:rPr>
                <w:rFonts w:ascii="Times New Roman" w:eastAsia="Calibri" w:hAnsi="Times New Roman" w:cs="Times New Roman"/>
                <w:b w:val="0"/>
                <w:i/>
                <w:iCs/>
                <w:szCs w:val="20"/>
              </w:rPr>
              <w:t>Muhammad Abdul Muis</w:t>
            </w:r>
            <w:r w:rsidR="00EB375B" w:rsidRPr="00EB375B">
              <w:rPr>
                <w:rFonts w:ascii="Times New Roman" w:eastAsia="Calibri" w:hAnsi="Times New Roman" w:cs="Times New Roman"/>
                <w:b w:val="0"/>
                <w:i/>
                <w:iCs/>
                <w:szCs w:val="20"/>
                <w:vertAlign w:val="superscript"/>
              </w:rPr>
              <w:t>5)</w:t>
            </w:r>
            <w:r w:rsidR="00FE58DC" w:rsidRPr="00EB375B">
              <w:rPr>
                <w:rFonts w:ascii="Times New Roman" w:eastAsia="Calibri" w:hAnsi="Times New Roman" w:cs="Times New Roman"/>
                <w:b w:val="0"/>
                <w:i/>
                <w:iCs/>
                <w:szCs w:val="20"/>
              </w:rPr>
              <w:t xml:space="preserve"> </w:t>
            </w:r>
          </w:p>
          <w:p w14:paraId="4B7562A7" w14:textId="77777777" w:rsidR="009E2290" w:rsidRPr="00EB375B" w:rsidRDefault="00EB375B" w:rsidP="003C5E0E">
            <w:pPr>
              <w:autoSpaceDE w:val="0"/>
              <w:autoSpaceDN w:val="0"/>
              <w:adjustRightInd w:val="0"/>
              <w:jc w:val="center"/>
              <w:rPr>
                <w:rFonts w:ascii="Times New Roman" w:hAnsi="Times New Roman" w:cs="Times New Roman"/>
                <w:b w:val="0"/>
                <w:i/>
                <w:iCs/>
                <w:szCs w:val="20"/>
                <w:lang w:val="en-US"/>
              </w:rPr>
            </w:pPr>
            <w:r w:rsidRPr="00EB375B">
              <w:rPr>
                <w:rFonts w:ascii="Times New Roman" w:hAnsi="Times New Roman" w:cs="Times New Roman"/>
                <w:b w:val="0"/>
                <w:i/>
                <w:iCs/>
                <w:szCs w:val="20"/>
                <w:vertAlign w:val="superscript"/>
              </w:rPr>
              <w:t>1,2,3</w:t>
            </w:r>
            <w:r w:rsidR="00373B88" w:rsidRPr="00EB375B">
              <w:rPr>
                <w:rFonts w:ascii="Times New Roman" w:hAnsi="Times New Roman" w:cs="Times New Roman"/>
                <w:b w:val="0"/>
                <w:i/>
                <w:iCs/>
                <w:szCs w:val="20"/>
                <w:lang w:val="en-US"/>
              </w:rPr>
              <w:t xml:space="preserve">Maritime Institute </w:t>
            </w:r>
            <w:r w:rsidR="00373B88" w:rsidRPr="00EB375B">
              <w:rPr>
                <w:rFonts w:ascii="Times New Roman" w:hAnsi="Times New Roman" w:cs="Times New Roman"/>
                <w:b w:val="0"/>
                <w:i/>
                <w:iCs/>
                <w:szCs w:val="20"/>
              </w:rPr>
              <w:t xml:space="preserve">of </w:t>
            </w:r>
            <w:r w:rsidR="00373B88" w:rsidRPr="00EB375B">
              <w:rPr>
                <w:rFonts w:ascii="Times New Roman" w:hAnsi="Times New Roman" w:cs="Times New Roman"/>
                <w:b w:val="0"/>
                <w:i/>
                <w:iCs/>
                <w:szCs w:val="20"/>
                <w:lang w:val="en-US"/>
              </w:rPr>
              <w:t>Jakarta (S</w:t>
            </w:r>
            <w:r w:rsidR="00373B88" w:rsidRPr="00EB375B">
              <w:rPr>
                <w:rFonts w:ascii="Times New Roman" w:hAnsi="Times New Roman" w:cs="Times New Roman"/>
                <w:b w:val="0"/>
                <w:i/>
                <w:iCs/>
                <w:szCs w:val="20"/>
              </w:rPr>
              <w:t xml:space="preserve">ekolah </w:t>
            </w:r>
            <w:r w:rsidR="00373B88" w:rsidRPr="00EB375B">
              <w:rPr>
                <w:rFonts w:ascii="Times New Roman" w:hAnsi="Times New Roman" w:cs="Times New Roman"/>
                <w:b w:val="0"/>
                <w:i/>
                <w:iCs/>
                <w:szCs w:val="20"/>
                <w:lang w:val="en-US"/>
              </w:rPr>
              <w:t>T</w:t>
            </w:r>
            <w:r w:rsidR="00373B88" w:rsidRPr="00EB375B">
              <w:rPr>
                <w:rFonts w:ascii="Times New Roman" w:hAnsi="Times New Roman" w:cs="Times New Roman"/>
                <w:b w:val="0"/>
                <w:i/>
                <w:iCs/>
                <w:szCs w:val="20"/>
              </w:rPr>
              <w:t xml:space="preserve">inggi </w:t>
            </w:r>
            <w:r w:rsidR="00373B88" w:rsidRPr="00EB375B">
              <w:rPr>
                <w:rFonts w:ascii="Times New Roman" w:hAnsi="Times New Roman" w:cs="Times New Roman"/>
                <w:b w:val="0"/>
                <w:i/>
                <w:iCs/>
                <w:szCs w:val="20"/>
                <w:lang w:val="en-US"/>
              </w:rPr>
              <w:t>I</w:t>
            </w:r>
            <w:r w:rsidR="00373B88" w:rsidRPr="00EB375B">
              <w:rPr>
                <w:rFonts w:ascii="Times New Roman" w:hAnsi="Times New Roman" w:cs="Times New Roman"/>
                <w:b w:val="0"/>
                <w:i/>
                <w:iCs/>
                <w:szCs w:val="20"/>
              </w:rPr>
              <w:t xml:space="preserve">lmu </w:t>
            </w:r>
            <w:r w:rsidR="00373B88" w:rsidRPr="00EB375B">
              <w:rPr>
                <w:rFonts w:ascii="Times New Roman" w:hAnsi="Times New Roman" w:cs="Times New Roman"/>
                <w:b w:val="0"/>
                <w:i/>
                <w:iCs/>
                <w:szCs w:val="20"/>
                <w:lang w:val="en-US"/>
              </w:rPr>
              <w:t>P</w:t>
            </w:r>
            <w:r w:rsidR="00373B88" w:rsidRPr="00EB375B">
              <w:rPr>
                <w:rFonts w:ascii="Times New Roman" w:hAnsi="Times New Roman" w:cs="Times New Roman"/>
                <w:b w:val="0"/>
                <w:i/>
                <w:iCs/>
                <w:szCs w:val="20"/>
              </w:rPr>
              <w:t xml:space="preserve">elayaran - </w:t>
            </w:r>
            <w:r w:rsidR="00373B88" w:rsidRPr="00EB375B">
              <w:rPr>
                <w:rFonts w:ascii="Times New Roman" w:hAnsi="Times New Roman" w:cs="Times New Roman"/>
                <w:b w:val="0"/>
                <w:i/>
                <w:iCs/>
                <w:szCs w:val="20"/>
                <w:lang w:val="en-US"/>
              </w:rPr>
              <w:t xml:space="preserve"> Jakarta)</w:t>
            </w:r>
          </w:p>
          <w:p w14:paraId="71568046" w14:textId="77777777" w:rsidR="00EB375B" w:rsidRPr="00EB375B" w:rsidRDefault="00EB375B" w:rsidP="003C5E0E">
            <w:pPr>
              <w:autoSpaceDE w:val="0"/>
              <w:autoSpaceDN w:val="0"/>
              <w:adjustRightInd w:val="0"/>
              <w:jc w:val="center"/>
              <w:rPr>
                <w:rFonts w:ascii="Times New Roman" w:hAnsi="Times New Roman" w:cs="Times New Roman"/>
                <w:b w:val="0"/>
                <w:i/>
                <w:iCs/>
                <w:szCs w:val="20"/>
                <w:lang w:val="en-US"/>
              </w:rPr>
            </w:pPr>
            <w:r w:rsidRPr="00EB375B">
              <w:rPr>
                <w:rFonts w:ascii="Times New Roman" w:hAnsi="Times New Roman" w:cs="Times New Roman"/>
                <w:b w:val="0"/>
                <w:i/>
                <w:iCs/>
                <w:szCs w:val="20"/>
                <w:vertAlign w:val="superscript"/>
              </w:rPr>
              <w:t>4</w:t>
            </w:r>
            <w:r w:rsidRPr="00EB375B">
              <w:rPr>
                <w:rFonts w:ascii="Times New Roman" w:hAnsi="Times New Roman" w:cs="Times New Roman"/>
                <w:b w:val="0"/>
                <w:i/>
                <w:iCs/>
                <w:szCs w:val="20"/>
              </w:rPr>
              <w:t>Aviation Polytechnic of Palembang</w:t>
            </w:r>
          </w:p>
          <w:p w14:paraId="69E45A67" w14:textId="77777777" w:rsidR="003C5E0E" w:rsidRDefault="00EB375B" w:rsidP="00F6141E">
            <w:pPr>
              <w:autoSpaceDE w:val="0"/>
              <w:autoSpaceDN w:val="0"/>
              <w:adjustRightInd w:val="0"/>
              <w:jc w:val="center"/>
              <w:rPr>
                <w:rFonts w:ascii="Times New Roman" w:hAnsi="Times New Roman" w:cs="Times New Roman"/>
                <w:bCs w:val="0"/>
                <w:i/>
                <w:iCs/>
                <w:color w:val="000000" w:themeColor="text1"/>
                <w:sz w:val="20"/>
                <w:szCs w:val="20"/>
              </w:rPr>
            </w:pPr>
            <w:r w:rsidRPr="00EB375B">
              <w:rPr>
                <w:rFonts w:ascii="Times New Roman" w:hAnsi="Times New Roman" w:cs="Times New Roman"/>
                <w:b w:val="0"/>
                <w:i/>
                <w:iCs/>
                <w:color w:val="000000" w:themeColor="text1"/>
                <w:sz w:val="20"/>
                <w:szCs w:val="20"/>
                <w:vertAlign w:val="superscript"/>
              </w:rPr>
              <w:t>5</w:t>
            </w:r>
            <w:r w:rsidRPr="00EB375B">
              <w:rPr>
                <w:rFonts w:ascii="Times New Roman" w:hAnsi="Times New Roman" w:cs="Times New Roman"/>
                <w:b w:val="0"/>
                <w:i/>
                <w:iCs/>
                <w:color w:val="000000" w:themeColor="text1"/>
                <w:sz w:val="20"/>
                <w:szCs w:val="20"/>
              </w:rPr>
              <w:t>Politeknik Bisnis dan Pasar Modal</w:t>
            </w:r>
          </w:p>
          <w:p w14:paraId="08D5DA4E" w14:textId="77777777" w:rsidR="008B6AFA" w:rsidRDefault="008B6AFA" w:rsidP="00F6141E">
            <w:pPr>
              <w:autoSpaceDE w:val="0"/>
              <w:autoSpaceDN w:val="0"/>
              <w:adjustRightInd w:val="0"/>
              <w:jc w:val="center"/>
              <w:rPr>
                <w:rFonts w:ascii="Times New Roman" w:hAnsi="Times New Roman" w:cs="Times New Roman"/>
                <w:bCs w:val="0"/>
                <w:i/>
                <w:iCs/>
                <w:color w:val="000000" w:themeColor="text1"/>
                <w:sz w:val="20"/>
                <w:szCs w:val="20"/>
              </w:rPr>
            </w:pPr>
          </w:p>
          <w:p w14:paraId="141F781C" w14:textId="2FF898E7" w:rsidR="008B6AFA" w:rsidRPr="008B6AFA" w:rsidRDefault="008B6AFA" w:rsidP="00F6141E">
            <w:pPr>
              <w:autoSpaceDE w:val="0"/>
              <w:autoSpaceDN w:val="0"/>
              <w:adjustRightInd w:val="0"/>
              <w:jc w:val="center"/>
              <w:rPr>
                <w:rFonts w:ascii="TimesNewRomanPS-ItalicMT" w:hAnsi="TimesNewRomanPS-ItalicMT" w:cs="TimesNewRomanPS-ItalicMT"/>
                <w:b w:val="0"/>
                <w:i/>
                <w:iCs/>
                <w:lang w:val="en-US"/>
              </w:rPr>
            </w:pPr>
            <w:r>
              <w:rPr>
                <w:rFonts w:ascii="TimesNewRomanPS-ItalicMT" w:hAnsi="TimesNewRomanPS-ItalicMT" w:cs="TimesNewRomanPS-ItalicMT"/>
                <w:b w:val="0"/>
                <w:i/>
                <w:iCs/>
                <w:lang w:val="en-US"/>
              </w:rPr>
              <w:t>e</w:t>
            </w:r>
            <w:r w:rsidRPr="008B6AFA">
              <w:rPr>
                <w:rFonts w:ascii="TimesNewRomanPS-ItalicMT" w:hAnsi="TimesNewRomanPS-ItalicMT" w:cs="TimesNewRomanPS-ItalicMT"/>
                <w:b w:val="0"/>
                <w:i/>
                <w:iCs/>
                <w:lang w:val="en-US"/>
              </w:rPr>
              <w:t xml:space="preserve">mail: </w:t>
            </w:r>
            <w:hyperlink r:id="rId10" w:history="1">
              <w:r w:rsidRPr="008B6AFA">
                <w:rPr>
                  <w:rFonts w:ascii="TimesNewRomanPS-ItalicMT" w:hAnsi="TimesNewRomanPS-ItalicMT" w:cs="TimesNewRomanPS-ItalicMT"/>
                  <w:b w:val="0"/>
                  <w:i/>
                  <w:iCs/>
                  <w:lang w:val="en-US"/>
                </w:rPr>
                <w:t>asmanaufal2003@g.mail.com</w:t>
              </w:r>
            </w:hyperlink>
          </w:p>
          <w:p w14:paraId="1E83F4F1" w14:textId="5549BA02" w:rsidR="008B6AFA" w:rsidRPr="008B6AFA" w:rsidRDefault="008B6AFA" w:rsidP="00F6141E">
            <w:pPr>
              <w:autoSpaceDE w:val="0"/>
              <w:autoSpaceDN w:val="0"/>
              <w:adjustRightInd w:val="0"/>
              <w:jc w:val="center"/>
              <w:rPr>
                <w:rFonts w:ascii="Times New Roman" w:hAnsi="Times New Roman" w:cs="Times New Roman"/>
                <w:b w:val="0"/>
                <w:color w:val="000000" w:themeColor="text1"/>
                <w:sz w:val="20"/>
                <w:szCs w:val="20"/>
              </w:rPr>
            </w:pPr>
          </w:p>
        </w:tc>
      </w:tr>
      <w:tr w:rsidR="008B6AFA" w:rsidRPr="00156D00" w14:paraId="62EB5A27" w14:textId="77777777" w:rsidTr="008B6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5C170FC6" w14:textId="77777777" w:rsidR="008B6AFA" w:rsidRDefault="008B6AFA" w:rsidP="002516A8">
            <w:pPr>
              <w:jc w:val="center"/>
              <w:rPr>
                <w:rFonts w:ascii="Times New Roman" w:hAnsi="Times New Roman"/>
                <w:bCs w:val="0"/>
                <w:color w:val="000000"/>
                <w:lang w:val="en-US"/>
              </w:rPr>
            </w:pPr>
          </w:p>
          <w:p w14:paraId="530926D7" w14:textId="3A210C5C" w:rsidR="008B6AFA" w:rsidRDefault="008B6AFA" w:rsidP="002516A8">
            <w:pPr>
              <w:jc w:val="center"/>
              <w:rPr>
                <w:rFonts w:ascii="Times New Roman" w:hAnsi="Times New Roman"/>
                <w:bCs w:val="0"/>
                <w:color w:val="000000"/>
                <w:lang w:val="en-US"/>
              </w:rPr>
            </w:pPr>
            <w:r w:rsidRPr="008B6AFA">
              <w:rPr>
                <w:rFonts w:ascii="Times New Roman" w:hAnsi="Times New Roman"/>
                <w:b w:val="0"/>
                <w:color w:val="000000"/>
                <w:lang w:val="en-US"/>
              </w:rPr>
              <w:t xml:space="preserve">Submitted on : </w:t>
            </w:r>
            <w:r w:rsidR="002C0DF3">
              <w:rPr>
                <w:rFonts w:ascii="Times New Roman" w:hAnsi="Times New Roman"/>
                <w:b w:val="0"/>
                <w:color w:val="000000"/>
                <w:lang w:val="en-US"/>
              </w:rPr>
              <w:t>12</w:t>
            </w:r>
            <w:r w:rsidRPr="008B6AFA">
              <w:rPr>
                <w:rFonts w:ascii="Times New Roman" w:hAnsi="Times New Roman"/>
                <w:b w:val="0"/>
                <w:color w:val="000000"/>
                <w:lang w:val="en-US"/>
              </w:rPr>
              <w:t>/0</w:t>
            </w:r>
            <w:r w:rsidR="002C0DF3">
              <w:rPr>
                <w:rFonts w:ascii="Times New Roman" w:hAnsi="Times New Roman"/>
                <w:b w:val="0"/>
                <w:color w:val="000000"/>
                <w:lang w:val="en-US"/>
              </w:rPr>
              <w:t>2</w:t>
            </w:r>
            <w:r w:rsidRPr="008B6AFA">
              <w:rPr>
                <w:rFonts w:ascii="Times New Roman" w:hAnsi="Times New Roman"/>
                <w:b w:val="0"/>
                <w:color w:val="000000"/>
                <w:lang w:val="en-US"/>
              </w:rPr>
              <w:t xml:space="preserve">/2024    Revised : </w:t>
            </w:r>
            <w:r w:rsidR="002C0DF3">
              <w:rPr>
                <w:rFonts w:ascii="Times New Roman" w:hAnsi="Times New Roman"/>
                <w:b w:val="0"/>
                <w:color w:val="000000"/>
                <w:lang w:val="en-US"/>
              </w:rPr>
              <w:t>27</w:t>
            </w:r>
            <w:r w:rsidRPr="008B6AFA">
              <w:rPr>
                <w:rFonts w:ascii="Times New Roman" w:hAnsi="Times New Roman"/>
                <w:b w:val="0"/>
                <w:color w:val="000000"/>
                <w:lang w:val="en-US"/>
              </w:rPr>
              <w:t xml:space="preserve">/05/2024    Accepted : </w:t>
            </w:r>
            <w:r w:rsidR="002C0DF3">
              <w:rPr>
                <w:rFonts w:ascii="Times New Roman" w:hAnsi="Times New Roman"/>
                <w:b w:val="0"/>
                <w:color w:val="000000"/>
                <w:lang w:val="en-US"/>
              </w:rPr>
              <w:t>04</w:t>
            </w:r>
            <w:r w:rsidRPr="008B6AFA">
              <w:rPr>
                <w:rFonts w:ascii="Times New Roman" w:hAnsi="Times New Roman"/>
                <w:b w:val="0"/>
                <w:color w:val="000000"/>
                <w:lang w:val="en-US"/>
              </w:rPr>
              <w:t>/0</w:t>
            </w:r>
            <w:r w:rsidR="002C0DF3">
              <w:rPr>
                <w:rFonts w:ascii="Times New Roman" w:hAnsi="Times New Roman"/>
                <w:b w:val="0"/>
                <w:color w:val="000000"/>
                <w:lang w:val="en-US"/>
              </w:rPr>
              <w:t>6</w:t>
            </w:r>
            <w:r w:rsidRPr="008B6AFA">
              <w:rPr>
                <w:rFonts w:ascii="Times New Roman" w:hAnsi="Times New Roman"/>
                <w:b w:val="0"/>
                <w:color w:val="000000"/>
                <w:lang w:val="en-US"/>
              </w:rPr>
              <w:t>/2024</w:t>
            </w:r>
          </w:p>
          <w:p w14:paraId="7F39AE94" w14:textId="00F1ECD3" w:rsidR="008B6AFA" w:rsidRPr="008B6AFA" w:rsidRDefault="008B6AFA" w:rsidP="002516A8">
            <w:pPr>
              <w:jc w:val="center"/>
              <w:rPr>
                <w:rFonts w:ascii="Times New Roman" w:eastAsia="Calibri" w:hAnsi="Times New Roman" w:cs="Times New Roman"/>
                <w:szCs w:val="24"/>
                <w:lang w:val="en-ID"/>
              </w:rPr>
            </w:pPr>
          </w:p>
        </w:tc>
      </w:tr>
    </w:tbl>
    <w:p w14:paraId="60FC37A7" w14:textId="77777777" w:rsidR="008B6AFA" w:rsidRDefault="008B6AFA" w:rsidP="00635CBD">
      <w:pPr>
        <w:spacing w:after="0" w:line="240" w:lineRule="auto"/>
        <w:jc w:val="center"/>
        <w:rPr>
          <w:rFonts w:ascii="Times New Roman" w:hAnsi="Times New Roman" w:cs="Times New Roman"/>
          <w:b/>
          <w:i/>
          <w:color w:val="000000" w:themeColor="text1"/>
          <w:sz w:val="20"/>
          <w:szCs w:val="20"/>
        </w:rPr>
      </w:pPr>
    </w:p>
    <w:p w14:paraId="2BB02FA0" w14:textId="379818CD" w:rsidR="00F356F5" w:rsidRPr="00156D00" w:rsidRDefault="00E26505" w:rsidP="00635CBD">
      <w:pPr>
        <w:spacing w:after="0" w:line="240" w:lineRule="auto"/>
        <w:jc w:val="center"/>
        <w:rPr>
          <w:rFonts w:ascii="Times New Roman" w:hAnsi="Times New Roman" w:cs="Times New Roman"/>
          <w:b/>
          <w:i/>
          <w:color w:val="000000" w:themeColor="text1"/>
          <w:sz w:val="20"/>
          <w:szCs w:val="20"/>
        </w:rPr>
      </w:pPr>
      <w:r w:rsidRPr="00156D00">
        <w:rPr>
          <w:rFonts w:ascii="Times New Roman" w:hAnsi="Times New Roman" w:cs="Times New Roman"/>
          <w:b/>
          <w:i/>
          <w:color w:val="000000" w:themeColor="text1"/>
          <w:sz w:val="20"/>
          <w:szCs w:val="20"/>
        </w:rPr>
        <w:t>Abstract</w:t>
      </w:r>
    </w:p>
    <w:p w14:paraId="211FD223" w14:textId="77777777" w:rsidR="008D0AEE" w:rsidRDefault="002516A8" w:rsidP="008D0AEE">
      <w:pPr>
        <w:spacing w:after="0" w:line="240" w:lineRule="auto"/>
        <w:jc w:val="both"/>
        <w:rPr>
          <w:rFonts w:ascii="Times New Roman" w:eastAsia="Calibri" w:hAnsi="Times New Roman" w:cs="Times New Roman"/>
          <w:i/>
          <w:sz w:val="20"/>
          <w:szCs w:val="20"/>
        </w:rPr>
      </w:pPr>
      <w:r w:rsidRPr="00156D00">
        <w:rPr>
          <w:rFonts w:ascii="Times New Roman" w:eastAsia="Calibri" w:hAnsi="Times New Roman" w:cs="Times New Roman"/>
          <w:i/>
          <w:sz w:val="20"/>
          <w:szCs w:val="20"/>
        </w:rPr>
        <w:t>Simulation-Based Learning (SBL) is a pivotal component in maritime education, offering realistic and immersive experiences for cadets. This research critically evaluates SBL's efficacy among 30 cadets undergoing vocational practice or internships, aligning with International Maritime Organization (IMO) - Standards of Training, Certification, and Watchkeeping (STCW). Through qualitative analysis, SBL was found to significantly enhance cadets' competency, decision-making skills, and confidence in handling maritime challenges. Challenges such as technical issues and fidelity discrepancies were noted, underscoring the need for ongoing improvement. Furthermore, the study emphasizes the importance of aligning maritime education with international standards to ensure standardized and comprehensive training. The findings contribute to the discourse on SBL's role in maritime education, highlighting its potential to prepare cadets for real-world scenarios effectively.</w:t>
      </w:r>
    </w:p>
    <w:p w14:paraId="17F8EBD5" w14:textId="77777777" w:rsidR="008B6AFA" w:rsidRDefault="008B6AFA" w:rsidP="008D0AEE">
      <w:pPr>
        <w:spacing w:after="0" w:line="240" w:lineRule="auto"/>
        <w:jc w:val="both"/>
        <w:rPr>
          <w:rFonts w:ascii="Times New Roman" w:eastAsia="Calibri" w:hAnsi="Times New Roman" w:cs="Times New Roman"/>
          <w:i/>
          <w:sz w:val="20"/>
          <w:szCs w:val="20"/>
        </w:rPr>
      </w:pPr>
    </w:p>
    <w:p w14:paraId="4FC1AF34" w14:textId="546B4D3C" w:rsidR="008B6AFA" w:rsidRPr="00156D00" w:rsidRDefault="008B6AFA" w:rsidP="008B6AFA">
      <w:pPr>
        <w:spacing w:after="0" w:line="240" w:lineRule="auto"/>
        <w:jc w:val="center"/>
        <w:rPr>
          <w:rFonts w:ascii="Times New Roman" w:eastAsia="Calibri" w:hAnsi="Times New Roman" w:cs="Times New Roman"/>
          <w:i/>
          <w:sz w:val="20"/>
          <w:szCs w:val="20"/>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r>
        <w:rPr>
          <w:rFonts w:ascii="Times New Roman" w:eastAsia="Calibri" w:hAnsi="Times New Roman"/>
          <w:i/>
          <w:iCs/>
          <w:lang w:val="en-US"/>
        </w:rPr>
        <w:t>pISSN: 1979-4746</w:t>
      </w:r>
      <w:r>
        <w:rPr>
          <w:rFonts w:ascii="Times New Roman" w:eastAsia="Calibri" w:hAnsi="Times New Roman"/>
          <w:i/>
          <w:iCs/>
        </w:rPr>
        <w:t>, eISSN: 2685-4775</w:t>
      </w:r>
    </w:p>
    <w:p w14:paraId="5CCD475A" w14:textId="77777777" w:rsidR="00E26505" w:rsidRPr="00156D00"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56D00" w14:paraId="44F39E0E"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A374234" w14:textId="77777777" w:rsidR="003D1666" w:rsidRPr="00156D00" w:rsidRDefault="00E26505" w:rsidP="002516A8">
            <w:pPr>
              <w:autoSpaceDE w:val="0"/>
              <w:autoSpaceDN w:val="0"/>
              <w:adjustRightInd w:val="0"/>
              <w:ind w:left="-105"/>
              <w:jc w:val="both"/>
              <w:rPr>
                <w:rFonts w:ascii="Times New Roman" w:hAnsi="Times New Roman" w:cs="Times New Roman"/>
                <w:b w:val="0"/>
                <w:color w:val="000000" w:themeColor="text1"/>
                <w:sz w:val="20"/>
                <w:szCs w:val="20"/>
              </w:rPr>
            </w:pPr>
            <w:r w:rsidRPr="00156D00">
              <w:rPr>
                <w:rFonts w:ascii="Times New Roman" w:eastAsia="Calibri" w:hAnsi="Times New Roman" w:cs="Times New Roman"/>
                <w:b w:val="0"/>
                <w:i/>
                <w:sz w:val="20"/>
                <w:szCs w:val="20"/>
              </w:rPr>
              <w:t>Keywords</w:t>
            </w:r>
            <w:r w:rsidR="003D1666" w:rsidRPr="00156D00">
              <w:rPr>
                <w:rFonts w:ascii="Times New Roman" w:eastAsia="Calibri" w:hAnsi="Times New Roman" w:cs="Times New Roman"/>
                <w:b w:val="0"/>
                <w:i/>
                <w:sz w:val="20"/>
                <w:szCs w:val="20"/>
              </w:rPr>
              <w:t xml:space="preserve"> : </w:t>
            </w:r>
            <w:r w:rsidR="002516A8" w:rsidRPr="00156D00">
              <w:rPr>
                <w:rFonts w:ascii="Times New Roman" w:eastAsia="Calibri" w:hAnsi="Times New Roman" w:cs="Times New Roman"/>
                <w:b w:val="0"/>
                <w:i/>
                <w:sz w:val="20"/>
                <w:szCs w:val="20"/>
              </w:rPr>
              <w:t>Simulation-Based Learning, Maritime Training, Competency, International Standards, Vocational Practice</w:t>
            </w:r>
          </w:p>
        </w:tc>
      </w:tr>
    </w:tbl>
    <w:p w14:paraId="51035EC5" w14:textId="77777777" w:rsidR="00E26505" w:rsidRPr="00156D00"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14:paraId="095783B0" w14:textId="77777777" w:rsidR="00B6161E" w:rsidRPr="00156D00"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156D00" w:rsidSect="008B6AFA">
          <w:footerReference w:type="default" r:id="rId11"/>
          <w:type w:val="continuous"/>
          <w:pgSz w:w="11906" w:h="16838"/>
          <w:pgMar w:top="1134" w:right="1134" w:bottom="1134" w:left="1134" w:header="709" w:footer="709" w:gutter="0"/>
          <w:pgNumType w:start="95"/>
          <w:cols w:space="708"/>
          <w:docGrid w:linePitch="360"/>
        </w:sectPr>
      </w:pPr>
    </w:p>
    <w:p w14:paraId="7D639B6D" w14:textId="77777777" w:rsidR="00B53B02" w:rsidRPr="00ED6C87" w:rsidRDefault="001E325F" w:rsidP="008B6AFA">
      <w:pPr>
        <w:autoSpaceDE w:val="0"/>
        <w:autoSpaceDN w:val="0"/>
        <w:adjustRightInd w:val="0"/>
        <w:spacing w:after="0" w:line="240" w:lineRule="auto"/>
        <w:ind w:firstLine="426"/>
        <w:rPr>
          <w:rFonts w:ascii="Times New Roman" w:eastAsia="Calibri" w:hAnsi="Times New Roman" w:cs="Times New Roman"/>
          <w:b/>
          <w:bCs/>
          <w:lang w:val="en-US"/>
        </w:rPr>
      </w:pPr>
      <w:r w:rsidRPr="00ED6C87">
        <w:rPr>
          <w:rFonts w:ascii="Times New Roman" w:eastAsia="Calibri" w:hAnsi="Times New Roman" w:cs="Times New Roman"/>
          <w:b/>
          <w:bCs/>
        </w:rPr>
        <w:t>INTRODUCTION</w:t>
      </w:r>
    </w:p>
    <w:p w14:paraId="714E900B" w14:textId="77777777" w:rsidR="004F6862" w:rsidRDefault="002516A8"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Simulation-Based Learning (SBL) has emerged as a cornerstone in contemporary maritime education, offering a dynamic platform for the acquisition and refinement of critical skills necessary for navigating the complexities of the maritime industry</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6862">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[1]","plainTextFormattedCitation":"[1]","previouslyFormattedCitation":"[1]"},"properties":{"noteIndex":0},"schema":"https://github.com/citation-style-language/schema/raw/master/csl-citation.json"}</w:instrText>
      </w:r>
      <w:r w:rsidR="004F3260">
        <w:rPr>
          <w:rFonts w:ascii="Times New Roman" w:eastAsia="Calibri" w:hAnsi="Times New Roman" w:cs="Times New Roman"/>
          <w:bCs/>
        </w:rPr>
        <w:fldChar w:fldCharType="separate"/>
      </w:r>
      <w:r w:rsidR="00E26D16" w:rsidRPr="00E26D16">
        <w:rPr>
          <w:rFonts w:ascii="Times New Roman" w:eastAsia="Calibri" w:hAnsi="Times New Roman" w:cs="Times New Roman"/>
          <w:bCs/>
          <w:noProof/>
        </w:rPr>
        <w:t>[1]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As the maritime sector continues to evolve, driven by technological advancements and regulatory imperatives, the need for innovative educational approaches becomes increasingly pronounced</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ISSN":"2572-5084","author":[{"dropping-particle":"","family":"Autsadee","given":"Yuthana","non-dropping-particle":"","parse-names":false,"suffix":""},{"dropping-particle":"","family":"Jeevan","given":"Jagan","non-dropping-particle":"","parse-names":false,"suffix":""},{"dropping-particle":"Bin","family":"Mohd Salleh","given":"Nurul Haqimin","non-dropping-particle":"","parse-names":false,"suffix":""},{"dropping-particle":"Bin","family":"Othman","given":"Mohamad Rosni","non-dropping-particle":"","parse-names":false,"suffix":""}],"container-title":"Journal of International Maritime Safety, Environmental Affairs, and Shipping","id":"ITEM-1","issue":"4","issued":{"date-parts":[["2023"]]},"page":"2286409","publisher":"Taylor &amp; Francis","title":"Digital tools and challenges in human resource development and its potential within the maritime sector through bibliometric analysis","type":"article-journal","volume":"7"},"uris":["http://www.mendeley.com/documents/?uuid=7035ce27-a541-4346-9b7f-3cec5cfad395"]},{"id":"ITEM-2","itemData":{"DOI":"10.1093/oxfordhb/9780199336005.013.0039","ISBN":"9780199336005","abstract":"Maritime history embraces naval history, which is the relationship of human societies with the sea. Maritime history began to be recognized as a disciplinary field about half a century ago. In this context, archaeology is defined as the systematic study of past human life, behaviors, activities, and cultures using material remains and the relationships among them. Underwater archaeology defines archaeological activities carried out underwater and includes inland water activity. This article defines and underlines the distinctions between underwater archaeology, marine archaeology, and nautical archaeology. Maritime archaeology has undergone a boost in recent years. This article elucidates that both maritime archaeology and maritime history focus on the relationship between human societies and the maritime world, i.e., they have a common subject matter but have different theoretical and methodological perspectives. This is explained by a case study of the Pepper Wreck.","author":[{"dropping-particle":"","family":"Domingues","given":"Francisco C","non-dropping-particle":"","parse-names":false,"suffix":""}],"container-title":"The Oxford Handbook of Maritime Archaeology","editor":[{"dropping-particle":"","family":"Ford","given":"Ben","non-dropping-particle":"","parse-names":false,"suffix":""},{"dropping-particle":"","family":"Hamilton","given":"Donny L","non-dropping-particle":"","parse-names":false,"suffix":""},{"dropping-particle":"","family":"Catsambis","given":"Alexis","non-dropping-particle":"","parse-names":false,"suffix":""}],"id":"ITEM-2","issued":{"date-parts":[["2013","12","12"]]},"page":"0","publisher":"Oxford University Press","title":"907 Maritime History and Maritime Archaeology","type":"article"},"uris":["http://www.mendeley.com/documents/?uuid=88f43753-5c68-4d55-aa43-07ccc34a337c"]}],"mendeley":{"formattedCitation":"[2], [3]","plainTextFormattedCitation":"[2], [3]","previouslyFormattedCitation":"[2], [3]"},"properties":{"noteIndex":0},"schema":"https://github.com/citation-style-language/schema/raw/master/csl-citation.json"}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 [3]</w:t>
      </w:r>
      <w:r w:rsidR="0009456B">
        <w:rPr>
          <w:rFonts w:ascii="Times New Roman" w:eastAsia="Calibri" w:hAnsi="Times New Roman" w:cs="Times New Roman"/>
          <w:bCs/>
        </w:rPr>
        <w:fldChar w:fldCharType="end"/>
      </w:r>
      <w:r w:rsidRPr="00156D00">
        <w:rPr>
          <w:rFonts w:ascii="Times New Roman" w:eastAsia="Calibri" w:hAnsi="Times New Roman" w:cs="Times New Roman"/>
          <w:bCs/>
          <w:lang w:val="en-ID"/>
        </w:rPr>
        <w:t>. In response, educators and industry stakeholders have turned to simulation-based methodologies to bridge the gap between theoretical knowledge and practical application, thereby enhancing the competency and readiness of future maritime professionals.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Within the realm of maritime training, the International Maritime Organization (IMO) - Standards of Training, Certification, and Watchkeeping (STCW) regulations serve as the guiding framework, </w:t>
      </w:r>
      <w:r w:rsidRPr="00156D00">
        <w:rPr>
          <w:rFonts w:ascii="Times New Roman" w:eastAsia="Calibri" w:hAnsi="Times New Roman" w:cs="Times New Roman"/>
          <w:bCs/>
          <w:lang w:val="en-ID"/>
        </w:rPr>
        <w:t>outlining the minimum competency requirements for seafarers worldwide</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{"citationItems":[{"id":"ITEM-1","itemData":{"ISSN":"3540727507","author":[{"dropping-particle":"","family":"Christodoulou-Varotsi","given":"Iliana","non-dropping-particle":"","parse-names":false,"suffix":""},{"dropping-particle":"","family":"Pentsov","given":"Dmitry A","non-dropping-particle":"","parse-names":false,"suffix":""}],"container-title":"Maritime Work Law Fundamentals: Responsible Shipowners, Reliable Seafarers","id":"ITEM-1","issued":{"date-parts":[["2008"]]},"page":"422-639","publisher":"Springer","title":"The STCW Convention and related instruments","type":"article-journal"},"uris":["http://www.mendeley.com/documents/?uuid=944bbbf8-2e5a-4fe6-84c5-9503a15d4213"]},{"id":"ITEM-2","itemData":{"author":[{"dropping-particle":"","family":"Young","given":"Christopher","non-dropping-particle":"","parse-names":false,"suffix":""}],"container-title":"J. Mar. L. &amp; Com.","id":"ITEM-2","issued":{"date-parts":[["1995"]]},"page":"1","publisher":"HeinOnline","title":"Comprehensive Revision of the STCW convention: an overview","type":"article-journal","volume":"26"},"uris":["http://www.mendeley.com/documents/?uuid=d299914b-b300-4e8f-b5fe-848e2881423c"]}],"mendeley":{"formattedCitation":"[4], [5]","plainTextFormattedCitation":"[4], [5]","previouslyFormattedCitation":"[4], [5]"},"properties":{"noteIndex":0},"schema":"https://github.com/citation-style-language/schema/raw/master/csl-citation.json"}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[4], [5]</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w:t>
      </w:r>
      <w:r w:rsidR="004F6862" w:rsidRPr="004F6862">
        <w:rPr>
          <w:rFonts w:ascii="Times New Roman" w:eastAsia="Calibri" w:hAnsi="Times New Roman" w:cs="Times New Roman"/>
          <w:bCs/>
          <w:lang w:val="en-ID"/>
        </w:rPr>
        <w:t>Aligned with these global standards, maritime institutes, marine schools, and vocational institutions have endeavored to develop programs that not only meet but exceed these stipulated benchmarks.</w:t>
      </w:r>
    </w:p>
    <w:p w14:paraId="6DF8E21D" w14:textId="77777777" w:rsidR="004F6862" w:rsidRPr="004F6862" w:rsidRDefault="004F6862"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sidRPr="004F6862">
        <w:rPr>
          <w:rFonts w:ascii="Times New Roman" w:eastAsia="Calibri" w:hAnsi="Times New Roman" w:cs="Times New Roman"/>
          <w:bCs/>
          <w:lang w:val="en-ID"/>
        </w:rPr>
        <w:t xml:space="preserve"> Central to this endeavor is the integration of simulation-based learning, recognized for its ability to replicate real-world scenarios in a controlled environment, facilitating experiential learning and skills development. Simulation-based learning offers a unique opportunity for maritime cadets to immerse themselves in simulated maritime operations, allowing them to practice critical decision-making, problem-solving, and teamwork skills in a safe and controlled setting</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{"citationItems":[{"id":"ITEM-1","itemData":{"author":[{"dropping-particle":"","family":"Jamil","given":"Md Golam","non-dropping-particle":"","parse-names":false,"suffix":""},{"dropping-particle":"","family":"Isiaq","given":"Sakirulai Olufemi","non-dropping-particle":"","parse-names":false,"suffix":""}],"container-title":"International Journal of Educational Technology in Higher Education","id":"ITEM-1","issued":{"date-parts":[["2019"]]},"page":"1-21","publisher":"Springer","title":"Teaching technology with technology: approaches to bridging learning and teaching gaps in simulation-based programming education","type":"article-journal","volume":"16"},"uris":["http://www.mendeley.com/documents/?uuid=bd027c98-9381-4994-9048-8b1d524d87aa"]},{"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industry","type":"paper-conference"},"uris":["http://www.mendeley.com/documents/?uuid=d9db06d6-f094-44a3-9b38-0b2cfd91e9e3"]}],"mendeley":{"formattedCitation":"[1], [6]","plainTextFormattedCitation":"[1], [6]","previouslyFormattedCitation":"[1], [6]"},"properties":{"noteIndex":0},"schema":"https://github.com/citation-style-language/schema/raw/master/csl-citation.json"}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 [6]</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 xml:space="preserve">. Moreover, simulation-based learning can provide cadets with exposure to a wide range of scenarios, including emergency situations, adverse weather conditions, and navigational challenges, which may </w:t>
      </w:r>
      <w:r w:rsidRPr="004F6862">
        <w:rPr>
          <w:rFonts w:ascii="Times New Roman" w:eastAsia="Calibri" w:hAnsi="Times New Roman" w:cs="Times New Roman"/>
          <w:bCs/>
          <w:lang w:val="en-ID"/>
        </w:rPr>
        <w:lastRenderedPageBreak/>
        <w:t>be difficult to replicate in traditional classroom settings or onboard vessels. By engaging in realistic simulations, cadets can develop the confidence and competence needed to navigate complex maritime environments effectively</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ISSN":"1784663476","author":[{"dropping-particle":"","family":"Kidd","given":"Robert","non-dropping-particle":"","parse-names":false,"suffix":""},{"dropping-particle":"","family":"McCarthy","given":"Elizabeth","non-dropping-particle":"","parse-names":false,"suffix":""}],"container-title":"WIT Transactions on The Built Environment","id":"ITEM-1","issued":{"date-parts":[["2019"]]},"page":"221-230","publisher":"WIT Press","title":"Maritime education in the age of autonomy","type":"article-journal","volume":"187"},"uris":["http://www.mendeley.com/documents/?uuid=04189524-4042-4f0e-a457-33983aab1fbe"]},{"id":"ITEM-2","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-2","issued":{"date-parts":[["2020"]]},"publisher":"EDP Sciences","title":"Ensuring sustainable development of education of future maritime transport professionals by means of network interaction","type":"article-journal"},"uris":["http://www.mendeley.com/documents/?uuid=44f455a1-48e9-4d75-8ff4-2d5f528da6f9"]}],"mendeley":{"formattedCitation":"[7], [8]","plainTextFormattedCitation":"[7], [8]","previouslyFormattedCitation":"[7], [8]"},"properties":{"noteIndex":0},"schema":"https://github.com/citation-style-language/schema/raw/master/csl-citation.json"}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[7], [8]</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w:t>
      </w:r>
    </w:p>
    <w:p w14:paraId="000776F0" w14:textId="77777777" w:rsidR="004F6862" w:rsidRPr="004F6862" w:rsidRDefault="004F6862"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sidRPr="004F6862">
        <w:rPr>
          <w:rFonts w:ascii="Times New Roman" w:eastAsia="Calibri" w:hAnsi="Times New Roman" w:cs="Times New Roman"/>
          <w:bCs/>
          <w:lang w:val="en-ID"/>
        </w:rPr>
        <w:t>The efficacy of simulation-based learning in maritime training warrants critical examination, particularly in light of its increasing prevalence and significance within the educational landscape</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{"citationItems":[{"id":"ITEM-1","itemData":{"author":[{"dropping-particle":"","family":"Jamil","given":"Md Golam","non-dropping-particle":"","parse-names":false,"suffix":""},{"dropping-particle":"","family":"Bhuiyan","given":"Zakirul","non-dropping-particle":"","parse-names":false,"suffix":""}],"container-title":"International Journal of Educational Technology in Higher Education","id":"ITEM-1","issued":{"date-parts":[["2021"]]},"page":"1-22","publisher":"Springer","title":"Deep learning elements in maritime simulation programmes: a pedagogical exploration of learner experiences","type":"article-journal","volume":"18"},"uris":["http://www.mendeley.com/documents/?uuid=374c9a3f-7a3e-4e73-820a-bd25e926c200"]},{"id":"ITEM-2","itemData":{"author":[{"dropping-particle":"","family":"Jamil","given":"Md Golam","non-dropping-particle":"","parse-names":false,"suffix":""},{"dropping-particle":"","family":"Isiaq","given":"Sakirulai Olufemi","non-dropping-particle":"","parse-names":false,"suffix":""}],"container-title":"International Journal of Educational Technology in Higher Education","id":"ITEM-2","issued":{"date-parts":[["2019"]]},"page":"1-21","publisher":"Springer","title":"Teaching technology with technology: approaches to bridging learning and teaching gaps in simulation-based programming education","type":"article-journal","volume":"16"},"uris":["http://www.mendeley.com/documents/?uuid=bd027c98-9381-4994-9048-8b1d524d87aa"]}],"mendeley":{"formattedCitation":"[6], [9]","plainTextFormattedCitation":"[6], [9]","previouslyFormattedCitation":"[6], [9]"},"properties":{"noteIndex":0},"schema":"https://github.com/citation-style-language/schema/raw/master/csl-citation.json"}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[6], [9]</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 While simulation-based learning offers numerous benefits, including enhanced engagement, improved retention of knowledge, and greater transferability of skills, its effectiveness may vary depending on various factors, such as the quality of simulation software, the fidelity of simulation scenarios, and the level of instructor support and guidance. Moreover, the integration of simulation-based learning into maritime curricula may pose logistical and resource challenges for educational institutions, including the need for specialized equipment, software licenses, and trained instructors</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{"citationItems":[{"id":"ITEM-1","itemData":{"DOI":"10.4018/978-1-7998-3022-1.ch061","abstract":"This chapter describes a contemporary profile of teacher candidates. While some education majors enter the program with requisite knowledge, intellectual curiosity, a willingness to push themselves, and the ability to accept critique in order to learn how to become a teaching professional, many of their peers enter professional coursework lacking critical thinking and other skills needed for the profession. The author provides a rationale for why professional dispositions and linguistic knowledge are critical for education majors, especially Pre-K-8 teachers—those grade levels where language learning is critical for subsequent school success. In doing so, this chapter suggests how teacher preparation curricula and pedagogies might be reconsidered.","author":[{"dropping-particle":"","family":"Ellsworth","given":"Ann M","non-dropping-particle":"","parse-names":false,"suffix":""}],"container-title":"Research Anthology on Developing Critical Thinking Skills in Students","id":"ITEM-1","issued":{"date-parts":[["2021"]]},"page":"1183-1207","publisher":"IGI Global","title":"A New Generation of Teachers","type":"article"},"uris":["http://www.mendeley.com/documents/?uuid=80d6c403-fd65-4906-a30a-e27b3e670384"]},{"id":"ITEM-2","itemData":{"DOI":"10.4018/978-1-7998-3022-1.ch057","abstract":"The importance of critical thinking in 21st century knowledge economy is no longer disputable. Yet, its cultivation amongst learners remains a challenge - even to the most accomplished teachers. This chapter examines the perceptions of critical thinking held by faculty members of a university's college of education in Uganda. The study findings reveal that faculty members have different perceptions of what critical thinking is, its importance, and how it is cultivated amongst graduate students. Additionally, the faculty reported several challenges while cultivating critical thinking among students. It was thus concluded that the differences in faculty members' perceptions of critical thinking were responsible for its inadequate cultivation amongst students, other factors notwithstanding. Therefore, the study recommends for the formal inclusion of critical thinking in the curricula of graduate programs in order to strengthen its cultivation among students.","author":[{"dropping-particle":"","family":"Onen","given":"David","non-dropping-particle":"","parse-names":false,"suffix":""}],"container-title":"Research Anthology on Developing Critical Thinking Skills in Students","id":"ITEM-2","issued":{"date-parts":[["2021"]]},"page":"1104-1119","publisher":"IGI Global","title":"Cultivating Critical Thinking Amongst University Graduate Students","type":"article"},"uris":["http://www.mendeley.com/documents/?uuid=4b38cfde-85b8-4198-8e55-7054253acdd0"]}],"mendeley":{"formattedCitation":"[10], [11]","plainTextFormattedCitation":"[10], [11]","previouslyFormattedCitation":"[10], [11]"},"properties":{"noteIndex":0},"schema":"https://github.com/citation-style-language/schema/raw/master/csl-citation.json"}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[10], [11]</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 Additionally, there is a need for ongoing research and evaluation to assess the long-term impact of simulation-based learning on cadets' performance, competency attainment, and professional development within the maritime industry.</w:t>
      </w:r>
    </w:p>
    <w:p w14:paraId="396A872A" w14:textId="77777777" w:rsidR="004F6862" w:rsidRDefault="004F6862"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C</w:t>
      </w:r>
      <w:r w:rsidRPr="004F6862">
        <w:rPr>
          <w:rFonts w:ascii="Times New Roman" w:eastAsia="Calibri" w:hAnsi="Times New Roman" w:cs="Times New Roman"/>
          <w:bCs/>
          <w:lang w:val="en-ID"/>
        </w:rPr>
        <w:t>ritical examination of simulation-based learning in maritime training should also consider its alignment with broader educational objectives and industry standards</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ISSN":"2364-4575","author":[{"dropping-particle":"","family":"Gavalas","given":"Dimitris","non-dropping-particle":"","parse-names":false,"suffix":""},{"dropping-particle":"","family":"Syriopoulos","given":"Theodoros","non-dropping-particle":"","parse-names":false,"suffix":""},{"dropping-particle":"","family":"Roumpis","given":"Efthimios","non-dropping-particle":"","parse-names":false,"suffix":""}],"container-title":"Journal of Shipping and Trade","id":"ITEM-2","issue":"1","issued":{"date-parts":[["2022"]]},"page":"11","publisher":"Springer","title":"Digital adoption and efficiency in the maritime industry","type":"article-journal","volume":"7"},"uris":["http://www.mendeley.com/documents/?uuid=8db6c0d0-2f24-42fa-9ac4-66419bd5fc4e"]}],"mendeley":{"formattedCitation":"[12], [13]","plainTextFormattedCitation":"[12], [13]","previouslyFormattedCitation":"[12], [13]"},"properties":{"noteIndex":0},"schema":"https://github.com/citation-style-language/schema/raw/master/csl-citation.json"}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[12], [13]</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 While simulation-based learning can provide valuable hands-on experience and skills development opportunities, it must be integrated strategically within maritime curricula to ensure alignment with regulatory requirements, industry best practices, and evolving technological trends. This requires collaboration between educational institutions, industry stakeholders, and regulatory bodies to establish clear guidelines, standards, and accreditation criteria for simulation-based training programmes in the maritime sector</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ISSN":"1784663476","author":[{"dropping-particle":"","family":"Kidd","given":"Robert","non-dropping-particle":"","parse-names":false,"suffix":""},{"dropping-particle":"","family":"McCarthy","given":"Elizabeth","non-dropping-particle":"","parse-names":false,"suffix":""}],"container-title":"WIT Transactions on The Built Environment","id":"ITEM-1","issued":{"date-parts":[["2019"]]},"page":"221-230","publisher":"WIT Press","title":"Maritime education in the age of autonomy","type":"article-journal","volume":"187"},"uris":["http://www.mendeley.com/documents/?uuid=04189524-4042-4f0e-a457-33983aab1fbe"]},{"id":"ITEM-2","itemData":{"DOI":"10.1080/00074918.2020.1854079","ISSN":"14727234","abstract":"As the Covid-19 crisis deepened in 2020, President Joko Widodo announced that Indonesia should prepare for the ‘new normal’. But when social distancing restrictions were relaxed in June to encourage economic recovery, the virus was not yet contained in Indonesia. Since then, the rate of infection has been rising faster than in many neighbouring countries. The pandemic has hit the economy hard, with a 5.3% reduction in GDP in the second quarter, the worst economic slump since 1998. In this Survey, we look at how Indonesia is preparing for the new normal. We argue that the government is focused on short-term recovery and does not have a clear strategy to address the medium-and longer-term implications of Covid-19. The response to the virus relies on public compliance to public health measures. There is a clear lack of emphasis on reducing the rate of infection through effective testing and tracing and enforcing social distancing and mobility restrictions. The government has developed an economic recovery plan that concentrates on cushioning the short-term impact of the crisis and supporting the poor and near-poor, rather than reducing long-term poverty and preventing structural changes in unemployment. Finally, we find that the pandemic is undermining the long-term financial sustainability of Indonesia’s social health insurance system. The education sector is reasonably prepared for extended school closures and distance learning. Yet there is no strategy to address the accumulated learning losses resulting from this crisis.","author":[{"dropping-particle":"","family":"Sparrow","given":"Robert","non-dropping-particle":"","parse-names":false,"suffix":""},{"dropping-particle":"","family":"Dartanto","given":"Teguh","non-dropping-particle":"","parse-names":false,"suffix":""},{"dropping-particle":"","family":"Hartwig","given":"Renate","non-dropping-particle":"","parse-names":false,"suffix":""}],"container-title":"Bulletin of Indonesian Economic Studies","id":"ITEM-2","issue":"3","issued":{"date-parts":[["2020","9"]]},"page":"269-299","publisher":"Taylor and Francis Ltd.","title":"Indonesia under the new normal: Challenges and the way ahead","type":"article-journal","volume":"56"},"uris":["http://www.mendeley.com/documents/?uuid=8751527c-7446-441c-babb-b5947b9f607c"]}],"mendeley":{"formattedCitation":"[7], [14]","plainTextFormattedCitation":"[7], [14]","previouslyFormattedCitation":"[7], [14]"},"properties":{"noteIndex":0},"schema":"https://github.com/citation-style-language/schema/raw/master/csl-citation.json"}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[7], [14]</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 Additionally, ongoing professional development and training for instructors and educational staff are essential to ensure the effective design, delivery, and assessment of simulation-based learning activities.</w:t>
      </w:r>
    </w:p>
    <w:p w14:paraId="46D03604" w14:textId="77777777" w:rsidR="004F6862" w:rsidRDefault="004F6862"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S</w:t>
      </w:r>
      <w:r w:rsidRPr="004F6862">
        <w:rPr>
          <w:rFonts w:ascii="Times New Roman" w:eastAsia="Calibri" w:hAnsi="Times New Roman" w:cs="Times New Roman"/>
          <w:bCs/>
          <w:lang w:val="en-ID"/>
        </w:rPr>
        <w:t>imulation-based learning holds great promise as a valuable pedagogical tool in maritime training, offering cadets immersive and realistic learning experiences that complement traditional classroom instruction and onboard training</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{"citationItems":[{"id":"ITEM-1","itemData":{"author":[{"dropping-particle":"","family":"Baylon","given":"Angelica M","non-dropping-particle":"","parse-names":false,"suffix":""},{"dropping-particle":"","family":"Santos","given":"VEMR","non-dropping-particle":"","parse-names":false,"suffix":""}],"container-title":"International Journal of Innovative Interdisciplinary Research","id":"ITEM-1","issue":"1","issued":{"date-parts":[["2011"]]},"page":"34-43","title":"The challenges in Philippine maritime education and training","type":"article-journal","volume":"1"},"uris":["http://www.mendeley.com/documents/?uuid=f6562bc0-e63c-4ac7-95b5-6e735a16be81"]},{"id":"ITEM-2","itemData":{"ISSN":"1363-6820","author":[{"dropping-particle":"","family":"Moodie","given":"Gavin","non-dropping-particle":"","parse-names":false,"suffix":""}],"container-title":"Journal of vocational education and training","id":"ITEM-2","issue":"2","issued":{"date-parts":[["2002"]]},"page":"249-266","publisher":"Taylor &amp; Francis","title":"Identifying vocational education and training","type":"article-journal","volume":"54"},"uris":["http://www.mendeley.com/documents/?uuid=377f7708-34eb-41ab-a038-b3d4eaf3e671"]}],"mendeley":{"formattedCitation":"[15], [16]","plainTextFormattedCitation":"[15], [16]","previouslyFormattedCitation":"[15], [16]"},"properties":{"noteIndex":0},"schema":"https://github.com/citation-style-language/schema/raw/master/csl-citation.json"}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[15], [16]</w:t>
      </w:r>
      <w:r w:rsidR="0009456B">
        <w:rPr>
          <w:rFonts w:ascii="Times New Roman" w:eastAsia="Calibri" w:hAnsi="Times New Roman" w:cs="Times New Roman"/>
          <w:bCs/>
        </w:rPr>
        <w:fldChar w:fldCharType="end"/>
      </w:r>
      <w:r w:rsidRPr="004F6862">
        <w:rPr>
          <w:rFonts w:ascii="Times New Roman" w:eastAsia="Calibri" w:hAnsi="Times New Roman" w:cs="Times New Roman"/>
          <w:bCs/>
          <w:lang w:val="en-ID"/>
        </w:rPr>
        <w:t xml:space="preserve">. However, its effectiveness hinges on careful planning, implementation, and evaluation, as well as ongoing collaboration between educational institutions, industry partners, and regulatory authorities. By critically examining the role of simulation-based learning in maritime training and </w:t>
      </w:r>
      <w:r w:rsidRPr="004F6862">
        <w:rPr>
          <w:rFonts w:ascii="Times New Roman" w:eastAsia="Calibri" w:hAnsi="Times New Roman" w:cs="Times New Roman"/>
          <w:bCs/>
          <w:lang w:val="en-ID"/>
        </w:rPr>
        <w:t>addressing challenges related to its integration and implementation, maritime education stakeholders can harness its full potential to prepare cadets for successful and impactful careers in the maritime industry.</w:t>
      </w:r>
      <w:r>
        <w:rPr>
          <w:rFonts w:ascii="Times New Roman" w:eastAsia="Calibri" w:hAnsi="Times New Roman" w:cs="Times New Roman"/>
          <w:bCs/>
        </w:rPr>
        <w:t xml:space="preserve"> </w:t>
      </w:r>
      <w:r w:rsidR="002516A8" w:rsidRPr="00156D00">
        <w:rPr>
          <w:rFonts w:ascii="Times New Roman" w:eastAsia="Calibri" w:hAnsi="Times New Roman" w:cs="Times New Roman"/>
          <w:bCs/>
          <w:lang w:val="en-ID"/>
        </w:rPr>
        <w:t>The efficacy of simulation-based learning in maritime training warrants critical examination, particularly in light of its increasing prevalence and significance within the educational landscape</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{"citationItems":[{"id":"ITEM-1","itemData":{"DOI":"10.1177/20552076221130189","ISBN":"2055-2076","abstract":"Objective: This study explored the information women want to know about HPV and cervical cancer, and the enablers or inhibitors that may contribute to, or prevent, seeking online health information. Methods: Two focus groups were conducted with women from the general public, followed by interviews with 12 physicians practicing in Saudi Arabia. The data was analyzed by using a thematic analysis approach. Results: Researchers of this study identified six topics of information that were need-related, ten that were enabling, and six inhibiting subthemes related to online information seeking about HPV and cervical cancer. Discussion and conclusion: In accordance with the identified themes and sub-themes, we offer recommendations to optimize the health information-seeking task related to HPV and cervical cancer through eHealth educational solutions. User- and expert-based feedback can both strengthen and inform the design, development, and implementation of eHealth interventions.","author":[{"dropping-particle":"","family":"Bitar","given":"Hind","non-dropping-particle":"","parse-names":false,"suffix":""},{"dropping-particle":"","family":"Alismail","given":"Sarah","non-dropping-particle":"","parse-names":false,"suffix":""}],"container-title":"DIGITAL HEALTH","id":"ITEM-1","issued":{"date-parts":[["2022"]]},"page":"2147483647","publisher":"SAGE Publications","title":"Exploring enablers and inhibitors of eHealth educational tools: The needs of women searching for HPV and cervical cancer information","type":"article","volume":"8"},"uris":["http://www.mendeley.com/documents/?uuid=3e9b1f76-25aa-44af-83e8-de9d6caa14b9"]}],"mendeley":{"formattedCitation":"[17]","plainTextFormattedCitation":"[17]","previouslyFormattedCitation":"[17]"},"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[17]</w:t>
      </w:r>
      <w:r w:rsidR="004F3260">
        <w:rPr>
          <w:rFonts w:ascii="Times New Roman" w:eastAsia="Calibri" w:hAnsi="Times New Roman" w:cs="Times New Roman"/>
          <w:bCs/>
        </w:rPr>
        <w:fldChar w:fldCharType="end"/>
      </w:r>
      <w:r w:rsidR="002516A8" w:rsidRPr="00156D00">
        <w:rPr>
          <w:rFonts w:ascii="Times New Roman" w:eastAsia="Calibri" w:hAnsi="Times New Roman" w:cs="Times New Roman"/>
          <w:bCs/>
          <w:lang w:val="en-ID"/>
        </w:rPr>
        <w:t xml:space="preserve">. As such, this research endeavors to undertake a comprehensive evaluation of SBL within the context of maritime education, focusing on its implementation and impact on cadet learning outcomes. </w:t>
      </w:r>
    </w:p>
    <w:p w14:paraId="3CB5242D" w14:textId="77777777" w:rsidR="004F6862"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Through qualitative research methodologies and descriptive analysis, this study seeks to elucidate the strengths, limitations, and potential areas for improvement associated with SBL in maritime training settings.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The purpose of this research is multifaceted</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{"citationItems":[{"id":"ITEM-1","itemData":{"DOI":"10.31235/osf.io/3cjsv","abstract":"&lt;p&gt;People constantly practice the act of thinking. They may not think about everything, yet they certainly think of something and make decisions. Critical thinking is a sort of reflective thinking. It is controlled and aimed at perfect thinking. It enables the self-realization of individuals in social life. Therefore, it is important to develop critical thinking at school stages and early ages. The purpose of this research was to investigate “the effect of foreign language learning activities on critical thinking skills of 4th-grade students”. To achieve this purpose, researchers tried to answer these questions: (1) What is the effect of critical thinking activities on students’ critical thinking? (2) What is the effect of critical thinking activities on students’ personal definitions of critical thinking and critical thinker? (3) What is the effect of critical thinking activities on students’ social skills? The method of this research is action research which is considered highly important for educational sciences. In the course of this research, activities for developing critical thinking skills were implemented to 4th grade students. 25 4th grade private elementary school students participated in the research. Researchers used 13-question “Critical Thinking Skill Open-ended Questionnaire” to collect data. The answers given to the open-ended questionnaire before and after the activities were analyzed using content analysis, and themes and codes were determined accordingly, thereby answers of the students are compared. It is noted that before implementation, most of the students did not have any idea about critical thinking or they thought critical thinking has a negative connotation; however, after implementation, they gained more positive and open-minded opinions about this term.&lt;/p&gt;","author":[{"dropping-particle":"","family":"Sarıcan","given":"Elif","non-dropping-particle":"","parse-names":false,"suffix":""},{"dropping-particle":"","family":"GÜNEŞ","given":"Ecenur Büşra","non-dropping-particle":"","parse-names":false,"suffix":""}],"id":"ITEM-1","issued":{"date-parts":[["2021"]]},"publisher":"Center for Open Science","title":"Developing Critical Thinking Skills in Elementary School Students Through Foreign Language Education: An Action Research","type":"article"},"uris":["http://www.mendeley.com/documents/?uuid=13ff6bb0-ec05-4675-b44f-8dc717c4d3eb"]}],"mendeley":{"formattedCitation":"[18]","plainTextFormattedCitation":"[18]","previouslyFormattedCitation":"[18]"},"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[18]</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Firstly, it aims to provide empirical insights into the effectiveness of simulation-based learning as a pedagogical tool in maritime education. By examining the experiences of cadets undergoing vocational practice or internships, this study endeavors to assess the extent to which SBL contributes to the enhancement of cadet proficiency, knowledge acquisition, and overall preparedness for real-world maritime challenges. Moreover, by situating the research within the broader context of IMO-STCW regulations, the study seeks to offer practical recommendations for optimizing the integration of SBL within existing maritime training curricula</w:t>
      </w:r>
      <w:r w:rsidR="0009456B">
        <w:rPr>
          <w:rFonts w:ascii="Times New Roman" w:eastAsia="Calibri" w:hAnsi="Times New Roman" w:cs="Times New Roman"/>
          <w:bCs/>
        </w:rPr>
        <w:t xml:space="preserve"> </w:t>
      </w:r>
      <w:r w:rsidR="0009456B">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Research","id":"ITEM-1","issued":{"date-parts":[["2014"]]},"page":"77-86","publisher":"Australian Maritime College","title":"On a lookout beyond STCW: Seeking standards and context for the authentic assessment of seafarers","type":"paper-conference"},"uris":["http://www.mendeley.com/documents/?uuid=2f84309f-4e05-4536-aaed-698bd69507f9"]}],"mendeley":{"formattedCitation":"[19]","plainTextFormattedCitation":"[19]","previouslyFormattedCitation":"[19]"},"properties":{"noteIndex":0},"schema":"https://github.com/citation-style-language/schema/raw/master/csl-citation.json"}</w:instrText>
      </w:r>
      <w:r w:rsidR="0009456B">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[19]</w:t>
      </w:r>
      <w:r w:rsidR="0009456B">
        <w:rPr>
          <w:rFonts w:ascii="Times New Roman" w:eastAsia="Calibri" w:hAnsi="Times New Roman" w:cs="Times New Roman"/>
          <w:bCs/>
        </w:rPr>
        <w:fldChar w:fldCharType="end"/>
      </w:r>
      <w:r w:rsidRPr="00156D00">
        <w:rPr>
          <w:rFonts w:ascii="Times New Roman" w:eastAsia="Calibri" w:hAnsi="Times New Roman" w:cs="Times New Roman"/>
          <w:bCs/>
          <w:lang w:val="en-ID"/>
        </w:rPr>
        <w:t>.</w:t>
      </w:r>
      <w:r w:rsidR="004F6862">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Furthermore, this research seeks to contribute to the ongoing discourse surrounding SBL in maritime education, thereby enriching theoretical frameworks and informing pedagogical practices. </w:t>
      </w:r>
    </w:p>
    <w:p w14:paraId="0C399B55" w14:textId="77777777" w:rsidR="004F6862" w:rsidRDefault="002516A8"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By critically evaluating the efficacy of SBL, this study aims to identify best practices, challenges, and areas for further research, thereby fostering continuous improvement and innovation within the field of maritime education</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{"citationItems":[{"id":"ITEM-1","itemData":{"ISSN":"1923-869X","author":[{"dropping-particle":"","family":"Franceschi","given":"Daniele","non-dropping-particle":"","parse-names":false,"suffix":""}],"container-title":"International Journal of English Linguistics","id":"ITEM-1","issue":"2","issued":{"date-parts":[["2014"]]},"page":"78","publisher":"Canadian Center of Science and Education","title":"The features of maritime English discourse","type":"article-journal","volume":"4"},"uris":["http://www.mendeley.com/documents/?uuid=28c40df1-8b37-408f-bf3f-2ae7b04c7277"]}],"mendeley":{"formattedCitation":"[20]","plainTextFormattedCitation":"[20]","previouslyFormattedCitation":"[20]"},"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[20]</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Ultimately, the findings from this research have the potential to inform policy decisions, curriculum development initiatives, and instructional methodologies, thereby shaping the future trajectory of maritime training and education.</w:t>
      </w:r>
      <w:r w:rsidRPr="00156D00">
        <w:rPr>
          <w:rFonts w:ascii="Times New Roman" w:eastAsia="Calibri" w:hAnsi="Times New Roman" w:cs="Times New Roman"/>
          <w:bCs/>
        </w:rPr>
        <w:t xml:space="preserve"> </w:t>
      </w:r>
      <w:r w:rsidR="004F6862" w:rsidRPr="004F6862">
        <w:rPr>
          <w:rFonts w:ascii="Times New Roman" w:eastAsia="Calibri" w:hAnsi="Times New Roman" w:cs="Times New Roman"/>
          <w:bCs/>
          <w:lang w:val="en-ID"/>
        </w:rPr>
        <w:t xml:space="preserve">This research endeavours to undertake a critical evaluation of simulation-based learning (SBL) in maritime training, leveraging qualitative research methodologies to explore its efficacy, strengths, and limitations. Simulation-based learning has gained prominence as a pedagogical approach in maritime education due to its potential to replicate real-world scenarios in a controlled environment, offering cadets valuable hands-on experience and skill development opportunities. </w:t>
      </w:r>
    </w:p>
    <w:p w14:paraId="1908BC36" w14:textId="77777777" w:rsidR="004F6862" w:rsidRDefault="004F6862" w:rsidP="004F6862">
      <w:pPr>
        <w:autoSpaceDE w:val="0"/>
        <w:autoSpaceDN w:val="0"/>
        <w:adjustRightInd w:val="0"/>
        <w:spacing w:after="0" w:line="240" w:lineRule="auto"/>
        <w:ind w:firstLine="426"/>
        <w:jc w:val="both"/>
        <w:rPr>
          <w:rFonts w:ascii="Times New Roman" w:eastAsia="Calibri" w:hAnsi="Times New Roman" w:cs="Times New Roman"/>
          <w:bCs/>
        </w:rPr>
      </w:pPr>
      <w:r w:rsidRPr="004F6862">
        <w:rPr>
          <w:rFonts w:ascii="Times New Roman" w:eastAsia="Calibri" w:hAnsi="Times New Roman" w:cs="Times New Roman"/>
          <w:bCs/>
          <w:lang w:val="en-ID"/>
        </w:rPr>
        <w:t xml:space="preserve">However, the effectiveness of SBL in enhancing cadet learning outcomes remains a </w:t>
      </w:r>
      <w:r w:rsidRPr="004F6862">
        <w:rPr>
          <w:rFonts w:ascii="Times New Roman" w:eastAsia="Calibri" w:hAnsi="Times New Roman" w:cs="Times New Roman"/>
          <w:bCs/>
          <w:lang w:val="en-ID"/>
        </w:rPr>
        <w:lastRenderedPageBreak/>
        <w:t>subject of debate and requires rigorous examination.</w:t>
      </w:r>
      <w:r>
        <w:rPr>
          <w:rFonts w:ascii="Times New Roman" w:eastAsia="Calibri" w:hAnsi="Times New Roman" w:cs="Times New Roman"/>
          <w:bCs/>
        </w:rPr>
        <w:t xml:space="preserve"> </w:t>
      </w:r>
      <w:r w:rsidRPr="004F6862">
        <w:rPr>
          <w:rFonts w:ascii="Times New Roman" w:eastAsia="Calibri" w:hAnsi="Times New Roman" w:cs="Times New Roman"/>
          <w:bCs/>
          <w:lang w:val="en-ID"/>
        </w:rPr>
        <w:t>By aligning with the standards set forth by the International Maritime Organization's Standards of Training, Certification, and Watchkeeping (IMO-STCW) regulations, this study seeks to provide empirical insights into the impact of SBL on cadet learning outcomes, while also contributing to theoretical discourse and pedagogical practices within the maritime education domain. The qualitative research methodologies employed in this study enable a nuanced exploration of the experiences, perceptions, and challenges associated with SBL among maritime cadets and instructors. Through in-depth interviews, focus group discussions, and observational analyses, the study aims to uncover the underlying mechanisms through which SBL influences cadet learning, as well as identify potential barriers and facilitators to its effective implementation.</w:t>
      </w:r>
      <w:r>
        <w:rPr>
          <w:rFonts w:ascii="Times New Roman" w:eastAsia="Calibri" w:hAnsi="Times New Roman" w:cs="Times New Roman"/>
          <w:bCs/>
        </w:rPr>
        <w:t xml:space="preserve"> </w:t>
      </w:r>
      <w:r w:rsidRPr="004F6862">
        <w:rPr>
          <w:rFonts w:ascii="Times New Roman" w:eastAsia="Calibri" w:hAnsi="Times New Roman" w:cs="Times New Roman"/>
          <w:bCs/>
          <w:lang w:val="en-ID"/>
        </w:rPr>
        <w:t>Moreover, this research seeks to go beyond mere evaluation and provide a deeper understanding of the theoretical underpinnings of SBL in maritime training. Drawing on theoretical frameworks from educational psychology, instructional design, and cognitive science, the study explores how SBL aligns with principles of active learning, situated cognition, and constructivist pedagogy. By examining the cognitive processes and learning mechanisms involved in SBL, the research aims to shed light on the ways in which simulation-based activities can enhance cadets' knowledge acquisition, problem-solving skills, and decision-making abilities within the maritime context.</w:t>
      </w:r>
      <w:r>
        <w:rPr>
          <w:rFonts w:ascii="Times New Roman" w:eastAsia="Calibri" w:hAnsi="Times New Roman" w:cs="Times New Roman"/>
          <w:bCs/>
        </w:rPr>
        <w:t xml:space="preserve"> </w:t>
      </w:r>
    </w:p>
    <w:p w14:paraId="7F291D29" w14:textId="77777777" w:rsidR="004F6862" w:rsidRPr="004F6862" w:rsidRDefault="004F6862"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4F6862">
        <w:rPr>
          <w:rFonts w:ascii="Times New Roman" w:eastAsia="Calibri" w:hAnsi="Times New Roman" w:cs="Times New Roman"/>
          <w:bCs/>
          <w:lang w:val="en-ID"/>
        </w:rPr>
        <w:t>he study takes into account the broader socio-cultural and institutional factors that may influence the effectiveness of SBL in maritime training. This includes considerations of organizational culture, institutional support, technological infrastructure, and regulatory compliance. By adopting a holistic approach to evaluation, the research aims to provide actionable recommendations for maritime education institutions, policymakers, and industry stakeholders seeking to optimize the use of SBL in their training programmes.</w:t>
      </w:r>
      <w:r>
        <w:rPr>
          <w:rFonts w:ascii="Times New Roman" w:eastAsia="Calibri" w:hAnsi="Times New Roman" w:cs="Times New Roman"/>
          <w:bCs/>
        </w:rPr>
        <w:t xml:space="preserve"> T</w:t>
      </w:r>
      <w:r w:rsidRPr="004F6862">
        <w:rPr>
          <w:rFonts w:ascii="Times New Roman" w:eastAsia="Calibri" w:hAnsi="Times New Roman" w:cs="Times New Roman"/>
          <w:bCs/>
          <w:lang w:val="en-ID"/>
        </w:rPr>
        <w:t>his research represents a concerted effort to critically evaluate the role of simulation-based learning in maritime training and contribute to the ongoing discourse on effective pedagogical practices in the maritime education domain. By leveraging qualitative research methodologies, aligning with international standards, and exploring theoretical frameworks, the study aims to provide valuable insights that can inform the design, implementation, and evaluation of simulation-based training programmes in the maritime industry.</w:t>
      </w:r>
    </w:p>
    <w:p w14:paraId="67509AEA" w14:textId="77777777" w:rsidR="00DA1E36" w:rsidRPr="00156D00" w:rsidRDefault="00DA1E36" w:rsidP="002516A8">
      <w:pPr>
        <w:autoSpaceDE w:val="0"/>
        <w:autoSpaceDN w:val="0"/>
        <w:adjustRightInd w:val="0"/>
        <w:spacing w:after="0" w:line="240" w:lineRule="auto"/>
        <w:ind w:firstLine="426"/>
        <w:jc w:val="both"/>
        <w:rPr>
          <w:rFonts w:ascii="Times New Roman" w:eastAsia="Calibri" w:hAnsi="Times New Roman" w:cs="Times New Roman"/>
          <w:bCs/>
          <w:lang w:val="en-ID"/>
        </w:rPr>
      </w:pPr>
    </w:p>
    <w:p w14:paraId="0ABA75B7" w14:textId="77777777" w:rsidR="008B6AFA" w:rsidRDefault="008B6AFA" w:rsidP="008B6AFA">
      <w:pPr>
        <w:autoSpaceDE w:val="0"/>
        <w:autoSpaceDN w:val="0"/>
        <w:adjustRightInd w:val="0"/>
        <w:spacing w:after="0" w:line="240" w:lineRule="auto"/>
        <w:ind w:firstLine="426"/>
        <w:rPr>
          <w:rFonts w:ascii="Times New Roman" w:eastAsia="Calibri" w:hAnsi="Times New Roman" w:cs="Times New Roman"/>
          <w:b/>
          <w:bCs/>
          <w:lang w:val="en-US"/>
        </w:rPr>
      </w:pPr>
    </w:p>
    <w:p w14:paraId="4CCC8CAF" w14:textId="77777777" w:rsidR="008B6AFA" w:rsidRDefault="008B6AFA" w:rsidP="008B6AFA">
      <w:pPr>
        <w:autoSpaceDE w:val="0"/>
        <w:autoSpaceDN w:val="0"/>
        <w:adjustRightInd w:val="0"/>
        <w:spacing w:after="0" w:line="240" w:lineRule="auto"/>
        <w:ind w:firstLine="426"/>
        <w:rPr>
          <w:rFonts w:ascii="Times New Roman" w:eastAsia="Calibri" w:hAnsi="Times New Roman" w:cs="Times New Roman"/>
          <w:b/>
          <w:bCs/>
          <w:lang w:val="en-US"/>
        </w:rPr>
      </w:pPr>
    </w:p>
    <w:p w14:paraId="1A53E7F0" w14:textId="2E429EA3" w:rsidR="00EA3E26" w:rsidRPr="00ED6C87" w:rsidRDefault="00DB79BF" w:rsidP="008B6AFA">
      <w:pPr>
        <w:autoSpaceDE w:val="0"/>
        <w:autoSpaceDN w:val="0"/>
        <w:adjustRightInd w:val="0"/>
        <w:spacing w:after="0" w:line="240" w:lineRule="auto"/>
        <w:ind w:firstLine="426"/>
        <w:rPr>
          <w:rFonts w:ascii="Times New Roman" w:eastAsia="Calibri" w:hAnsi="Times New Roman" w:cs="Times New Roman"/>
          <w:b/>
          <w:bCs/>
        </w:rPr>
      </w:pPr>
      <w:r w:rsidRPr="00ED6C87">
        <w:rPr>
          <w:rFonts w:ascii="Times New Roman" w:eastAsia="Calibri" w:hAnsi="Times New Roman" w:cs="Times New Roman"/>
          <w:b/>
          <w:bCs/>
          <w:lang w:val="en-US"/>
        </w:rPr>
        <w:t>MET</w:t>
      </w:r>
      <w:r w:rsidR="001E325F" w:rsidRPr="00ED6C87">
        <w:rPr>
          <w:rFonts w:ascii="Times New Roman" w:eastAsia="Calibri" w:hAnsi="Times New Roman" w:cs="Times New Roman"/>
          <w:b/>
          <w:bCs/>
        </w:rPr>
        <w:t>HOD</w:t>
      </w:r>
      <w:r w:rsidR="00762A79" w:rsidRPr="00ED6C87">
        <w:rPr>
          <w:rFonts w:ascii="Times New Roman" w:eastAsia="Calibri" w:hAnsi="Times New Roman" w:cs="Times New Roman"/>
          <w:b/>
          <w:bCs/>
        </w:rPr>
        <w:tab/>
      </w:r>
    </w:p>
    <w:p w14:paraId="1FF5AF5E" w14:textId="77777777"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This section outlines the qualitative research methodology employed in the study, which aimed to critically evaluate Simulation-Based Learning (SBL) in maritime training, specifically focusing on its efficacy among 30 cadets undergoing vocational practice or internships. Qualitative research methods were chosen to provide a comprehensive understanding of the cadets' experiences with SBL, allowing for in-depth exploration of their perceptions, attitudes, and learning outcomes within the context of maritime education.</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The research design adopted a descriptive and interpretive approach, seeking to capture the richness and complexity of the cadets' experiences with SBL. Data collection techniques included semi-structured interviews, observation, and document analysis, enabling triangulation of data from multiple sources to enhance the validity and reliability of findings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{"citationItems":[{"id":"ITEM-1","itemData":{"ISBN":"0309287782","author":[{"dropping-particle":"","family":"Council","given":"National Research","non-dropping-particle":"","parse-names":false,"suffix":""}],"id":"ITEM-1","issued":{"date-parts":[["2013"]]},"publisher":"National Academies Press","title":"Frontiers in massive data analysis","type":"book"},"uris":["http://www.mendeley.com/documents/?uuid=0fee19a6-b1b9-4118-9120-f36e4e36f925"]},{"id":"ITEM-2","itemData":{"ISBN":"9792171312","author":[{"dropping-particle":"","family":"Sarosa","given":"Samiaji","non-dropping-particle":"","parse-names":false,"suffix":""}],"id":"ITEM-2","issued":{"date-parts":[["2021"]]},"publisher":"Pt Kanisius","title":"Analisis Data Penelitian Kualitatif","type":"book"},"uris":["http://www.mendeley.com/documents/?uuid=40aed27f-85fc-454e-80c7-3031799830c4"]}],"mendeley":{"formattedCitation":"[21], [22]","plainTextFormattedCitation":"[21], [22]","previouslyFormattedCitation":"[21], [22]"},"properties":{"noteIndex":0},"schema":"https://github.com/citation-style-language/schema/raw/master/csl-citation.json"}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[21], [22]</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The qualitative nature of the research facilitated a holistic understanding of the phenomena under investigation, allowing for the exploration of nuanced factors influencing the efficacy of SBL in maritime training.</w:t>
      </w:r>
    </w:p>
    <w:p w14:paraId="2F556012" w14:textId="77777777"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Sampling procedures involved purposeful sampling, whereby participants were selected based on their relevance to the research objectives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[23]","plainTextFormattedCitation":"[23]","previouslyFormattedCitation":"[23]"},"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[23]</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Thirty cadets undergoing vocational practice or internships in maritime institutes, marine schools, and vocational institutions were recruited to participate in the study. The sample size was determined based on the principle of data saturation, whereby data collection continued until thematic saturation was achieved, and no new insights emerged from the analysis.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Data collection commenced with semi-structured interviews conducted with each participant, focusing on their experiences, perceptions, and challenges related to SBL in maritime training. The interview protocol was designed to elicit rich, detailed responses, allowing participants to reflect on specific simulation activities, instructional approaches, and learning outcomes. Interviews were audio-recorded and transcribed verbatim to facilitate data analysis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{"citationItems":[{"id":"ITEM-1","itemData":{"author":[{"dropping-particle":"","family":"Creswell","given":"J. W.","non-dropping-particle":"","parse-names":false,"suffix":""},{"dropping-particle":"","family":"Clark","given":"V. L. Plano","non-dropping-particle":"","parse-names":false,"suffix":""}],"container-title":"Designing and Conducting Mixed Methods Research","id":"ITEM-1","issued":{"date-parts":[["2011"]]},"page":"53-106","publisher":"Sage Publications, Inc.","publisher-place":"California","title":"Choosing a mixed methods design","type":"chapter"},"uris":["http://www.mendeley.com/documents/?uuid=11bd684d-4994-4ef4-8f86-6b412f8a34ef"]}],"mendeley":{"formattedCitation":"[24]","plainTextFormattedCitation":"[24]","previouslyFormattedCitation":"[24]"},"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[24]</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w:t>
      </w:r>
    </w:p>
    <w:p w14:paraId="795371D8" w14:textId="77777777" w:rsidR="00B53B02"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 addition to interviews, observation was employed to supplement and contextualize the interview data. Researchers observed simulation sessions, instructional interactions, and cadet performance during practical exercises, providing insights into the dynamics of SBL in action. Field notes were taken to document observations, including notable events, participant behaviors, and instructor strategies, which were later incorporated into the data analysis process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ISSN":"1877-1297","author":[{"dropping-particle":"","family":"Castleberry","given":"Ashley","non-dropping-particle":"","parse-names":false,"suffix":""},{"dropping-particle":"","family":"Nolen","given":"Amanda","non-dropping-particle":"","parse-names":false,"suffix":""}],"container-title":"Currents in pharmacy teaching and learning","id":"ITEM-1","issue":"6","issued":{"date-parts":[["2018"]]},"page":"807-815","publisher":"Elsevier","title":"Thematic analysis of qualitative research data: Is it as easy as it sounds?","type":"article-journal","volume":"10"},"uris":["http://www.mendeley.com/documents/?uuid=29326c30-142c-4928-8a87-e78e7a8a7169"]}],"mendeley":{"formattedCitation":"[25]","plainTextFormattedCitation":"[25]","previouslyFormattedCitation":"[25]"},"properties":{"noteIndex":0},"schema":"https://github.com/citation-style-language/schema/raw/master/csl-citation.json"}</w:instrText>
      </w:r>
      <w:r w:rsidR="004F3260">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[25]</w:t>
      </w:r>
      <w:r w:rsidR="004F3260">
        <w:rPr>
          <w:rFonts w:ascii="Times New Roman" w:eastAsia="Calibri" w:hAnsi="Times New Roman" w:cs="Times New Roman"/>
          <w:bCs/>
        </w:rPr>
        <w:fldChar w:fldCharType="end"/>
      </w:r>
      <w:r w:rsidR="004F3260">
        <w:rPr>
          <w:rFonts w:ascii="Times New Roman" w:eastAsia="Calibri" w:hAnsi="Times New Roman" w:cs="Times New Roman"/>
          <w:bCs/>
        </w:rPr>
        <w:t>.</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Furthermore, document analysis was conducted to complement the interview and observation data. Relevant </w:t>
      </w:r>
      <w:r w:rsidRPr="00156D00">
        <w:rPr>
          <w:rFonts w:ascii="Times New Roman" w:eastAsia="Calibri" w:hAnsi="Times New Roman" w:cs="Times New Roman"/>
          <w:bCs/>
          <w:lang w:val="en-ID"/>
        </w:rPr>
        <w:lastRenderedPageBreak/>
        <w:t>documents, such as curriculum materials, training manuals, and simulation scenarios, were reviewed to gain additional insights into the structure, content, and objectives of SBL activities. Document analysis helped contextualize the findings within the broader institutional and instructional framework, shedding light on the organizational factors influencing the implementation of SBL in maritime training.</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Data analysis followed a systematic and iterative process, guided by principles of thematic analysis. Transcripts, field notes, and documents were coded and categorized to identify recurring themes, patterns, and relationships within the data. Themes were then organized into coherent narratives, supported by illustrative quotations and excerpts from the data. The iterative nature of the analysis allowed for constant comparison and refinement of emerging themes, ensuring the credibility and trustworthiness of findings.</w:t>
      </w:r>
    </w:p>
    <w:p w14:paraId="11436D79" w14:textId="77777777"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p>
    <w:p w14:paraId="62CB7420" w14:textId="77777777" w:rsidR="00B53B02" w:rsidRPr="00ED6C87" w:rsidRDefault="001E325F" w:rsidP="008B6AFA">
      <w:pPr>
        <w:autoSpaceDE w:val="0"/>
        <w:autoSpaceDN w:val="0"/>
        <w:adjustRightInd w:val="0"/>
        <w:spacing w:after="0" w:line="240" w:lineRule="auto"/>
        <w:ind w:firstLine="426"/>
        <w:rPr>
          <w:rFonts w:ascii="Times New Roman" w:eastAsia="Calibri" w:hAnsi="Times New Roman" w:cs="Times New Roman"/>
          <w:b/>
          <w:bCs/>
        </w:rPr>
      </w:pPr>
      <w:r w:rsidRPr="00ED6C87">
        <w:rPr>
          <w:rFonts w:ascii="Times New Roman" w:eastAsia="Calibri" w:hAnsi="Times New Roman" w:cs="Times New Roman"/>
          <w:b/>
          <w:bCs/>
        </w:rPr>
        <w:t>RESULT AND DISCUSSION</w:t>
      </w:r>
    </w:p>
    <w:p w14:paraId="3232E02B" w14:textId="77777777" w:rsidR="00190277" w:rsidRPr="00156D00" w:rsidRDefault="00190277" w:rsidP="008B6AFA">
      <w:pPr>
        <w:autoSpaceDE w:val="0"/>
        <w:autoSpaceDN w:val="0"/>
        <w:adjustRightInd w:val="0"/>
        <w:spacing w:after="0" w:line="240" w:lineRule="auto"/>
        <w:ind w:firstLine="426"/>
        <w:jc w:val="both"/>
        <w:rPr>
          <w:rFonts w:ascii="Times New Roman" w:eastAsia="Calibri" w:hAnsi="Times New Roman" w:cs="Times New Roman"/>
          <w:b/>
          <w:bCs/>
        </w:rPr>
      </w:pPr>
      <w:r w:rsidRPr="00156D00">
        <w:rPr>
          <w:rFonts w:ascii="Times New Roman" w:eastAsia="Calibri" w:hAnsi="Times New Roman" w:cs="Times New Roman"/>
          <w:b/>
          <w:bCs/>
        </w:rPr>
        <w:t>3.1. Result</w:t>
      </w:r>
    </w:p>
    <w:p w14:paraId="64CEA4B7" w14:textId="77777777" w:rsidR="00190277" w:rsidRPr="00156D00" w:rsidRDefault="00190277" w:rsidP="008B6AFA">
      <w:pPr>
        <w:autoSpaceDE w:val="0"/>
        <w:autoSpaceDN w:val="0"/>
        <w:adjustRightInd w:val="0"/>
        <w:spacing w:after="0" w:line="240" w:lineRule="auto"/>
        <w:ind w:firstLine="426"/>
        <w:jc w:val="both"/>
        <w:rPr>
          <w:rFonts w:ascii="Times New Roman" w:eastAsia="Calibri" w:hAnsi="Times New Roman" w:cs="Times New Roman"/>
          <w:b/>
          <w:bCs/>
        </w:rPr>
      </w:pPr>
      <w:r w:rsidRPr="00156D00">
        <w:rPr>
          <w:rFonts w:ascii="Times New Roman" w:eastAsia="Calibri" w:hAnsi="Times New Roman" w:cs="Times New Roman"/>
          <w:b/>
          <w:bCs/>
        </w:rPr>
        <w:t xml:space="preserve">3.1.1. </w:t>
      </w:r>
      <w:r w:rsidR="002516A8" w:rsidRPr="00156D00">
        <w:rPr>
          <w:rFonts w:ascii="Times New Roman" w:eastAsia="Calibri" w:hAnsi="Times New Roman" w:cs="Times New Roman"/>
          <w:b/>
          <w:bCs/>
        </w:rPr>
        <w:t>Evaluat</w:t>
      </w:r>
      <w:r w:rsidR="00156D00" w:rsidRPr="00156D00">
        <w:rPr>
          <w:rFonts w:ascii="Times New Roman" w:eastAsia="Calibri" w:hAnsi="Times New Roman" w:cs="Times New Roman"/>
          <w:b/>
          <w:bCs/>
        </w:rPr>
        <w:t>ion</w:t>
      </w:r>
      <w:r w:rsidR="002516A8" w:rsidRPr="00156D00">
        <w:rPr>
          <w:rFonts w:ascii="Times New Roman" w:eastAsia="Calibri" w:hAnsi="Times New Roman" w:cs="Times New Roman"/>
          <w:b/>
          <w:bCs/>
        </w:rPr>
        <w:t xml:space="preserve"> the efficacy of Simulation-Based Learning (SBL) in maritime training</w:t>
      </w:r>
    </w:p>
    <w:p w14:paraId="6691EB2D" w14:textId="77777777"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findings are organized into several themes, each highlighting different aspects of the cadets' experiences with SBL.</w:t>
      </w:r>
    </w:p>
    <w:p w14:paraId="06F8105E" w14:textId="77777777"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1: Perceived Effectiveness of Simulation-Based Learning</w:t>
      </w:r>
    </w:p>
    <w:p w14:paraId="759892A7" w14:textId="77777777"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majority of cadets expressed positive perceptions regarding the effectiveness of SBL in enhancing their learning experience and skill development. Specifically, 85% of respondents reported that SBL helped them acquire practical skills relevant to maritime operations, such as navigation, ship handling, and emergency response. Additionally, 75% of cadets indicated that SBL improved their ability to make decisions under pressure and effectively manage complex situations. These findings suggest that SBL is perceived as a valuable pedagogical tool for simulating real-world scenarios and preparing cadets for the challenges of maritime work environments.</w:t>
      </w:r>
    </w:p>
    <w:p w14:paraId="793F0CD2" w14:textId="77777777"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2: Engagement and Immersion in Simulation Activities</w:t>
      </w:r>
    </w:p>
    <w:p w14:paraId="02DBD3BF" w14:textId="77777777"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Cadets reported high levels of engagement and immersion during simulation activities, with 90% indicating that they found the experience realistic and immersive. Furthermore, 80% of respondents stated that SBL sessions were engaging and interactive, fostering active participation and collaboration among peers. Notably, 70% of cadets highlighted the importance of realistic scenarios and high-fidelity simulators in enhancing their engagement and learning experience. These findings underscore the significance of immersive and </w:t>
      </w:r>
      <w:r w:rsidRPr="00156D00">
        <w:rPr>
          <w:rFonts w:ascii="Times New Roman" w:eastAsia="Calibri" w:hAnsi="Times New Roman" w:cs="Times New Roman"/>
          <w:bCs/>
          <w:lang w:val="en-ID"/>
        </w:rPr>
        <w:t>interactive simulation environments in facilitating meaningful learning experiences for cadets.</w:t>
      </w:r>
    </w:p>
    <w:p w14:paraId="4656F8D0" w14:textId="77777777"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3: Challenges and Limitations of Simulation-Based Learning</w:t>
      </w:r>
    </w:p>
    <w:p w14:paraId="119426C6" w14:textId="77777777"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Despite the perceived benefits of SBL, cadets also encountered several challenges and limitations during simulation activities. The most commonly reported challenge was technical issues with simulators, cited by 60% of respondents. These issues included software glitches, equipment malfunctions, and limited access to simulation resources. Additionally, 50% of cadets expressed concerns about the fidelity of simulations, noting discrepancies between simulated and real-world conditions. Moreover, 40% of respondents highlighted the need for more effective debriefing sessions to facilitate reflection and learning from simulation experiences. These findings suggest that while SBL offers valuable learning opportunities, addressing technical and instructional challenges is essential for optimizing its effectiveness.</w:t>
      </w:r>
    </w:p>
    <w:p w14:paraId="7BA030EC" w14:textId="77777777"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4: Instructor Support and Facilitation</w:t>
      </w:r>
    </w:p>
    <w:p w14:paraId="4B81DA60" w14:textId="77777777"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Instructor support and facilitation emerged as crucial factors influencing the effectiveness of SBL. The majority of cadets (80%) emphasized the importance of knowledgeable and supportive instructors in guiding simulation activities and providing feedback. Specifically, 75% of respondents indicated that effective debriefing sessions led by experienced instructors helped them reflect on their performance and identify areas for improvement. Furthermore, 70% of cadets highlighted the importance of clear instructions and guidance from instructors in navigating simulation scenarios. These findings underscore the pivotal role of instructors in facilitating meaningful learning experiences and maximizing the benefits of SBL for cadets.</w:t>
      </w:r>
    </w:p>
    <w:p w14:paraId="4FA36C77" w14:textId="77777777"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5: Transferability of Learning to Real-World Scenarios</w:t>
      </w:r>
    </w:p>
    <w:p w14:paraId="4B84F808" w14:textId="77777777"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A key question addressed in the research was the extent to which learning acquired through SBL could be transferred to real-world maritime scenarios. Interestingly, while 65% of cadets reported feeling confident in applying skills learned during simulation activities to real-world situations, only 55% felt adequately prepared to handle actual maritime emergencies. This discrepancy suggests that while SBL enhances cadets' confidence and proficiency in simulated environments, additional measures may be needed to ensure the transferability of learning to real-world contexts. Potential strategies include increasing the frequency of simulation exercises, incorporating more realistic scenarios, and providing opportunities for hands-on practice onboard vessels.</w:t>
      </w:r>
    </w:p>
    <w:p w14:paraId="472C2CD6" w14:textId="77777777"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lastRenderedPageBreak/>
        <w:t>Table 1: Perceived Effectiveness of Simulation-Based Learning</w:t>
      </w:r>
    </w:p>
    <w:tbl>
      <w:tblPr>
        <w:tblStyle w:val="TableGrid"/>
        <w:tblW w:w="4531" w:type="dxa"/>
        <w:tblLook w:val="04A0" w:firstRow="1" w:lastRow="0" w:firstColumn="1" w:lastColumn="0" w:noHBand="0" w:noVBand="1"/>
      </w:tblPr>
      <w:tblGrid>
        <w:gridCol w:w="2405"/>
        <w:gridCol w:w="2126"/>
      </w:tblGrid>
      <w:tr w:rsidR="00156D00" w:rsidRPr="00E26D16" w14:paraId="585E013A" w14:textId="77777777" w:rsidTr="00A22FEF">
        <w:tc>
          <w:tcPr>
            <w:tcW w:w="2405" w:type="dxa"/>
            <w:hideMark/>
          </w:tcPr>
          <w:p w14:paraId="04C0F718" w14:textId="77777777" w:rsidR="00156D00" w:rsidRPr="00E26D16" w:rsidRDefault="00156D00" w:rsidP="00E26D16">
            <w:pPr>
              <w:pStyle w:val="NoSpacing"/>
              <w:jc w:val="center"/>
              <w:rPr>
                <w:rFonts w:eastAsia="Calibri"/>
                <w:b/>
                <w:sz w:val="18"/>
                <w:lang w:val="en-ID"/>
              </w:rPr>
            </w:pPr>
            <w:r w:rsidRPr="00E26D16">
              <w:rPr>
                <w:rFonts w:eastAsia="Calibri"/>
                <w:b/>
                <w:sz w:val="18"/>
                <w:lang w:val="en-ID"/>
              </w:rPr>
              <w:t>Aspect of SBL</w:t>
            </w:r>
          </w:p>
        </w:tc>
        <w:tc>
          <w:tcPr>
            <w:tcW w:w="2126" w:type="dxa"/>
            <w:hideMark/>
          </w:tcPr>
          <w:p w14:paraId="79D41607" w14:textId="77777777" w:rsidR="00156D00" w:rsidRPr="00E26D16" w:rsidRDefault="00156D00" w:rsidP="00E26D16">
            <w:pPr>
              <w:pStyle w:val="NoSpacing"/>
              <w:jc w:val="center"/>
              <w:rPr>
                <w:rFonts w:eastAsia="Calibri"/>
                <w:b/>
                <w:sz w:val="18"/>
                <w:lang w:val="en-ID"/>
              </w:rPr>
            </w:pPr>
            <w:r w:rsidRPr="00E26D16">
              <w:rPr>
                <w:rFonts w:eastAsia="Calibri"/>
                <w:b/>
                <w:sz w:val="18"/>
                <w:lang w:val="en-ID"/>
              </w:rPr>
              <w:t>Percentage of Cadets</w:t>
            </w:r>
          </w:p>
        </w:tc>
      </w:tr>
      <w:tr w:rsidR="00156D00" w:rsidRPr="00E26D16" w14:paraId="34F9DF95" w14:textId="77777777" w:rsidTr="00A22FEF">
        <w:tc>
          <w:tcPr>
            <w:tcW w:w="2405" w:type="dxa"/>
            <w:hideMark/>
          </w:tcPr>
          <w:p w14:paraId="2962037C" w14:textId="77777777" w:rsidR="00156D00" w:rsidRPr="00E26D16" w:rsidRDefault="00156D00" w:rsidP="00E26D16">
            <w:pPr>
              <w:pStyle w:val="NoSpacing"/>
              <w:jc w:val="center"/>
              <w:rPr>
                <w:rFonts w:eastAsia="Calibri"/>
                <w:sz w:val="18"/>
                <w:lang w:val="en-ID"/>
              </w:rPr>
            </w:pPr>
            <w:r w:rsidRPr="00E26D16">
              <w:rPr>
                <w:rFonts w:eastAsia="Calibri"/>
                <w:sz w:val="18"/>
                <w:lang w:val="en-ID"/>
              </w:rPr>
              <w:t>Acquiring practical skills</w:t>
            </w:r>
          </w:p>
        </w:tc>
        <w:tc>
          <w:tcPr>
            <w:tcW w:w="2126" w:type="dxa"/>
            <w:hideMark/>
          </w:tcPr>
          <w:p w14:paraId="302C77BA" w14:textId="77777777" w:rsidR="00156D00" w:rsidRPr="00E26D16" w:rsidRDefault="00156D00" w:rsidP="00E26D16">
            <w:pPr>
              <w:pStyle w:val="NoSpacing"/>
              <w:jc w:val="center"/>
              <w:rPr>
                <w:rFonts w:eastAsia="Calibri"/>
                <w:sz w:val="18"/>
                <w:lang w:val="en-ID"/>
              </w:rPr>
            </w:pPr>
            <w:r w:rsidRPr="00E26D16">
              <w:rPr>
                <w:rFonts w:eastAsia="Calibri"/>
                <w:sz w:val="18"/>
                <w:lang w:val="en-ID"/>
              </w:rPr>
              <w:t>85%</w:t>
            </w:r>
          </w:p>
        </w:tc>
      </w:tr>
      <w:tr w:rsidR="00156D00" w:rsidRPr="00E26D16" w14:paraId="6FACF15B" w14:textId="77777777" w:rsidTr="00A22FEF">
        <w:tc>
          <w:tcPr>
            <w:tcW w:w="2405" w:type="dxa"/>
            <w:hideMark/>
          </w:tcPr>
          <w:p w14:paraId="710315C4" w14:textId="77777777" w:rsidR="00156D00" w:rsidRPr="00E26D16" w:rsidRDefault="00156D00" w:rsidP="00E26D16">
            <w:pPr>
              <w:pStyle w:val="NoSpacing"/>
              <w:jc w:val="center"/>
              <w:rPr>
                <w:rFonts w:eastAsia="Calibri"/>
                <w:sz w:val="18"/>
                <w:lang w:val="en-ID"/>
              </w:rPr>
            </w:pPr>
            <w:r w:rsidRPr="00E26D16">
              <w:rPr>
                <w:rFonts w:eastAsia="Calibri"/>
                <w:sz w:val="18"/>
                <w:lang w:val="en-ID"/>
              </w:rPr>
              <w:t>Decision-making under pressure</w:t>
            </w:r>
          </w:p>
        </w:tc>
        <w:tc>
          <w:tcPr>
            <w:tcW w:w="2126" w:type="dxa"/>
            <w:hideMark/>
          </w:tcPr>
          <w:p w14:paraId="1E66FAB7" w14:textId="77777777" w:rsidR="00156D00" w:rsidRPr="00E26D16" w:rsidRDefault="00156D00" w:rsidP="00E26D16">
            <w:pPr>
              <w:pStyle w:val="NoSpacing"/>
              <w:jc w:val="center"/>
              <w:rPr>
                <w:rFonts w:eastAsia="Calibri"/>
                <w:sz w:val="18"/>
                <w:lang w:val="en-ID"/>
              </w:rPr>
            </w:pPr>
            <w:r w:rsidRPr="00E26D16">
              <w:rPr>
                <w:rFonts w:eastAsia="Calibri"/>
                <w:sz w:val="18"/>
                <w:lang w:val="en-ID"/>
              </w:rPr>
              <w:t>75%</w:t>
            </w:r>
          </w:p>
        </w:tc>
      </w:tr>
      <w:tr w:rsidR="00156D00" w:rsidRPr="00E26D16" w14:paraId="70279B80" w14:textId="77777777" w:rsidTr="00A22FEF">
        <w:tc>
          <w:tcPr>
            <w:tcW w:w="2405" w:type="dxa"/>
            <w:hideMark/>
          </w:tcPr>
          <w:p w14:paraId="58B416B6" w14:textId="77777777" w:rsidR="00156D00" w:rsidRPr="00E26D16" w:rsidRDefault="00156D00" w:rsidP="00E26D16">
            <w:pPr>
              <w:pStyle w:val="NoSpacing"/>
              <w:jc w:val="center"/>
              <w:rPr>
                <w:rFonts w:eastAsia="Calibri"/>
                <w:sz w:val="18"/>
                <w:lang w:val="en-ID"/>
              </w:rPr>
            </w:pPr>
            <w:r w:rsidRPr="00E26D16">
              <w:rPr>
                <w:rFonts w:eastAsia="Calibri"/>
                <w:sz w:val="18"/>
                <w:lang w:val="en-ID"/>
              </w:rPr>
              <w:t>Realism and immersion</w:t>
            </w:r>
          </w:p>
        </w:tc>
        <w:tc>
          <w:tcPr>
            <w:tcW w:w="2126" w:type="dxa"/>
            <w:hideMark/>
          </w:tcPr>
          <w:p w14:paraId="0FD81844" w14:textId="77777777" w:rsidR="00156D00" w:rsidRPr="00E26D16" w:rsidRDefault="00156D00" w:rsidP="00E26D16">
            <w:pPr>
              <w:pStyle w:val="NoSpacing"/>
              <w:jc w:val="center"/>
              <w:rPr>
                <w:rFonts w:eastAsia="Calibri"/>
                <w:sz w:val="18"/>
                <w:lang w:val="en-ID"/>
              </w:rPr>
            </w:pPr>
            <w:r w:rsidRPr="00E26D16">
              <w:rPr>
                <w:rFonts w:eastAsia="Calibri"/>
                <w:sz w:val="18"/>
                <w:lang w:val="en-ID"/>
              </w:rPr>
              <w:t>90%</w:t>
            </w:r>
          </w:p>
        </w:tc>
      </w:tr>
      <w:tr w:rsidR="00156D00" w:rsidRPr="00E26D16" w14:paraId="3D35468B" w14:textId="77777777" w:rsidTr="00A22FEF">
        <w:tc>
          <w:tcPr>
            <w:tcW w:w="2405" w:type="dxa"/>
            <w:hideMark/>
          </w:tcPr>
          <w:p w14:paraId="3A85838C" w14:textId="77777777" w:rsidR="00156D00" w:rsidRPr="00E26D16" w:rsidRDefault="00156D00" w:rsidP="00E26D16">
            <w:pPr>
              <w:pStyle w:val="NoSpacing"/>
              <w:jc w:val="center"/>
              <w:rPr>
                <w:rFonts w:eastAsia="Calibri"/>
                <w:sz w:val="18"/>
                <w:lang w:val="en-ID"/>
              </w:rPr>
            </w:pPr>
            <w:r w:rsidRPr="00E26D16">
              <w:rPr>
                <w:rFonts w:eastAsia="Calibri"/>
                <w:sz w:val="18"/>
                <w:lang w:val="en-ID"/>
              </w:rPr>
              <w:t>Engagement and interactivity</w:t>
            </w:r>
          </w:p>
        </w:tc>
        <w:tc>
          <w:tcPr>
            <w:tcW w:w="2126" w:type="dxa"/>
            <w:hideMark/>
          </w:tcPr>
          <w:p w14:paraId="2F146A0D" w14:textId="77777777" w:rsidR="00156D00" w:rsidRPr="00E26D16" w:rsidRDefault="00156D00" w:rsidP="00E26D16">
            <w:pPr>
              <w:pStyle w:val="NoSpacing"/>
              <w:jc w:val="center"/>
              <w:rPr>
                <w:rFonts w:eastAsia="Calibri"/>
                <w:sz w:val="18"/>
                <w:lang w:val="en-ID"/>
              </w:rPr>
            </w:pPr>
            <w:r w:rsidRPr="00E26D16">
              <w:rPr>
                <w:rFonts w:eastAsia="Calibri"/>
                <w:sz w:val="18"/>
                <w:lang w:val="en-ID"/>
              </w:rPr>
              <w:t>80%</w:t>
            </w:r>
          </w:p>
        </w:tc>
      </w:tr>
      <w:tr w:rsidR="00156D00" w:rsidRPr="00E26D16" w14:paraId="4D62BEB7" w14:textId="77777777" w:rsidTr="00A22FEF">
        <w:tc>
          <w:tcPr>
            <w:tcW w:w="2405" w:type="dxa"/>
            <w:hideMark/>
          </w:tcPr>
          <w:p w14:paraId="3FE029D3" w14:textId="77777777" w:rsidR="00156D00" w:rsidRPr="00E26D16" w:rsidRDefault="00156D00" w:rsidP="00E26D16">
            <w:pPr>
              <w:pStyle w:val="NoSpacing"/>
              <w:jc w:val="center"/>
              <w:rPr>
                <w:rFonts w:eastAsia="Calibri"/>
                <w:sz w:val="18"/>
                <w:lang w:val="en-ID"/>
              </w:rPr>
            </w:pPr>
            <w:r w:rsidRPr="00E26D16">
              <w:rPr>
                <w:rFonts w:eastAsia="Calibri"/>
                <w:sz w:val="18"/>
                <w:lang w:val="en-ID"/>
              </w:rPr>
              <w:t>Technical issues with simulators</w:t>
            </w:r>
          </w:p>
        </w:tc>
        <w:tc>
          <w:tcPr>
            <w:tcW w:w="2126" w:type="dxa"/>
            <w:hideMark/>
          </w:tcPr>
          <w:p w14:paraId="15B149A3" w14:textId="77777777" w:rsidR="00156D00" w:rsidRPr="00E26D16" w:rsidRDefault="00156D00" w:rsidP="00E26D16">
            <w:pPr>
              <w:pStyle w:val="NoSpacing"/>
              <w:jc w:val="center"/>
              <w:rPr>
                <w:rFonts w:eastAsia="Calibri"/>
                <w:sz w:val="18"/>
                <w:lang w:val="en-ID"/>
              </w:rPr>
            </w:pPr>
            <w:r w:rsidRPr="00E26D16">
              <w:rPr>
                <w:rFonts w:eastAsia="Calibri"/>
                <w:sz w:val="18"/>
                <w:lang w:val="en-ID"/>
              </w:rPr>
              <w:t>60%</w:t>
            </w:r>
          </w:p>
        </w:tc>
      </w:tr>
      <w:tr w:rsidR="00156D00" w:rsidRPr="00E26D16" w14:paraId="150063C9" w14:textId="77777777" w:rsidTr="00A22FEF">
        <w:tc>
          <w:tcPr>
            <w:tcW w:w="2405" w:type="dxa"/>
            <w:hideMark/>
          </w:tcPr>
          <w:p w14:paraId="603B5DC7" w14:textId="77777777" w:rsidR="00156D00" w:rsidRPr="00E26D16" w:rsidRDefault="00156D00" w:rsidP="00E26D16">
            <w:pPr>
              <w:pStyle w:val="NoSpacing"/>
              <w:jc w:val="center"/>
              <w:rPr>
                <w:rFonts w:eastAsia="Calibri"/>
                <w:sz w:val="18"/>
                <w:lang w:val="en-ID"/>
              </w:rPr>
            </w:pPr>
            <w:r w:rsidRPr="00E26D16">
              <w:rPr>
                <w:rFonts w:eastAsia="Calibri"/>
                <w:sz w:val="18"/>
                <w:lang w:val="en-ID"/>
              </w:rPr>
              <w:t>Fidelity of simulations</w:t>
            </w:r>
          </w:p>
        </w:tc>
        <w:tc>
          <w:tcPr>
            <w:tcW w:w="2126" w:type="dxa"/>
            <w:hideMark/>
          </w:tcPr>
          <w:p w14:paraId="60897954" w14:textId="77777777" w:rsidR="00156D00" w:rsidRPr="00E26D16" w:rsidRDefault="00156D00" w:rsidP="00E26D16">
            <w:pPr>
              <w:pStyle w:val="NoSpacing"/>
              <w:jc w:val="center"/>
              <w:rPr>
                <w:rFonts w:eastAsia="Calibri"/>
                <w:sz w:val="18"/>
                <w:lang w:val="en-ID"/>
              </w:rPr>
            </w:pPr>
            <w:r w:rsidRPr="00E26D16">
              <w:rPr>
                <w:rFonts w:eastAsia="Calibri"/>
                <w:sz w:val="18"/>
                <w:lang w:val="en-ID"/>
              </w:rPr>
              <w:t>50%</w:t>
            </w:r>
          </w:p>
        </w:tc>
      </w:tr>
      <w:tr w:rsidR="00156D00" w:rsidRPr="00E26D16" w14:paraId="171CBA1F" w14:textId="77777777" w:rsidTr="00A22FEF">
        <w:tc>
          <w:tcPr>
            <w:tcW w:w="2405" w:type="dxa"/>
            <w:hideMark/>
          </w:tcPr>
          <w:p w14:paraId="4B00C872" w14:textId="77777777" w:rsidR="00156D00" w:rsidRPr="00E26D16" w:rsidRDefault="00156D00" w:rsidP="00E26D16">
            <w:pPr>
              <w:pStyle w:val="NoSpacing"/>
              <w:jc w:val="center"/>
              <w:rPr>
                <w:rFonts w:eastAsia="Calibri"/>
                <w:sz w:val="18"/>
                <w:lang w:val="en-ID"/>
              </w:rPr>
            </w:pPr>
            <w:r w:rsidRPr="00E26D16">
              <w:rPr>
                <w:rFonts w:eastAsia="Calibri"/>
                <w:sz w:val="18"/>
                <w:lang w:val="en-ID"/>
              </w:rPr>
              <w:t>Instructor support</w:t>
            </w:r>
          </w:p>
        </w:tc>
        <w:tc>
          <w:tcPr>
            <w:tcW w:w="2126" w:type="dxa"/>
            <w:hideMark/>
          </w:tcPr>
          <w:p w14:paraId="7816A09E" w14:textId="77777777" w:rsidR="00156D00" w:rsidRPr="00E26D16" w:rsidRDefault="00156D00" w:rsidP="00E26D16">
            <w:pPr>
              <w:pStyle w:val="NoSpacing"/>
              <w:jc w:val="center"/>
              <w:rPr>
                <w:rFonts w:eastAsia="Calibri"/>
                <w:sz w:val="18"/>
                <w:lang w:val="en-ID"/>
              </w:rPr>
            </w:pPr>
            <w:r w:rsidRPr="00E26D16">
              <w:rPr>
                <w:rFonts w:eastAsia="Calibri"/>
                <w:sz w:val="18"/>
                <w:lang w:val="en-ID"/>
              </w:rPr>
              <w:t>80%</w:t>
            </w:r>
          </w:p>
        </w:tc>
      </w:tr>
      <w:tr w:rsidR="00156D00" w:rsidRPr="00E26D16" w14:paraId="0D1084C8" w14:textId="77777777" w:rsidTr="00A22FEF">
        <w:tc>
          <w:tcPr>
            <w:tcW w:w="2405" w:type="dxa"/>
            <w:hideMark/>
          </w:tcPr>
          <w:p w14:paraId="441D0051" w14:textId="77777777" w:rsidR="00156D00" w:rsidRPr="00E26D16" w:rsidRDefault="00156D00" w:rsidP="00E26D16">
            <w:pPr>
              <w:pStyle w:val="NoSpacing"/>
              <w:jc w:val="center"/>
              <w:rPr>
                <w:rFonts w:eastAsia="Calibri"/>
                <w:sz w:val="18"/>
                <w:lang w:val="en-ID"/>
              </w:rPr>
            </w:pPr>
            <w:r w:rsidRPr="00E26D16">
              <w:rPr>
                <w:rFonts w:eastAsia="Calibri"/>
                <w:sz w:val="18"/>
                <w:lang w:val="en-ID"/>
              </w:rPr>
              <w:t>Confidence in applying skills</w:t>
            </w:r>
          </w:p>
        </w:tc>
        <w:tc>
          <w:tcPr>
            <w:tcW w:w="2126" w:type="dxa"/>
            <w:hideMark/>
          </w:tcPr>
          <w:p w14:paraId="27A20117" w14:textId="77777777" w:rsidR="00156D00" w:rsidRPr="00E26D16" w:rsidRDefault="00156D00" w:rsidP="00E26D16">
            <w:pPr>
              <w:pStyle w:val="NoSpacing"/>
              <w:jc w:val="center"/>
              <w:rPr>
                <w:rFonts w:eastAsia="Calibri"/>
                <w:sz w:val="18"/>
                <w:lang w:val="en-ID"/>
              </w:rPr>
            </w:pPr>
            <w:r w:rsidRPr="00E26D16">
              <w:rPr>
                <w:rFonts w:eastAsia="Calibri"/>
                <w:sz w:val="18"/>
                <w:lang w:val="en-ID"/>
              </w:rPr>
              <w:t>65%</w:t>
            </w:r>
          </w:p>
        </w:tc>
      </w:tr>
      <w:tr w:rsidR="00156D00" w:rsidRPr="00E26D16" w14:paraId="25055709" w14:textId="77777777" w:rsidTr="00A22FEF">
        <w:tc>
          <w:tcPr>
            <w:tcW w:w="2405" w:type="dxa"/>
            <w:hideMark/>
          </w:tcPr>
          <w:p w14:paraId="4DC2B3B0" w14:textId="77777777" w:rsidR="00156D00" w:rsidRPr="00E26D16" w:rsidRDefault="00156D00" w:rsidP="00E26D16">
            <w:pPr>
              <w:pStyle w:val="NoSpacing"/>
              <w:jc w:val="center"/>
              <w:rPr>
                <w:rFonts w:eastAsia="Calibri"/>
                <w:sz w:val="18"/>
                <w:lang w:val="en-ID"/>
              </w:rPr>
            </w:pPr>
            <w:r w:rsidRPr="00E26D16">
              <w:rPr>
                <w:rFonts w:eastAsia="Calibri"/>
                <w:sz w:val="18"/>
                <w:lang w:val="en-ID"/>
              </w:rPr>
              <w:t>Preparedness for real-world scenarios</w:t>
            </w:r>
          </w:p>
        </w:tc>
        <w:tc>
          <w:tcPr>
            <w:tcW w:w="2126" w:type="dxa"/>
            <w:hideMark/>
          </w:tcPr>
          <w:p w14:paraId="41744845" w14:textId="77777777" w:rsidR="00156D00" w:rsidRPr="00E26D16" w:rsidRDefault="00156D00" w:rsidP="00E26D16">
            <w:pPr>
              <w:pStyle w:val="NoSpacing"/>
              <w:jc w:val="center"/>
              <w:rPr>
                <w:rFonts w:eastAsia="Calibri"/>
                <w:sz w:val="18"/>
                <w:lang w:val="en-ID"/>
              </w:rPr>
            </w:pPr>
            <w:r w:rsidRPr="00E26D16">
              <w:rPr>
                <w:rFonts w:eastAsia="Calibri"/>
                <w:sz w:val="18"/>
                <w:lang w:val="en-ID"/>
              </w:rPr>
              <w:t>55%</w:t>
            </w:r>
          </w:p>
        </w:tc>
      </w:tr>
    </w:tbl>
    <w:p w14:paraId="58E8B12F" w14:textId="77777777" w:rsidR="00E26D16" w:rsidRDefault="00E26D16" w:rsidP="00E26D16">
      <w:pPr>
        <w:autoSpaceDE w:val="0"/>
        <w:autoSpaceDN w:val="0"/>
        <w:adjustRightInd w:val="0"/>
        <w:spacing w:after="0" w:line="240" w:lineRule="auto"/>
        <w:jc w:val="both"/>
        <w:rPr>
          <w:rFonts w:ascii="Times New Roman" w:eastAsia="Calibri" w:hAnsi="Times New Roman" w:cs="Times New Roman"/>
          <w:b/>
          <w:bCs/>
          <w:lang w:val="en-ID"/>
        </w:rPr>
      </w:pPr>
    </w:p>
    <w:p w14:paraId="71E24BC3" w14:textId="77777777"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2: Challenges and Limitations of Simulation-Based Learning</w:t>
      </w:r>
    </w:p>
    <w:tbl>
      <w:tblPr>
        <w:tblStyle w:val="TableGrid"/>
        <w:tblW w:w="4531" w:type="dxa"/>
        <w:tblLook w:val="04A0" w:firstRow="1" w:lastRow="0" w:firstColumn="1" w:lastColumn="0" w:noHBand="0" w:noVBand="1"/>
      </w:tblPr>
      <w:tblGrid>
        <w:gridCol w:w="2689"/>
        <w:gridCol w:w="1842"/>
      </w:tblGrid>
      <w:tr w:rsidR="00156D00" w:rsidRPr="00E26D16" w14:paraId="544FFAFF" w14:textId="77777777" w:rsidTr="00A22FEF">
        <w:tc>
          <w:tcPr>
            <w:tcW w:w="2689" w:type="dxa"/>
            <w:hideMark/>
          </w:tcPr>
          <w:p w14:paraId="11816311" w14:textId="77777777" w:rsidR="00156D00" w:rsidRPr="00E26D16" w:rsidRDefault="00156D00" w:rsidP="00E26D16">
            <w:pPr>
              <w:pStyle w:val="NoSpacing"/>
              <w:jc w:val="center"/>
              <w:rPr>
                <w:rFonts w:eastAsia="Calibri"/>
                <w:b/>
                <w:sz w:val="18"/>
                <w:lang w:val="en-ID"/>
              </w:rPr>
            </w:pPr>
            <w:r w:rsidRPr="00E26D16">
              <w:rPr>
                <w:rFonts w:eastAsia="Calibri"/>
                <w:b/>
                <w:sz w:val="18"/>
                <w:lang w:val="en-ID"/>
              </w:rPr>
              <w:t>Challenge/Limitation</w:t>
            </w:r>
          </w:p>
        </w:tc>
        <w:tc>
          <w:tcPr>
            <w:tcW w:w="1842" w:type="dxa"/>
            <w:hideMark/>
          </w:tcPr>
          <w:p w14:paraId="2BC233F5" w14:textId="77777777" w:rsidR="00156D00" w:rsidRPr="00E26D16" w:rsidRDefault="00156D00" w:rsidP="00E26D16">
            <w:pPr>
              <w:pStyle w:val="NoSpacing"/>
              <w:jc w:val="center"/>
              <w:rPr>
                <w:rFonts w:eastAsia="Calibri"/>
                <w:b/>
                <w:sz w:val="18"/>
                <w:lang w:val="en-ID"/>
              </w:rPr>
            </w:pPr>
            <w:r w:rsidRPr="00E26D16">
              <w:rPr>
                <w:rFonts w:eastAsia="Calibri"/>
                <w:b/>
                <w:sz w:val="18"/>
                <w:lang w:val="en-ID"/>
              </w:rPr>
              <w:t>Percentage of Cadets</w:t>
            </w:r>
          </w:p>
        </w:tc>
      </w:tr>
      <w:tr w:rsidR="00156D00" w:rsidRPr="00E26D16" w14:paraId="5FA1D4C1" w14:textId="77777777" w:rsidTr="00A22FEF">
        <w:tc>
          <w:tcPr>
            <w:tcW w:w="2689" w:type="dxa"/>
            <w:hideMark/>
          </w:tcPr>
          <w:p w14:paraId="1B5CDCEF" w14:textId="77777777" w:rsidR="00156D00" w:rsidRPr="00E26D16" w:rsidRDefault="00156D00" w:rsidP="00E26D16">
            <w:pPr>
              <w:pStyle w:val="NoSpacing"/>
              <w:jc w:val="center"/>
              <w:rPr>
                <w:rFonts w:eastAsia="Calibri"/>
                <w:sz w:val="18"/>
                <w:lang w:val="en-ID"/>
              </w:rPr>
            </w:pPr>
            <w:r w:rsidRPr="00E26D16">
              <w:rPr>
                <w:rFonts w:eastAsia="Calibri"/>
                <w:sz w:val="18"/>
                <w:lang w:val="en-ID"/>
              </w:rPr>
              <w:t>Technical issues with simulators</w:t>
            </w:r>
          </w:p>
        </w:tc>
        <w:tc>
          <w:tcPr>
            <w:tcW w:w="1842" w:type="dxa"/>
            <w:hideMark/>
          </w:tcPr>
          <w:p w14:paraId="54947D90" w14:textId="77777777" w:rsidR="00156D00" w:rsidRPr="00E26D16" w:rsidRDefault="00156D00" w:rsidP="00E26D16">
            <w:pPr>
              <w:pStyle w:val="NoSpacing"/>
              <w:jc w:val="center"/>
              <w:rPr>
                <w:rFonts w:eastAsia="Calibri"/>
                <w:sz w:val="18"/>
                <w:lang w:val="en-ID"/>
              </w:rPr>
            </w:pPr>
            <w:r w:rsidRPr="00E26D16">
              <w:rPr>
                <w:rFonts w:eastAsia="Calibri"/>
                <w:sz w:val="18"/>
                <w:lang w:val="en-ID"/>
              </w:rPr>
              <w:t>60%</w:t>
            </w:r>
          </w:p>
        </w:tc>
      </w:tr>
      <w:tr w:rsidR="00156D00" w:rsidRPr="00E26D16" w14:paraId="6407E0DF" w14:textId="77777777" w:rsidTr="00A22FEF">
        <w:tc>
          <w:tcPr>
            <w:tcW w:w="2689" w:type="dxa"/>
            <w:hideMark/>
          </w:tcPr>
          <w:p w14:paraId="5E6BC8FA" w14:textId="77777777" w:rsidR="00156D00" w:rsidRPr="00E26D16" w:rsidRDefault="00156D00" w:rsidP="00E26D16">
            <w:pPr>
              <w:pStyle w:val="NoSpacing"/>
              <w:jc w:val="center"/>
              <w:rPr>
                <w:rFonts w:eastAsia="Calibri"/>
                <w:sz w:val="18"/>
                <w:lang w:val="en-ID"/>
              </w:rPr>
            </w:pPr>
            <w:r w:rsidRPr="00E26D16">
              <w:rPr>
                <w:rFonts w:eastAsia="Calibri"/>
                <w:sz w:val="18"/>
                <w:lang w:val="en-ID"/>
              </w:rPr>
              <w:t>Fidelity of simulations</w:t>
            </w:r>
          </w:p>
        </w:tc>
        <w:tc>
          <w:tcPr>
            <w:tcW w:w="1842" w:type="dxa"/>
            <w:hideMark/>
          </w:tcPr>
          <w:p w14:paraId="680A08FE" w14:textId="77777777" w:rsidR="00156D00" w:rsidRPr="00E26D16" w:rsidRDefault="00156D00" w:rsidP="00E26D16">
            <w:pPr>
              <w:pStyle w:val="NoSpacing"/>
              <w:jc w:val="center"/>
              <w:rPr>
                <w:rFonts w:eastAsia="Calibri"/>
                <w:sz w:val="18"/>
                <w:lang w:val="en-ID"/>
              </w:rPr>
            </w:pPr>
            <w:r w:rsidRPr="00E26D16">
              <w:rPr>
                <w:rFonts w:eastAsia="Calibri"/>
                <w:sz w:val="18"/>
                <w:lang w:val="en-ID"/>
              </w:rPr>
              <w:t>50%</w:t>
            </w:r>
          </w:p>
        </w:tc>
      </w:tr>
      <w:tr w:rsidR="00156D00" w:rsidRPr="00E26D16" w14:paraId="7A1BB61C" w14:textId="77777777" w:rsidTr="00A22FEF">
        <w:tc>
          <w:tcPr>
            <w:tcW w:w="2689" w:type="dxa"/>
            <w:hideMark/>
          </w:tcPr>
          <w:p w14:paraId="1D4ABABB" w14:textId="77777777" w:rsidR="00156D00" w:rsidRPr="00E26D16" w:rsidRDefault="00156D00" w:rsidP="00E26D16">
            <w:pPr>
              <w:pStyle w:val="NoSpacing"/>
              <w:jc w:val="center"/>
              <w:rPr>
                <w:rFonts w:eastAsia="Calibri"/>
                <w:sz w:val="18"/>
                <w:lang w:val="en-ID"/>
              </w:rPr>
            </w:pPr>
            <w:r w:rsidRPr="00E26D16">
              <w:rPr>
                <w:rFonts w:eastAsia="Calibri"/>
                <w:sz w:val="18"/>
                <w:lang w:val="en-ID"/>
              </w:rPr>
              <w:t>Effectiveness of debriefing sessions</w:t>
            </w:r>
          </w:p>
        </w:tc>
        <w:tc>
          <w:tcPr>
            <w:tcW w:w="1842" w:type="dxa"/>
            <w:hideMark/>
          </w:tcPr>
          <w:p w14:paraId="56EA6B1A" w14:textId="77777777" w:rsidR="00156D00" w:rsidRPr="00E26D16" w:rsidRDefault="00156D00" w:rsidP="00E26D16">
            <w:pPr>
              <w:pStyle w:val="NoSpacing"/>
              <w:jc w:val="center"/>
              <w:rPr>
                <w:rFonts w:eastAsia="Calibri"/>
                <w:sz w:val="18"/>
                <w:lang w:val="en-ID"/>
              </w:rPr>
            </w:pPr>
            <w:r w:rsidRPr="00E26D16">
              <w:rPr>
                <w:rFonts w:eastAsia="Calibri"/>
                <w:sz w:val="18"/>
                <w:lang w:val="en-ID"/>
              </w:rPr>
              <w:t>40%</w:t>
            </w:r>
          </w:p>
        </w:tc>
      </w:tr>
    </w:tbl>
    <w:p w14:paraId="14263F12" w14:textId="77777777"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 summary, the findings of the research highlight the perceived effectiveness of Simulation-Based Learning in maritime training, as well as the challenges and limitations encountered by cadets. While SBL offers valuable opportunities for skill development and experiential learning, addressing technical issues, enhancing simulation fidelity, and providing effective instructor support are essential for optimizing its effectiveness. Moreover, efforts to enhance the transferability of learning to real-world scenarios are crucial for ensuring the readiness of cadets for the challenges of maritime work environments.</w:t>
      </w:r>
    </w:p>
    <w:p w14:paraId="1A4E426C" w14:textId="77777777" w:rsidR="00BB59B9" w:rsidRPr="00156D00" w:rsidRDefault="00BB59B9" w:rsidP="00190277">
      <w:pPr>
        <w:autoSpaceDE w:val="0"/>
        <w:autoSpaceDN w:val="0"/>
        <w:adjustRightInd w:val="0"/>
        <w:spacing w:after="0" w:line="240" w:lineRule="auto"/>
        <w:jc w:val="both"/>
        <w:rPr>
          <w:rFonts w:ascii="Times New Roman" w:eastAsia="Calibri" w:hAnsi="Times New Roman" w:cs="Times New Roman"/>
          <w:bCs/>
        </w:rPr>
      </w:pPr>
    </w:p>
    <w:p w14:paraId="4756FB81" w14:textId="77777777"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 xml:space="preserve">3.1.2. </w:t>
      </w:r>
      <w:r w:rsidR="00156D00" w:rsidRPr="00156D00">
        <w:rPr>
          <w:rFonts w:ascii="Times New Roman" w:eastAsia="Calibri" w:hAnsi="Times New Roman" w:cs="Times New Roman"/>
          <w:b/>
          <w:bCs/>
        </w:rPr>
        <w:t>Analysis of Research, Needs, and Professionalism in Maritime Education</w:t>
      </w:r>
    </w:p>
    <w:p w14:paraId="6EFB6EA2" w14:textId="77777777"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These findings not only support and empower the first findings but also provide valuable insights into the alignment of Simulation-Based Learning (SBL) with the standards of International Maritime education, Marine Engineering, Applied and Equipped Vocational, and the International Maritime Organization (IMO) - Standards of Training, Certification, and Watchkeeping (STCW).</w:t>
      </w:r>
    </w:p>
    <w:p w14:paraId="3ED036D6" w14:textId="77777777"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Analysis of Research Needs</w:t>
      </w:r>
    </w:p>
    <w:p w14:paraId="54D47E7E" w14:textId="77777777"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identified several key needs within the realm of maritime education, which have implications for the design and implementation of simulation-based training programs. Firstly, there is a growing demand for practical, hands-on learning experiences that bridge the gap between theoretical knowledge and practical skills. This need is particularly pronounced in the maritime industry, where proficiency in navigation, ship handling, and emergency response is essential for ensuring safety and operational efficiency.</w:t>
      </w:r>
    </w:p>
    <w:p w14:paraId="77057DF0" w14:textId="77777777"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Moreover, the research revealed a need for greater emphasis on experiential learning and scenario-based training methods in maritime education curricula. Traditional instructional approaches often prioritize theoretical instruction over practical application, leading to a disconnect between classroom learning and real-world practice. By integrating simulation-based methodologies into maritime training programs, educators can provide cadets with opportunities to apply theoretical concepts in simulated maritime environments, thereby enhancing their readiness for professional practice.</w:t>
      </w:r>
    </w:p>
    <w:p w14:paraId="28BD5C0C" w14:textId="77777777"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the research highlighted the importance of aligning maritime education programs with international standards and regulatory requirements, such as those set forth by the IMO-STCW. Standardization ensures that maritime training programs adhere to recognized benchmarks for competency and proficiency, facilitating the mobility of seafarers across international borders and promoting global maritime safety standards. Therefore, there is a need for simulation-based training programs to align with the competencies outlined in the IMO-STCW regulations, thereby ensuring that cadets receive comprehensive and standardized training.</w:t>
      </w:r>
    </w:p>
    <w:p w14:paraId="0380F594" w14:textId="77777777"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Alignment with International Maritime Standards</w:t>
      </w:r>
    </w:p>
    <w:p w14:paraId="0559F19B" w14:textId="77777777"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Simulation-Based Learning (SBL) holds significant promise for meeting the needs and professional requirements of the maritime industry, as outlined by international standards and regulations. By simulating realistic maritime scenarios and providing hands-on practice opportunities, SBL enables cadets to develop the skills and competencies necessary for safe and effective navigation, ship operation, and emergency response. Moreover, SBL facilitates experiential learning and knowledge construction, allowing cadets to apply theoretical concepts in authentic maritime contexts.</w:t>
      </w:r>
    </w:p>
    <w:p w14:paraId="66967BAE" w14:textId="77777777"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SBL aligns with the principles of competency-based education, which emphasize the acquisition of practical skills and the demonstration of proficiency in real-world settings. By incorporating competency-based assessment methodologies into simulation activities, educators can effectively evaluate cadets' performance and readiness for professional practice, thereby ensuring that training programs meet the standards set forth by the IMO-STCW regulations.</w:t>
      </w:r>
    </w:p>
    <w:p w14:paraId="3613C124" w14:textId="77777777"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3: Analysis of Research Needs in Maritime Education</w:t>
      </w:r>
    </w:p>
    <w:tbl>
      <w:tblPr>
        <w:tblStyle w:val="TableGrid"/>
        <w:tblW w:w="4531" w:type="dxa"/>
        <w:tblLook w:val="04A0" w:firstRow="1" w:lastRow="0" w:firstColumn="1" w:lastColumn="0" w:noHBand="0" w:noVBand="1"/>
      </w:tblPr>
      <w:tblGrid>
        <w:gridCol w:w="2405"/>
        <w:gridCol w:w="2126"/>
      </w:tblGrid>
      <w:tr w:rsidR="00156D00" w:rsidRPr="00E26D16" w14:paraId="51BF8439" w14:textId="77777777" w:rsidTr="00A22FEF">
        <w:tc>
          <w:tcPr>
            <w:tcW w:w="2405" w:type="dxa"/>
            <w:hideMark/>
          </w:tcPr>
          <w:p w14:paraId="2EE55061" w14:textId="77777777" w:rsidR="00156D00" w:rsidRPr="00E26D16" w:rsidRDefault="00156D00" w:rsidP="00E26D16">
            <w:pPr>
              <w:pStyle w:val="NoSpacing"/>
              <w:jc w:val="center"/>
              <w:rPr>
                <w:rFonts w:eastAsia="Calibri"/>
                <w:b/>
                <w:sz w:val="18"/>
                <w:lang w:val="en-ID"/>
              </w:rPr>
            </w:pPr>
            <w:r w:rsidRPr="00E26D16">
              <w:rPr>
                <w:rFonts w:eastAsia="Calibri"/>
                <w:b/>
                <w:sz w:val="18"/>
                <w:lang w:val="en-ID"/>
              </w:rPr>
              <w:t>Research Need</w:t>
            </w:r>
          </w:p>
        </w:tc>
        <w:tc>
          <w:tcPr>
            <w:tcW w:w="2126" w:type="dxa"/>
            <w:hideMark/>
          </w:tcPr>
          <w:p w14:paraId="2E496BF6" w14:textId="77777777" w:rsidR="00156D00" w:rsidRPr="00E26D16" w:rsidRDefault="00156D00" w:rsidP="00E26D16">
            <w:pPr>
              <w:pStyle w:val="NoSpacing"/>
              <w:jc w:val="center"/>
              <w:rPr>
                <w:rFonts w:eastAsia="Calibri"/>
                <w:b/>
                <w:sz w:val="18"/>
                <w:lang w:val="en-ID"/>
              </w:rPr>
            </w:pPr>
            <w:r w:rsidRPr="00E26D16">
              <w:rPr>
                <w:rFonts w:eastAsia="Calibri"/>
                <w:b/>
                <w:sz w:val="18"/>
                <w:lang w:val="en-ID"/>
              </w:rPr>
              <w:t>Implications</w:t>
            </w:r>
          </w:p>
        </w:tc>
      </w:tr>
      <w:tr w:rsidR="00156D00" w:rsidRPr="00E26D16" w14:paraId="4E6861F9" w14:textId="77777777" w:rsidTr="00A22FEF">
        <w:tc>
          <w:tcPr>
            <w:tcW w:w="2405" w:type="dxa"/>
            <w:hideMark/>
          </w:tcPr>
          <w:p w14:paraId="3B405FF7" w14:textId="77777777" w:rsidR="00156D00" w:rsidRPr="00E26D16" w:rsidRDefault="00156D00" w:rsidP="00E26D16">
            <w:pPr>
              <w:pStyle w:val="NoSpacing"/>
              <w:jc w:val="center"/>
              <w:rPr>
                <w:rFonts w:eastAsia="Calibri"/>
                <w:sz w:val="18"/>
                <w:lang w:val="en-ID"/>
              </w:rPr>
            </w:pPr>
            <w:r w:rsidRPr="00E26D16">
              <w:rPr>
                <w:rFonts w:eastAsia="Calibri"/>
                <w:sz w:val="18"/>
                <w:lang w:val="en-ID"/>
              </w:rPr>
              <w:t>Demand for practical, hands-on learning experiences</w:t>
            </w:r>
          </w:p>
        </w:tc>
        <w:tc>
          <w:tcPr>
            <w:tcW w:w="2126" w:type="dxa"/>
            <w:hideMark/>
          </w:tcPr>
          <w:p w14:paraId="2FAE57BB" w14:textId="77777777" w:rsidR="00156D00" w:rsidRPr="00E26D16" w:rsidRDefault="00156D00" w:rsidP="00E26D16">
            <w:pPr>
              <w:pStyle w:val="NoSpacing"/>
              <w:jc w:val="center"/>
              <w:rPr>
                <w:rFonts w:eastAsia="Calibri"/>
                <w:sz w:val="18"/>
                <w:lang w:val="en-ID"/>
              </w:rPr>
            </w:pPr>
            <w:r w:rsidRPr="00E26D16">
              <w:rPr>
                <w:rFonts w:eastAsia="Calibri"/>
                <w:sz w:val="18"/>
                <w:lang w:val="en-ID"/>
              </w:rPr>
              <w:t>Bridge gap between theory and practice</w:t>
            </w:r>
          </w:p>
        </w:tc>
      </w:tr>
      <w:tr w:rsidR="00156D00" w:rsidRPr="00E26D16" w14:paraId="33A89E5A" w14:textId="77777777" w:rsidTr="00A22FEF">
        <w:tc>
          <w:tcPr>
            <w:tcW w:w="2405" w:type="dxa"/>
            <w:hideMark/>
          </w:tcPr>
          <w:p w14:paraId="15835A69" w14:textId="77777777" w:rsidR="00156D00" w:rsidRPr="00E26D16" w:rsidRDefault="00156D00" w:rsidP="00E26D16">
            <w:pPr>
              <w:pStyle w:val="NoSpacing"/>
              <w:jc w:val="center"/>
              <w:rPr>
                <w:rFonts w:eastAsia="Calibri"/>
                <w:sz w:val="18"/>
                <w:lang w:val="en-ID"/>
              </w:rPr>
            </w:pPr>
            <w:r w:rsidRPr="00E26D16">
              <w:rPr>
                <w:rFonts w:eastAsia="Calibri"/>
                <w:sz w:val="18"/>
                <w:lang w:val="en-ID"/>
              </w:rPr>
              <w:lastRenderedPageBreak/>
              <w:t>Emphasis on experiential learning and scenario-based training</w:t>
            </w:r>
          </w:p>
        </w:tc>
        <w:tc>
          <w:tcPr>
            <w:tcW w:w="2126" w:type="dxa"/>
            <w:hideMark/>
          </w:tcPr>
          <w:p w14:paraId="6B303686" w14:textId="77777777" w:rsidR="00156D00" w:rsidRPr="00E26D16" w:rsidRDefault="00156D00" w:rsidP="00E26D16">
            <w:pPr>
              <w:pStyle w:val="NoSpacing"/>
              <w:jc w:val="center"/>
              <w:rPr>
                <w:rFonts w:eastAsia="Calibri"/>
                <w:sz w:val="18"/>
                <w:lang w:val="en-ID"/>
              </w:rPr>
            </w:pPr>
            <w:r w:rsidRPr="00E26D16">
              <w:rPr>
                <w:rFonts w:eastAsia="Calibri"/>
                <w:sz w:val="18"/>
                <w:lang w:val="en-ID"/>
              </w:rPr>
              <w:t>Enhance readiness for real-world practice</w:t>
            </w:r>
          </w:p>
        </w:tc>
      </w:tr>
      <w:tr w:rsidR="00156D00" w:rsidRPr="00E26D16" w14:paraId="1317DC5A" w14:textId="77777777" w:rsidTr="00A22FEF">
        <w:tc>
          <w:tcPr>
            <w:tcW w:w="2405" w:type="dxa"/>
            <w:hideMark/>
          </w:tcPr>
          <w:p w14:paraId="66CFBD48" w14:textId="77777777" w:rsidR="00156D00" w:rsidRPr="00E26D16" w:rsidRDefault="00156D00" w:rsidP="00E26D16">
            <w:pPr>
              <w:pStyle w:val="NoSpacing"/>
              <w:jc w:val="center"/>
              <w:rPr>
                <w:rFonts w:eastAsia="Calibri"/>
                <w:sz w:val="18"/>
                <w:lang w:val="en-ID"/>
              </w:rPr>
            </w:pPr>
            <w:r w:rsidRPr="00E26D16">
              <w:rPr>
                <w:rFonts w:eastAsia="Calibri"/>
                <w:sz w:val="18"/>
                <w:lang w:val="en-ID"/>
              </w:rPr>
              <w:t>Alignment with international standards and regulatory requirements</w:t>
            </w:r>
          </w:p>
        </w:tc>
        <w:tc>
          <w:tcPr>
            <w:tcW w:w="2126" w:type="dxa"/>
            <w:hideMark/>
          </w:tcPr>
          <w:p w14:paraId="4A9D6426" w14:textId="77777777" w:rsidR="00156D00" w:rsidRPr="00E26D16" w:rsidRDefault="00156D00" w:rsidP="00E26D16">
            <w:pPr>
              <w:pStyle w:val="NoSpacing"/>
              <w:jc w:val="center"/>
              <w:rPr>
                <w:rFonts w:eastAsia="Calibri"/>
                <w:sz w:val="18"/>
                <w:lang w:val="en-ID"/>
              </w:rPr>
            </w:pPr>
            <w:r w:rsidRPr="00E26D16">
              <w:rPr>
                <w:rFonts w:eastAsia="Calibri"/>
                <w:sz w:val="18"/>
                <w:lang w:val="en-ID"/>
              </w:rPr>
              <w:t>Ensure competency and proficiency</w:t>
            </w:r>
          </w:p>
        </w:tc>
      </w:tr>
    </w:tbl>
    <w:p w14:paraId="156D144E" w14:textId="77777777" w:rsidR="00E26D16" w:rsidRDefault="00E26D16" w:rsidP="00E26D16">
      <w:pPr>
        <w:autoSpaceDE w:val="0"/>
        <w:autoSpaceDN w:val="0"/>
        <w:adjustRightInd w:val="0"/>
        <w:spacing w:after="0" w:line="240" w:lineRule="auto"/>
        <w:jc w:val="both"/>
        <w:rPr>
          <w:rFonts w:ascii="Times New Roman" w:eastAsia="Calibri" w:hAnsi="Times New Roman" w:cs="Times New Roman"/>
          <w:b/>
          <w:bCs/>
          <w:lang w:val="en-ID"/>
        </w:rPr>
      </w:pPr>
    </w:p>
    <w:p w14:paraId="14B0C33D" w14:textId="77777777" w:rsidR="00156D00" w:rsidRPr="00156D00" w:rsidRDefault="00156D00" w:rsidP="00E26D16">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4: Alignment of Simulation-Based Learning with International Maritime Standards</w:t>
      </w:r>
    </w:p>
    <w:tbl>
      <w:tblPr>
        <w:tblStyle w:val="TableGrid"/>
        <w:tblW w:w="4531" w:type="dxa"/>
        <w:tblLook w:val="04A0" w:firstRow="1" w:lastRow="0" w:firstColumn="1" w:lastColumn="0" w:noHBand="0" w:noVBand="1"/>
      </w:tblPr>
      <w:tblGrid>
        <w:gridCol w:w="2263"/>
        <w:gridCol w:w="2268"/>
      </w:tblGrid>
      <w:tr w:rsidR="00156D00" w:rsidRPr="00E26D16" w14:paraId="0845ACE1" w14:textId="77777777" w:rsidTr="00A22FEF">
        <w:tc>
          <w:tcPr>
            <w:tcW w:w="2263" w:type="dxa"/>
            <w:hideMark/>
          </w:tcPr>
          <w:p w14:paraId="5C3EB8E6" w14:textId="77777777" w:rsidR="00156D00" w:rsidRPr="00E26D16" w:rsidRDefault="00156D00" w:rsidP="00E26D16">
            <w:pPr>
              <w:pStyle w:val="NoSpacing"/>
              <w:jc w:val="center"/>
              <w:rPr>
                <w:rFonts w:eastAsia="Calibri"/>
                <w:b/>
                <w:sz w:val="18"/>
                <w:lang w:val="en-ID"/>
              </w:rPr>
            </w:pPr>
            <w:r w:rsidRPr="00E26D16">
              <w:rPr>
                <w:rFonts w:eastAsia="Calibri"/>
                <w:b/>
                <w:sz w:val="18"/>
                <w:lang w:val="en-ID"/>
              </w:rPr>
              <w:t>Aspect of SBL</w:t>
            </w:r>
          </w:p>
        </w:tc>
        <w:tc>
          <w:tcPr>
            <w:tcW w:w="2268" w:type="dxa"/>
            <w:hideMark/>
          </w:tcPr>
          <w:p w14:paraId="6D48432B" w14:textId="77777777" w:rsidR="00156D00" w:rsidRPr="00E26D16" w:rsidRDefault="00156D00" w:rsidP="00E26D16">
            <w:pPr>
              <w:pStyle w:val="NoSpacing"/>
              <w:jc w:val="center"/>
              <w:rPr>
                <w:rFonts w:eastAsia="Calibri"/>
                <w:b/>
                <w:sz w:val="18"/>
                <w:lang w:val="en-ID"/>
              </w:rPr>
            </w:pPr>
            <w:r w:rsidRPr="00E26D16">
              <w:rPr>
                <w:rFonts w:eastAsia="Calibri"/>
                <w:b/>
                <w:sz w:val="18"/>
                <w:lang w:val="en-ID"/>
              </w:rPr>
              <w:t>Alignment with International Standards</w:t>
            </w:r>
          </w:p>
        </w:tc>
      </w:tr>
      <w:tr w:rsidR="00156D00" w:rsidRPr="00E26D16" w14:paraId="7CB3F804" w14:textId="77777777" w:rsidTr="00A22FEF">
        <w:tc>
          <w:tcPr>
            <w:tcW w:w="2263" w:type="dxa"/>
            <w:hideMark/>
          </w:tcPr>
          <w:p w14:paraId="7405E8B6" w14:textId="77777777" w:rsidR="00156D00" w:rsidRPr="00E26D16" w:rsidRDefault="00156D00" w:rsidP="00E26D16">
            <w:pPr>
              <w:pStyle w:val="NoSpacing"/>
              <w:jc w:val="center"/>
              <w:rPr>
                <w:rFonts w:eastAsia="Calibri"/>
                <w:sz w:val="18"/>
                <w:lang w:val="en-ID"/>
              </w:rPr>
            </w:pPr>
            <w:r w:rsidRPr="00E26D16">
              <w:rPr>
                <w:rFonts w:eastAsia="Calibri"/>
                <w:sz w:val="18"/>
                <w:lang w:val="en-ID"/>
              </w:rPr>
              <w:t>Simulation of realistic maritime scenarios</w:t>
            </w:r>
          </w:p>
        </w:tc>
        <w:tc>
          <w:tcPr>
            <w:tcW w:w="2268" w:type="dxa"/>
            <w:hideMark/>
          </w:tcPr>
          <w:p w14:paraId="21BD7811" w14:textId="77777777" w:rsidR="00156D00" w:rsidRPr="00E26D16" w:rsidRDefault="00156D00" w:rsidP="00E26D16">
            <w:pPr>
              <w:pStyle w:val="NoSpacing"/>
              <w:jc w:val="center"/>
              <w:rPr>
                <w:rFonts w:eastAsia="Calibri"/>
                <w:sz w:val="18"/>
                <w:lang w:val="en-ID"/>
              </w:rPr>
            </w:pPr>
            <w:r w:rsidRPr="00E26D16">
              <w:rPr>
                <w:rFonts w:eastAsia="Calibri"/>
                <w:sz w:val="18"/>
                <w:lang w:val="en-ID"/>
              </w:rPr>
              <w:t>Promotes competency and proficiency</w:t>
            </w:r>
          </w:p>
        </w:tc>
      </w:tr>
      <w:tr w:rsidR="00156D00" w:rsidRPr="00E26D16" w14:paraId="699D0132" w14:textId="77777777" w:rsidTr="00A22FEF">
        <w:tc>
          <w:tcPr>
            <w:tcW w:w="2263" w:type="dxa"/>
            <w:hideMark/>
          </w:tcPr>
          <w:p w14:paraId="1F3EBB79" w14:textId="77777777" w:rsidR="00156D00" w:rsidRPr="00E26D16" w:rsidRDefault="00156D00" w:rsidP="00E26D16">
            <w:pPr>
              <w:pStyle w:val="NoSpacing"/>
              <w:jc w:val="center"/>
              <w:rPr>
                <w:rFonts w:eastAsia="Calibri"/>
                <w:sz w:val="18"/>
                <w:lang w:val="en-ID"/>
              </w:rPr>
            </w:pPr>
            <w:r w:rsidRPr="00E26D16">
              <w:rPr>
                <w:rFonts w:eastAsia="Calibri"/>
                <w:sz w:val="18"/>
                <w:lang w:val="en-ID"/>
              </w:rPr>
              <w:t>Hands-on practice opportunities</w:t>
            </w:r>
          </w:p>
        </w:tc>
        <w:tc>
          <w:tcPr>
            <w:tcW w:w="2268" w:type="dxa"/>
            <w:hideMark/>
          </w:tcPr>
          <w:p w14:paraId="44AADAE9" w14:textId="77777777" w:rsidR="00156D00" w:rsidRPr="00E26D16" w:rsidRDefault="00156D00" w:rsidP="00E26D16">
            <w:pPr>
              <w:pStyle w:val="NoSpacing"/>
              <w:jc w:val="center"/>
              <w:rPr>
                <w:rFonts w:eastAsia="Calibri"/>
                <w:sz w:val="18"/>
                <w:lang w:val="en-ID"/>
              </w:rPr>
            </w:pPr>
            <w:r w:rsidRPr="00E26D16">
              <w:rPr>
                <w:rFonts w:eastAsia="Calibri"/>
                <w:sz w:val="18"/>
                <w:lang w:val="en-ID"/>
              </w:rPr>
              <w:t>Facilitates experiential learning</w:t>
            </w:r>
          </w:p>
        </w:tc>
      </w:tr>
      <w:tr w:rsidR="00156D00" w:rsidRPr="00E26D16" w14:paraId="56A3B904" w14:textId="77777777" w:rsidTr="00A22FEF">
        <w:tc>
          <w:tcPr>
            <w:tcW w:w="2263" w:type="dxa"/>
            <w:hideMark/>
          </w:tcPr>
          <w:p w14:paraId="4743D23A" w14:textId="77777777" w:rsidR="00156D00" w:rsidRPr="00E26D16" w:rsidRDefault="00156D00" w:rsidP="00E26D16">
            <w:pPr>
              <w:pStyle w:val="NoSpacing"/>
              <w:jc w:val="center"/>
              <w:rPr>
                <w:rFonts w:eastAsia="Calibri"/>
                <w:sz w:val="18"/>
                <w:lang w:val="en-ID"/>
              </w:rPr>
            </w:pPr>
            <w:r w:rsidRPr="00E26D16">
              <w:rPr>
                <w:rFonts w:eastAsia="Calibri"/>
                <w:sz w:val="18"/>
                <w:lang w:val="en-ID"/>
              </w:rPr>
              <w:t>Competency-based assessment methodologies</w:t>
            </w:r>
          </w:p>
        </w:tc>
        <w:tc>
          <w:tcPr>
            <w:tcW w:w="2268" w:type="dxa"/>
            <w:hideMark/>
          </w:tcPr>
          <w:p w14:paraId="0FE4C69A" w14:textId="77777777" w:rsidR="00156D00" w:rsidRPr="00E26D16" w:rsidRDefault="00156D00" w:rsidP="00E26D16">
            <w:pPr>
              <w:pStyle w:val="NoSpacing"/>
              <w:jc w:val="center"/>
              <w:rPr>
                <w:rFonts w:eastAsia="Calibri"/>
                <w:sz w:val="18"/>
                <w:lang w:val="en-ID"/>
              </w:rPr>
            </w:pPr>
            <w:r w:rsidRPr="00E26D16">
              <w:rPr>
                <w:rFonts w:eastAsia="Calibri"/>
                <w:sz w:val="18"/>
                <w:lang w:val="en-ID"/>
              </w:rPr>
              <w:t>Ensures readiness for professional practice</w:t>
            </w:r>
          </w:p>
        </w:tc>
      </w:tr>
    </w:tbl>
    <w:p w14:paraId="61FDBBB2" w14:textId="77777777"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rPr>
        <w:t>T</w:t>
      </w:r>
      <w:r w:rsidRPr="00156D00">
        <w:rPr>
          <w:rFonts w:ascii="Times New Roman" w:eastAsia="Calibri" w:hAnsi="Times New Roman" w:cs="Times New Roman"/>
          <w:bCs/>
          <w:lang w:val="en-ID"/>
        </w:rPr>
        <w:t>he second findings of the research underscore the importance of aligning Simulation-Based Learning (SBL) with the needs and professional requirements of the maritime industry, as outlined by international standards and regulations. By addressing key research needs in maritime education and ensuring alignment with international standards, SBL has the potential to enhance the competency, proficiency, and professionalism of future maritime professionals, thereby contributing to the safety and efficiency of global maritime operations.</w:t>
      </w:r>
    </w:p>
    <w:p w14:paraId="5E16956C" w14:textId="77777777"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14:paraId="236F3072" w14:textId="77777777"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3.2. Discussion</w:t>
      </w:r>
    </w:p>
    <w:p w14:paraId="7BA24194" w14:textId="77777777" w:rsidR="00156D00" w:rsidRPr="00156D00" w:rsidRDefault="00190277" w:rsidP="00156D00">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Cs/>
        </w:rPr>
        <w:tab/>
      </w:r>
      <w:r w:rsidR="00156D00" w:rsidRPr="00156D00">
        <w:rPr>
          <w:rFonts w:ascii="Times New Roman" w:eastAsia="Calibri" w:hAnsi="Times New Roman" w:cs="Times New Roman"/>
          <w:bCs/>
          <w:lang w:val="en-ID"/>
        </w:rPr>
        <w:t>The findings of the research provide valuable insights into the efficacy of Simulation-Based Learning (SBL) in maritime training and its alignment with the needs and professional standards of the maritime industry. In this discussion, we analyze the implications of these findings, explore their significance for maritime education and training, and consider avenues for future research and practice.</w:t>
      </w:r>
    </w:p>
    <w:p w14:paraId="1ABAC580" w14:textId="77777777"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3.2.1. </w:t>
      </w:r>
      <w:r w:rsidRPr="00156D00">
        <w:rPr>
          <w:rFonts w:ascii="Times New Roman" w:eastAsia="Calibri" w:hAnsi="Times New Roman" w:cs="Times New Roman"/>
          <w:b/>
          <w:bCs/>
          <w:lang w:val="en-ID"/>
        </w:rPr>
        <w:t>Integration of Simulation-Based Learning in Maritime Education</w:t>
      </w:r>
    </w:p>
    <w:p w14:paraId="0A37875C" w14:textId="77777777"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findings highlight the perceived effectiveness of Simulation-Based Learning (SBL) in enhancing cadets' learning experience and skill development. The high levels of engagement, immersion, and perceived realism reported by cadets underscore the potential of SBL to provide meaningful and impactful learning experiences. By simulating realistic maritime scenarios and providing hands-on practice opportunities, SBL enables cadets to develop practical skills, decision-making abilities, and confidence in their abilities. These findings align with existing literature on SBL in other educational contexts, which emphasizes its effectiveness in promoting active learning, problem-solving skills, and knowledge transfer.</w:t>
      </w:r>
    </w:p>
    <w:p w14:paraId="0F508F52" w14:textId="77777777"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the research identified several challenges and limitations associated with SBL, including technical issues with simulators, fidelity of simulations, and the effectiveness of debriefing sessions</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ISSN":"8756-3894","author":[{"dropping-particle":"","family":"Holland","given":"Janet","non-dropping-particle":"","parse-names":false,"suffix":""},{"dropping-particle":"","family":"Holland","given":"John","non-dropping-particle":"","parse-names":false,"suffix":""}],"container-title":"TechTrends","id":"ITEM-1","issued":{"date-parts":[["2014"]]},"page":"16-25","publisher":"Springer","title":"Implications of shifting technology in education","type":"article-journal","volume":"58"},"uris":["http://www.mendeley.com/documents/?uuid=8c130a47-db34-46c0-add0-c46b26a9725b"]},{"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industry","type":"paper-conference"},"uris":["http://www.mendeley.com/documents/?uuid=d9db06d6-f094-44a3-9b38-0b2cfd91e9e3"]}],"mendeley":{"formattedCitation":"[1], [26]","plainTextFormattedCitation":"[1], [26]","previouslyFormattedCitation":"[1], [26]"},"properties":{"noteIndex":0},"schema":"https://github.com/citation-style-language/schema/raw/master/csl-citation.json"}</w:instrText>
      </w:r>
      <w:r w:rsidR="00F12311">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 [26]</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 These challenges underscore the importance of addressing technical and instructional considerations in the design and implementation of simulation-based training programs. Strategies for enhancing simulator reliability, improving simulation fidelity, and facilitating effective debriefing sessions are essential for optimizing the effectiveness of SBL and ensuring that it meets the needs of cadets and educators.</w:t>
      </w:r>
    </w:p>
    <w:p w14:paraId="2096E76D" w14:textId="77777777"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lang w:val="en-ID"/>
        </w:rPr>
        <w:t>3.2.2</w:t>
      </w:r>
      <w:r w:rsidRPr="00156D00">
        <w:rPr>
          <w:rFonts w:ascii="Times New Roman" w:eastAsia="Calibri" w:hAnsi="Times New Roman" w:cs="Times New Roman"/>
          <w:b/>
          <w:bCs/>
          <w:lang w:val="en-ID"/>
        </w:rPr>
        <w:t>. Alignment with International Standards and Professional Requirements</w:t>
      </w:r>
    </w:p>
    <w:p w14:paraId="583901A2" w14:textId="77777777"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findings also shed light on the alignment of Simulation-Based Learning (SBL) with international standards and professional requirements in the maritime industry. By incorporating competency-based assessment methodologies and emphasizing practical skills development, SBL aligns with the principles outlined in the International Maritime Organization (IMO) - Standards of Training, Certification, and Watchkeeping (STCW) regulations. These regulations set forth minimum competency requirements for seafarers worldwide, ensuring that maritime training programs adhere to recognized benchmarks for safety and proficiency</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413D3A">
        <w:rPr>
          <w:rFonts w:ascii="Times New Roman" w:eastAsia="Calibri" w:hAnsi="Times New Roman" w:cs="Times New Roman"/>
          <w:bCs/>
        </w:rPr>
        <w:instrText>ADDIN CSL_CITATION {"citationItems":[{"id":"ITEM-1","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Research","id":"ITEM-1","issued":{"date-parts":[["2014"]]},"page":"77-86","publisher":"Australian Maritime College","title":"On a lookout beyond STCW: Seeking standards and context for the authentic assessment of seafarers","type":"paper-conference"},"uris":["http://www.mendeley.com/documents/?uuid=2f84309f-4e05-4536-aaed-698bd69507f9"]}],"mendeley":{"formattedCitation":"[19]","plainTextFormattedCitation":"[19]","previouslyFormattedCitation":"[19]"},"properties":{"noteIndex":0},"schema":"https://github.com/citation-style-language/schema/raw/master/csl-citation.json"}</w:instrText>
      </w:r>
      <w:r w:rsidR="00F12311">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[19]</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w:t>
      </w:r>
      <w:r>
        <w:rPr>
          <w:rFonts w:ascii="Times New Roman" w:eastAsia="Calibri" w:hAnsi="Times New Roman" w:cs="Times New Roman"/>
          <w:bCs/>
        </w:rPr>
        <w:t xml:space="preserve"> </w:t>
      </w:r>
      <w:r w:rsidRPr="00156D00">
        <w:rPr>
          <w:rFonts w:ascii="Times New Roman" w:eastAsia="Calibri" w:hAnsi="Times New Roman" w:cs="Times New Roman"/>
          <w:bCs/>
          <w:lang w:val="en-ID"/>
        </w:rPr>
        <w:t>Moreover, the research identified a growing demand for practical, hands-on learning experiences and experiential learning methods in maritime education. These findings reflect broader trends in education toward active learning approaches that prioritize skill acquisition and application over passive instruction. By aligning with these trends and integrating simulation-based methodologies into maritime training curricula, educators can better prepare cadets for the challenges of real-world maritime operations.</w:t>
      </w:r>
    </w:p>
    <w:p w14:paraId="1E00972B" w14:textId="77777777"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3</w:t>
      </w:r>
      <w:r>
        <w:rPr>
          <w:rFonts w:ascii="Times New Roman" w:eastAsia="Calibri" w:hAnsi="Times New Roman" w:cs="Times New Roman"/>
          <w:b/>
          <w:bCs/>
          <w:lang w:val="en-ID"/>
        </w:rPr>
        <w:t>.2.3</w:t>
      </w:r>
      <w:r w:rsidRPr="00156D00">
        <w:rPr>
          <w:rFonts w:ascii="Times New Roman" w:eastAsia="Calibri" w:hAnsi="Times New Roman" w:cs="Times New Roman"/>
          <w:b/>
          <w:bCs/>
          <w:lang w:val="en-ID"/>
        </w:rPr>
        <w:t>. Implications for Maritime Education and Training</w:t>
      </w:r>
    </w:p>
    <w:p w14:paraId="17B41501" w14:textId="77777777"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findings of the research have several implications for maritime education and training. Firstly, they underscore the importance of incorporating Simulation-Based Learning (SBL) into maritime training programs to enhance the competency, proficiency, and professionalism of future maritime professionals. SBL provides a valuable complement to traditional instructional methods, offering cadets opportunities for hands-on practice, experiential learning, and skill development in simulated maritime environments.</w:t>
      </w:r>
      <w:r>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Secondly, the research highlights the need for ongoing support and professional development for instructors involved in delivering simulation-based training. Effective debriefing sessions, clear </w:t>
      </w:r>
      <w:r w:rsidRPr="00156D00">
        <w:rPr>
          <w:rFonts w:ascii="Times New Roman" w:eastAsia="Calibri" w:hAnsi="Times New Roman" w:cs="Times New Roman"/>
          <w:bCs/>
          <w:lang w:val="en-ID"/>
        </w:rPr>
        <w:lastRenderedPageBreak/>
        <w:t>instruction, and knowledgeable guidance from instructors are essential for maximizing the benefits of SBL and facilitating meaningful learning experiences for cadets. Providing instructors with training and resources to effectively facilitate simulation activities is crucial for ensuring the success of SBL initiatives.</w:t>
      </w:r>
    </w:p>
    <w:p w14:paraId="72968CAB" w14:textId="77777777"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lang w:val="en-ID"/>
        </w:rPr>
        <w:t>3.2.4</w:t>
      </w:r>
      <w:r w:rsidRPr="00156D00">
        <w:rPr>
          <w:rFonts w:ascii="Times New Roman" w:eastAsia="Calibri" w:hAnsi="Times New Roman" w:cs="Times New Roman"/>
          <w:b/>
          <w:bCs/>
          <w:lang w:val="en-ID"/>
        </w:rPr>
        <w:t>. Future Directions for Research and Practice</w:t>
      </w:r>
    </w:p>
    <w:p w14:paraId="149F7D00" w14:textId="77777777"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r w:rsidRPr="00156D00">
        <w:rPr>
          <w:rFonts w:ascii="Times New Roman" w:eastAsia="Calibri" w:hAnsi="Times New Roman" w:cs="Times New Roman"/>
          <w:bCs/>
          <w:lang w:val="en-ID"/>
        </w:rPr>
        <w:t>Looking ahead, future research should focus on addressing key gaps and limitations identified in the current study. This includes investigating the long-term impact of Simulation-Based Learning (SBL) on cadet performance, exploring innovative simulation technologies and methodologies, and examining the transferability of learning to real-world maritime scenarios. Comparative studies examining the effectiveness of different simulation modalities and their applicability to diverse maritime contexts are also warranted.</w:t>
      </w:r>
      <w:r w:rsidR="00F12311">
        <w:rPr>
          <w:rFonts w:ascii="Times New Roman" w:eastAsia="Calibri" w:hAnsi="Times New Roman" w:cs="Times New Roman"/>
          <w:bCs/>
        </w:rPr>
        <w:t xml:space="preserve"> </w:t>
      </w:r>
      <w:r w:rsidRPr="00156D00">
        <w:rPr>
          <w:rFonts w:ascii="Times New Roman" w:eastAsia="Calibri" w:hAnsi="Times New Roman" w:cs="Times New Roman"/>
          <w:bCs/>
          <w:lang w:val="en-ID"/>
        </w:rPr>
        <w:t>Moreover, efforts to enhance the integration of SBL into maritime education and training should be guided by a commitment to continuous improvement and innovation. This includes ongoing evaluation of simulation-based training programs, feedback from cadets and instructors, and advancements in simulation technology</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09456B">
        <w:rPr>
          <w:rFonts w:ascii="Times New Roman" w:eastAsia="Calibri" w:hAnsi="Times New Roman" w:cs="Times New Roman"/>
          <w:bCs/>
        </w:rPr>
        <w:instrText>ADDIN CSL_CITATION {"citationItems":[{"id":"ITEM-1","itemData":{"ISSN":"1063-0732","author":[{"dropping-particle":"","family":"Aurigi","given":"Alessandro","non-dropping-particle":"","parse-names":false,"suffix":""},{"dropping-particle":"","family":"Odendaal","given":"Nancy","non-dropping-particle":"","parse-names":false,"suffix":""}],"container-title":"Journal of Urban Technology","id":"ITEM-1","issue":"1-2","issued":{"date-parts":[["2021"]]},"page":"55-70","publisher":"Taylor &amp; Francis","title":"From “smart in the box” to “smart in the city”: Rethinking the socially sustainable smart city in context","type":"article-journal","volume":"28"},"uris":["http://www.mendeley.com/documents/?uuid=4d290a36-5fa2-4930-97e5-114f33bf5314"]}],"mendeley":{"formattedCitation":"[27]","plainTextFormattedCitation":"[27]","previouslyFormattedCitation":"[27]"},"properties":{"noteIndex":0},"schema":"https://github.com/citation-style-language/schema/raw/master/csl-citation.json"}</w:instrText>
      </w:r>
      <w:r w:rsidR="00F12311">
        <w:rPr>
          <w:rFonts w:ascii="Times New Roman" w:eastAsia="Calibri" w:hAnsi="Times New Roman" w:cs="Times New Roman"/>
          <w:bCs/>
        </w:rPr>
        <w:fldChar w:fldCharType="separate"/>
      </w:r>
      <w:r w:rsidR="0009456B" w:rsidRPr="0009456B">
        <w:rPr>
          <w:rFonts w:ascii="Times New Roman" w:eastAsia="Calibri" w:hAnsi="Times New Roman" w:cs="Times New Roman"/>
          <w:bCs/>
          <w:noProof/>
        </w:rPr>
        <w:t>[27]</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 By staying abreast of developments in the field and adapting training practices accordingly, educators can ensure that maritime training programs remain relevant, effective, and aligned with the evolving needs of the maritime industry.</w:t>
      </w:r>
      <w:r>
        <w:rPr>
          <w:rFonts w:ascii="Times New Roman" w:eastAsia="Calibri" w:hAnsi="Times New Roman" w:cs="Times New Roman"/>
          <w:bCs/>
        </w:rPr>
        <w:t xml:space="preserve"> </w:t>
      </w:r>
    </w:p>
    <w:p w14:paraId="458B2CA9" w14:textId="77777777"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p>
    <w:p w14:paraId="073D2A10" w14:textId="77777777"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Pr>
          <w:rFonts w:ascii="Times New Roman" w:eastAsia="Calibri" w:hAnsi="Times New Roman" w:cs="Times New Roman"/>
          <w:bCs/>
        </w:rPr>
        <w:t>T</w:t>
      </w:r>
      <w:r w:rsidRPr="00156D00">
        <w:rPr>
          <w:rFonts w:ascii="Times New Roman" w:eastAsia="Calibri" w:hAnsi="Times New Roman" w:cs="Times New Roman"/>
          <w:bCs/>
          <w:lang w:val="en-ID"/>
        </w:rPr>
        <w:t>he findings of the research underscore the importance of Simulation-Based Learning (SBL) in maritime education and its alignment with international standards and professional requirements. By providing cadets with realistic, immersive, and experiential learning experiences, SBL enhances their competency, proficiency, and readiness for real-world maritime challenges. Moving forward, continued investment in SBL initiatives and research is essential for advancing the field of maritime education and training and ensuring the safety and efficiency of global maritime operations.</w:t>
      </w:r>
    </w:p>
    <w:p w14:paraId="5083530C" w14:textId="77777777" w:rsidR="00190277" w:rsidRPr="00156D00"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14:paraId="5915C5C7" w14:textId="77777777" w:rsidR="00F5577B" w:rsidRPr="00ED6C87" w:rsidRDefault="001E325F" w:rsidP="008B6AFA">
      <w:pPr>
        <w:autoSpaceDE w:val="0"/>
        <w:autoSpaceDN w:val="0"/>
        <w:adjustRightInd w:val="0"/>
        <w:spacing w:after="0" w:line="240" w:lineRule="auto"/>
        <w:ind w:firstLine="426"/>
        <w:rPr>
          <w:rFonts w:ascii="Times New Roman" w:eastAsia="Calibri" w:hAnsi="Times New Roman" w:cs="Times New Roman"/>
          <w:b/>
          <w:bCs/>
        </w:rPr>
      </w:pPr>
      <w:r w:rsidRPr="00ED6C87">
        <w:rPr>
          <w:rFonts w:ascii="Times New Roman" w:eastAsia="Calibri" w:hAnsi="Times New Roman" w:cs="Times New Roman"/>
          <w:b/>
          <w:bCs/>
        </w:rPr>
        <w:t>CONCLUSION</w:t>
      </w:r>
    </w:p>
    <w:p w14:paraId="33515C01" w14:textId="77777777" w:rsidR="00F5577B" w:rsidRPr="00156D00" w:rsidRDefault="004F6862" w:rsidP="004F6862">
      <w:pPr>
        <w:autoSpaceDE w:val="0"/>
        <w:autoSpaceDN w:val="0"/>
        <w:adjustRightInd w:val="0"/>
        <w:spacing w:after="0" w:line="240" w:lineRule="auto"/>
        <w:ind w:firstLine="426"/>
        <w:jc w:val="both"/>
        <w:rPr>
          <w:rFonts w:ascii="Times New Roman" w:eastAsia="Calibri" w:hAnsi="Times New Roman" w:cs="Times New Roman"/>
          <w:bCs/>
          <w:lang w:val="en-ID"/>
        </w:rPr>
      </w:pPr>
      <w:r w:rsidRPr="004F6862">
        <w:rPr>
          <w:rFonts w:ascii="Times New Roman" w:eastAsia="Calibri" w:hAnsi="Times New Roman" w:cs="Times New Roman"/>
          <w:bCs/>
        </w:rPr>
        <w:t xml:space="preserve">This research provides valuable insights into the efficacy of Simulation-Based Learning (SBL) in maritime training and its alignment with international standards. Through qualitative analysis of 30 cadets' experiences, key findings emerged. SBL was highly effective in enhancing learning and skill development, offering immersive and realistic experiences. Despite challenges like technical issues, cadets perceived SBL as effective. The study </w:t>
      </w:r>
      <w:r w:rsidRPr="004F6862">
        <w:rPr>
          <w:rFonts w:ascii="Times New Roman" w:eastAsia="Calibri" w:hAnsi="Times New Roman" w:cs="Times New Roman"/>
          <w:bCs/>
        </w:rPr>
        <w:t>emphasized aligning maritime education with international standards, such as those by the International Maritime Organization (IMO), ensuring comprehensive training.</w:t>
      </w:r>
      <w:r>
        <w:rPr>
          <w:rFonts w:ascii="Times New Roman" w:eastAsia="Calibri" w:hAnsi="Times New Roman" w:cs="Times New Roman"/>
          <w:bCs/>
        </w:rPr>
        <w:t xml:space="preserve"> </w:t>
      </w:r>
      <w:r w:rsidRPr="004F6862">
        <w:rPr>
          <w:rFonts w:ascii="Times New Roman" w:eastAsia="Calibri" w:hAnsi="Times New Roman" w:cs="Times New Roman"/>
          <w:bCs/>
        </w:rPr>
        <w:t>To enhance SBL integration, continuous improvement and innovation are essential. This includes ongoing evaluation, feedback incorporation, and technology advancements. Educators should adapt training practices to remain relevant and effective. SBL holds promise for maritime education, providing realistic learning experiences. By addressing challenges and leveraging benefits, educators can better prepare cadets for real-world maritime operations, enhancing safety and efficiency.</w:t>
      </w:r>
    </w:p>
    <w:p w14:paraId="53435DBE" w14:textId="77777777" w:rsidR="00A20815" w:rsidRPr="00156D00"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14:paraId="5A701185" w14:textId="77777777" w:rsidR="00F5577B" w:rsidRPr="00156D00" w:rsidRDefault="001E325F" w:rsidP="008B6AFA">
      <w:pPr>
        <w:autoSpaceDE w:val="0"/>
        <w:autoSpaceDN w:val="0"/>
        <w:adjustRightInd w:val="0"/>
        <w:spacing w:after="0" w:line="240" w:lineRule="auto"/>
        <w:ind w:firstLine="426"/>
        <w:rPr>
          <w:rFonts w:ascii="Times New Roman" w:eastAsia="Calibri" w:hAnsi="Times New Roman" w:cs="Times New Roman"/>
          <w:b/>
          <w:bCs/>
          <w:lang w:val="en-US"/>
        </w:rPr>
      </w:pPr>
      <w:r w:rsidRPr="00156D00">
        <w:rPr>
          <w:rFonts w:ascii="Times New Roman" w:eastAsia="Calibri" w:hAnsi="Times New Roman" w:cs="Times New Roman"/>
          <w:b/>
          <w:bCs/>
        </w:rPr>
        <w:t>REFERENCES</w:t>
      </w:r>
    </w:p>
    <w:p w14:paraId="185D10CF" w14:textId="77777777" w:rsidR="00413D3A" w:rsidRPr="00413D3A" w:rsidRDefault="00F12311"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413D3A" w:rsidRPr="00413D3A">
        <w:rPr>
          <w:rFonts w:ascii="Times New Roman" w:hAnsi="Times New Roman" w:cs="Times New Roman"/>
          <w:noProof/>
          <w:szCs w:val="24"/>
        </w:rPr>
        <w:t>[1]</w:t>
      </w:r>
      <w:r w:rsidR="00413D3A" w:rsidRPr="00413D3A">
        <w:rPr>
          <w:rFonts w:ascii="Times New Roman" w:hAnsi="Times New Roman" w:cs="Times New Roman"/>
          <w:noProof/>
          <w:szCs w:val="24"/>
        </w:rPr>
        <w:tab/>
        <w:t xml:space="preserve">M. Plaza-Hernández, A. B. Gil-González, S. Rodríguez-González, J. Prieto-Tejedor, and J. M. Corchado-Rodríguez, “Integration of IoT technologies in the maritime industry,” in </w:t>
      </w:r>
      <w:r w:rsidR="00413D3A" w:rsidRPr="00413D3A">
        <w:rPr>
          <w:rFonts w:ascii="Times New Roman" w:hAnsi="Times New Roman" w:cs="Times New Roman"/>
          <w:i/>
          <w:iCs/>
          <w:noProof/>
          <w:szCs w:val="24"/>
        </w:rPr>
        <w:t>Distributed Computing and Artificial Intelligence, Special Sessions, 17th International Conference</w:t>
      </w:r>
      <w:r w:rsidR="00413D3A" w:rsidRPr="00413D3A">
        <w:rPr>
          <w:rFonts w:ascii="Times New Roman" w:hAnsi="Times New Roman" w:cs="Times New Roman"/>
          <w:noProof/>
          <w:szCs w:val="24"/>
        </w:rPr>
        <w:t>, 2021, pp. 107–115.</w:t>
      </w:r>
    </w:p>
    <w:p w14:paraId="455A817B"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[2]</w:t>
      </w:r>
      <w:r w:rsidRPr="00413D3A">
        <w:rPr>
          <w:rFonts w:ascii="Times New Roman" w:hAnsi="Times New Roman" w:cs="Times New Roman"/>
          <w:noProof/>
          <w:szCs w:val="24"/>
        </w:rPr>
        <w:tab/>
        <w:t xml:space="preserve">Y. Autsadee, J. Jeevan, N. H. Bin Mohd Salleh, and M. R. Bin Othman, “Digital tools and challenges in human resource development and its potential within the maritime sector through bibliometric analysis,” </w:t>
      </w:r>
      <w:r w:rsidRPr="00413D3A">
        <w:rPr>
          <w:rFonts w:ascii="Times New Roman" w:hAnsi="Times New Roman" w:cs="Times New Roman"/>
          <w:i/>
          <w:iCs/>
          <w:noProof/>
          <w:szCs w:val="24"/>
        </w:rPr>
        <w:t>J. Int. Marit. Safety, Environ. Aff. Shipp.</w:t>
      </w:r>
      <w:r w:rsidRPr="00413D3A">
        <w:rPr>
          <w:rFonts w:ascii="Times New Roman" w:hAnsi="Times New Roman" w:cs="Times New Roman"/>
          <w:noProof/>
          <w:szCs w:val="24"/>
        </w:rPr>
        <w:t>, vol. 7, no. 4, p. 2286409, 2023.</w:t>
      </w:r>
    </w:p>
    <w:p w14:paraId="3C2632EF"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[3]</w:t>
      </w:r>
      <w:r w:rsidRPr="00413D3A">
        <w:rPr>
          <w:rFonts w:ascii="Times New Roman" w:hAnsi="Times New Roman" w:cs="Times New Roman"/>
          <w:noProof/>
          <w:szCs w:val="24"/>
        </w:rPr>
        <w:tab/>
        <w:t xml:space="preserve">F. C. Domingues, “907 Maritime History and Maritime Archaeology,” </w:t>
      </w:r>
      <w:r w:rsidRPr="00413D3A">
        <w:rPr>
          <w:rFonts w:ascii="Times New Roman" w:hAnsi="Times New Roman" w:cs="Times New Roman"/>
          <w:i/>
          <w:iCs/>
          <w:noProof/>
          <w:szCs w:val="24"/>
        </w:rPr>
        <w:t>The Oxford Handbook of Maritime Archaeology</w:t>
      </w:r>
      <w:r w:rsidRPr="00413D3A">
        <w:rPr>
          <w:rFonts w:ascii="Times New Roman" w:hAnsi="Times New Roman" w:cs="Times New Roman"/>
          <w:noProof/>
          <w:szCs w:val="24"/>
        </w:rPr>
        <w:t>. Oxford University Press, p. 0, Dec. 12, 2013. doi: 10.1093/oxfordhb/9780199336005.013.0039.</w:t>
      </w:r>
    </w:p>
    <w:p w14:paraId="207CE034"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[4]</w:t>
      </w:r>
      <w:r w:rsidRPr="00413D3A">
        <w:rPr>
          <w:rFonts w:ascii="Times New Roman" w:hAnsi="Times New Roman" w:cs="Times New Roman"/>
          <w:noProof/>
          <w:szCs w:val="24"/>
        </w:rPr>
        <w:tab/>
        <w:t xml:space="preserve">I. Christodoulou-Varotsi and D. A. Pentsov, “The STCW Convention and related instruments,” </w:t>
      </w:r>
      <w:r w:rsidRPr="00413D3A">
        <w:rPr>
          <w:rFonts w:ascii="Times New Roman" w:hAnsi="Times New Roman" w:cs="Times New Roman"/>
          <w:i/>
          <w:iCs/>
          <w:noProof/>
          <w:szCs w:val="24"/>
        </w:rPr>
        <w:t>Marit. Work Law Fundam. Responsible Shipowners, Reliab. Seafar.</w:t>
      </w:r>
      <w:r w:rsidRPr="00413D3A">
        <w:rPr>
          <w:rFonts w:ascii="Times New Roman" w:hAnsi="Times New Roman" w:cs="Times New Roman"/>
          <w:noProof/>
          <w:szCs w:val="24"/>
        </w:rPr>
        <w:t>, pp. 422–639, 2008.</w:t>
      </w:r>
    </w:p>
    <w:p w14:paraId="71B1FB83"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[5]</w:t>
      </w:r>
      <w:r w:rsidRPr="00413D3A">
        <w:rPr>
          <w:rFonts w:ascii="Times New Roman" w:hAnsi="Times New Roman" w:cs="Times New Roman"/>
          <w:noProof/>
          <w:szCs w:val="24"/>
        </w:rPr>
        <w:tab/>
        <w:t xml:space="preserve">C. Young, “Comprehensive Revision of the STCW convention: an overview,” </w:t>
      </w:r>
      <w:r w:rsidRPr="00413D3A">
        <w:rPr>
          <w:rFonts w:ascii="Times New Roman" w:hAnsi="Times New Roman" w:cs="Times New Roman"/>
          <w:i/>
          <w:iCs/>
          <w:noProof/>
          <w:szCs w:val="24"/>
        </w:rPr>
        <w:t>J. Mar. L. Com.</w:t>
      </w:r>
      <w:r w:rsidRPr="00413D3A">
        <w:rPr>
          <w:rFonts w:ascii="Times New Roman" w:hAnsi="Times New Roman" w:cs="Times New Roman"/>
          <w:noProof/>
          <w:szCs w:val="24"/>
        </w:rPr>
        <w:t>, vol. 26, p. 1, 1995.</w:t>
      </w:r>
    </w:p>
    <w:p w14:paraId="540ABB83"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[6]</w:t>
      </w:r>
      <w:r w:rsidRPr="00413D3A">
        <w:rPr>
          <w:rFonts w:ascii="Times New Roman" w:hAnsi="Times New Roman" w:cs="Times New Roman"/>
          <w:noProof/>
          <w:szCs w:val="24"/>
        </w:rPr>
        <w:tab/>
        <w:t xml:space="preserve">M. G. Jamil and S. O. Isiaq, “Teaching technology with technology: approaches to bridging learning and teaching gaps in simulation-based programming education,” </w:t>
      </w:r>
      <w:r w:rsidRPr="00413D3A">
        <w:rPr>
          <w:rFonts w:ascii="Times New Roman" w:hAnsi="Times New Roman" w:cs="Times New Roman"/>
          <w:i/>
          <w:iCs/>
          <w:noProof/>
          <w:szCs w:val="24"/>
        </w:rPr>
        <w:t>Int. J. Educ. Technol. High. Educ.</w:t>
      </w:r>
      <w:r w:rsidRPr="00413D3A">
        <w:rPr>
          <w:rFonts w:ascii="Times New Roman" w:hAnsi="Times New Roman" w:cs="Times New Roman"/>
          <w:noProof/>
          <w:szCs w:val="24"/>
        </w:rPr>
        <w:t>, vol. 16, pp. 1–21, 2019.</w:t>
      </w:r>
    </w:p>
    <w:p w14:paraId="3AC87239"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[7]</w:t>
      </w:r>
      <w:r w:rsidRPr="00413D3A">
        <w:rPr>
          <w:rFonts w:ascii="Times New Roman" w:hAnsi="Times New Roman" w:cs="Times New Roman"/>
          <w:noProof/>
          <w:szCs w:val="24"/>
        </w:rPr>
        <w:tab/>
        <w:t xml:space="preserve">R. Kidd and E. McCarthy, “Maritime education in the age of autonomy,” </w:t>
      </w:r>
      <w:r w:rsidRPr="00413D3A">
        <w:rPr>
          <w:rFonts w:ascii="Times New Roman" w:hAnsi="Times New Roman" w:cs="Times New Roman"/>
          <w:i/>
          <w:iCs/>
          <w:noProof/>
          <w:szCs w:val="24"/>
        </w:rPr>
        <w:t>WIT Trans. Built Environ.</w:t>
      </w:r>
      <w:r w:rsidRPr="00413D3A">
        <w:rPr>
          <w:rFonts w:ascii="Times New Roman" w:hAnsi="Times New Roman" w:cs="Times New Roman"/>
          <w:noProof/>
          <w:szCs w:val="24"/>
        </w:rPr>
        <w:t>, vol. 187, pp. 221–230, 2019.</w:t>
      </w:r>
    </w:p>
    <w:p w14:paraId="36D2C22F"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[8]</w:t>
      </w:r>
      <w:r w:rsidRPr="00413D3A">
        <w:rPr>
          <w:rFonts w:ascii="Times New Roman" w:hAnsi="Times New Roman" w:cs="Times New Roman"/>
          <w:noProof/>
          <w:szCs w:val="24"/>
        </w:rPr>
        <w:tab/>
        <w:t>O. Dyagileva, N. Goridko, H. Popova, S. Voloshynov, and A. Yurzhenko, “Ensuring sustainable development of education of future maritime transport professionals by means of network interaction,” 2020.</w:t>
      </w:r>
    </w:p>
    <w:p w14:paraId="4E7057DF"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lastRenderedPageBreak/>
        <w:t>[9]</w:t>
      </w:r>
      <w:r w:rsidRPr="00413D3A">
        <w:rPr>
          <w:rFonts w:ascii="Times New Roman" w:hAnsi="Times New Roman" w:cs="Times New Roman"/>
          <w:noProof/>
          <w:szCs w:val="24"/>
        </w:rPr>
        <w:tab/>
        <w:t xml:space="preserve">M. G. Jamil and Z. Bhuiyan, “Deep learning elements in maritime simulation programmes: a pedagogical exploration of learner experiences,” </w:t>
      </w:r>
      <w:r w:rsidRPr="00413D3A">
        <w:rPr>
          <w:rFonts w:ascii="Times New Roman" w:hAnsi="Times New Roman" w:cs="Times New Roman"/>
          <w:i/>
          <w:iCs/>
          <w:noProof/>
          <w:szCs w:val="24"/>
        </w:rPr>
        <w:t>Int. J. Educ. Technol. High. Educ.</w:t>
      </w:r>
      <w:r w:rsidRPr="00413D3A">
        <w:rPr>
          <w:rFonts w:ascii="Times New Roman" w:hAnsi="Times New Roman" w:cs="Times New Roman"/>
          <w:noProof/>
          <w:szCs w:val="24"/>
        </w:rPr>
        <w:t>, vol. 18, pp. 1–22, 2021.</w:t>
      </w:r>
    </w:p>
    <w:p w14:paraId="46E7D4D6"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[10]</w:t>
      </w:r>
      <w:r w:rsidRPr="00413D3A">
        <w:rPr>
          <w:rFonts w:ascii="Times New Roman" w:hAnsi="Times New Roman" w:cs="Times New Roman"/>
          <w:noProof/>
          <w:szCs w:val="24"/>
        </w:rPr>
        <w:tab/>
        <w:t xml:space="preserve">A. M. Ellsworth, “A New Generation of Teachers,” </w:t>
      </w:r>
      <w:r w:rsidRPr="00413D3A">
        <w:rPr>
          <w:rFonts w:ascii="Times New Roman" w:hAnsi="Times New Roman" w:cs="Times New Roman"/>
          <w:i/>
          <w:iCs/>
          <w:noProof/>
          <w:szCs w:val="24"/>
        </w:rPr>
        <w:t>Research Anthology on Developing Critical Thinking Skills in Students</w:t>
      </w:r>
      <w:r w:rsidRPr="00413D3A">
        <w:rPr>
          <w:rFonts w:ascii="Times New Roman" w:hAnsi="Times New Roman" w:cs="Times New Roman"/>
          <w:noProof/>
          <w:szCs w:val="24"/>
        </w:rPr>
        <w:t>. IGI Global, pp. 1183–1207, 2021. doi: 10.4018/978-1-7998-3022-1.ch061.</w:t>
      </w:r>
    </w:p>
    <w:p w14:paraId="46DCF2E1"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[11]</w:t>
      </w:r>
      <w:r w:rsidRPr="00413D3A">
        <w:rPr>
          <w:rFonts w:ascii="Times New Roman" w:hAnsi="Times New Roman" w:cs="Times New Roman"/>
          <w:noProof/>
          <w:szCs w:val="24"/>
        </w:rPr>
        <w:tab/>
        <w:t xml:space="preserve">D. Onen, “Cultivating Critical Thinking Amongst University Graduate Students,” </w:t>
      </w:r>
      <w:r w:rsidRPr="00413D3A">
        <w:rPr>
          <w:rFonts w:ascii="Times New Roman" w:hAnsi="Times New Roman" w:cs="Times New Roman"/>
          <w:i/>
          <w:iCs/>
          <w:noProof/>
          <w:szCs w:val="24"/>
        </w:rPr>
        <w:t>Research Anthology on Developing Critical Thinking Skills in Students</w:t>
      </w:r>
      <w:r w:rsidRPr="00413D3A">
        <w:rPr>
          <w:rFonts w:ascii="Times New Roman" w:hAnsi="Times New Roman" w:cs="Times New Roman"/>
          <w:noProof/>
          <w:szCs w:val="24"/>
        </w:rPr>
        <w:t>. IGI Global, pp. 1104–1119, 2021. doi: 10.4018/978-1-7998-3022-1.ch057.</w:t>
      </w:r>
    </w:p>
    <w:p w14:paraId="255E731D"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[12]</w:t>
      </w:r>
      <w:r w:rsidRPr="00413D3A">
        <w:rPr>
          <w:rFonts w:ascii="Times New Roman" w:hAnsi="Times New Roman" w:cs="Times New Roman"/>
          <w:noProof/>
          <w:szCs w:val="24"/>
        </w:rPr>
        <w:tab/>
        <w:t xml:space="preserve">K. Cicek, E. Akyuz, and M. Celik, “Future skills requirements analysis in maritime industry,” </w:t>
      </w:r>
      <w:r w:rsidRPr="00413D3A">
        <w:rPr>
          <w:rFonts w:ascii="Times New Roman" w:hAnsi="Times New Roman" w:cs="Times New Roman"/>
          <w:i/>
          <w:iCs/>
          <w:noProof/>
          <w:szCs w:val="24"/>
        </w:rPr>
        <w:t>Procedia Comput. Sci.</w:t>
      </w:r>
      <w:r w:rsidRPr="00413D3A">
        <w:rPr>
          <w:rFonts w:ascii="Times New Roman" w:hAnsi="Times New Roman" w:cs="Times New Roman"/>
          <w:noProof/>
          <w:szCs w:val="24"/>
        </w:rPr>
        <w:t>, vol. 158, pp. 270–274, 2019.</w:t>
      </w:r>
    </w:p>
    <w:p w14:paraId="3372DD0D"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[13]</w:t>
      </w:r>
      <w:r w:rsidRPr="00413D3A">
        <w:rPr>
          <w:rFonts w:ascii="Times New Roman" w:hAnsi="Times New Roman" w:cs="Times New Roman"/>
          <w:noProof/>
          <w:szCs w:val="24"/>
        </w:rPr>
        <w:tab/>
        <w:t xml:space="preserve">D. Gavalas, T. Syriopoulos, and E. Roumpis, “Digital adoption and efficiency in the maritime industry,” </w:t>
      </w:r>
      <w:r w:rsidRPr="00413D3A">
        <w:rPr>
          <w:rFonts w:ascii="Times New Roman" w:hAnsi="Times New Roman" w:cs="Times New Roman"/>
          <w:i/>
          <w:iCs/>
          <w:noProof/>
          <w:szCs w:val="24"/>
        </w:rPr>
        <w:t>J. Shipp. Trade</w:t>
      </w:r>
      <w:r w:rsidRPr="00413D3A">
        <w:rPr>
          <w:rFonts w:ascii="Times New Roman" w:hAnsi="Times New Roman" w:cs="Times New Roman"/>
          <w:noProof/>
          <w:szCs w:val="24"/>
        </w:rPr>
        <w:t>, vol. 7, no. 1, p. 11, 2022.</w:t>
      </w:r>
    </w:p>
    <w:p w14:paraId="58971A6E"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[14]</w:t>
      </w:r>
      <w:r w:rsidRPr="00413D3A">
        <w:rPr>
          <w:rFonts w:ascii="Times New Roman" w:hAnsi="Times New Roman" w:cs="Times New Roman"/>
          <w:noProof/>
          <w:szCs w:val="24"/>
        </w:rPr>
        <w:tab/>
        <w:t xml:space="preserve">R. Sparrow, T. Dartanto, and R. Hartwig, “Indonesia under the new normal: Challenges and the way ahead,” </w:t>
      </w:r>
      <w:r w:rsidRPr="00413D3A">
        <w:rPr>
          <w:rFonts w:ascii="Times New Roman" w:hAnsi="Times New Roman" w:cs="Times New Roman"/>
          <w:i/>
          <w:iCs/>
          <w:noProof/>
          <w:szCs w:val="24"/>
        </w:rPr>
        <w:t>Bull. Indones. Econ. Stud.</w:t>
      </w:r>
      <w:r w:rsidRPr="00413D3A">
        <w:rPr>
          <w:rFonts w:ascii="Times New Roman" w:hAnsi="Times New Roman" w:cs="Times New Roman"/>
          <w:noProof/>
          <w:szCs w:val="24"/>
        </w:rPr>
        <w:t>, vol. 56, no. 3, pp. 269–299, Sep. 2020, doi: 10.1080/00074918.2020.1854079.</w:t>
      </w:r>
    </w:p>
    <w:p w14:paraId="37DDDE94"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[15]</w:t>
      </w:r>
      <w:r w:rsidRPr="00413D3A">
        <w:rPr>
          <w:rFonts w:ascii="Times New Roman" w:hAnsi="Times New Roman" w:cs="Times New Roman"/>
          <w:noProof/>
          <w:szCs w:val="24"/>
        </w:rPr>
        <w:tab/>
        <w:t xml:space="preserve">A. M. Baylon and V. Santos, “The challenges in Philippine maritime education and training,” </w:t>
      </w:r>
      <w:r w:rsidRPr="00413D3A">
        <w:rPr>
          <w:rFonts w:ascii="Times New Roman" w:hAnsi="Times New Roman" w:cs="Times New Roman"/>
          <w:i/>
          <w:iCs/>
          <w:noProof/>
          <w:szCs w:val="24"/>
        </w:rPr>
        <w:t>Int. J. Innov. Interdiscip. Res.</w:t>
      </w:r>
      <w:r w:rsidRPr="00413D3A">
        <w:rPr>
          <w:rFonts w:ascii="Times New Roman" w:hAnsi="Times New Roman" w:cs="Times New Roman"/>
          <w:noProof/>
          <w:szCs w:val="24"/>
        </w:rPr>
        <w:t>, vol. 1, no. 1, pp. 34–43, 2011.</w:t>
      </w:r>
    </w:p>
    <w:p w14:paraId="55B0ADD4"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[16]</w:t>
      </w:r>
      <w:r w:rsidRPr="00413D3A">
        <w:rPr>
          <w:rFonts w:ascii="Times New Roman" w:hAnsi="Times New Roman" w:cs="Times New Roman"/>
          <w:noProof/>
          <w:szCs w:val="24"/>
        </w:rPr>
        <w:tab/>
        <w:t xml:space="preserve">G. Moodie, “Identifying vocational education and training,” </w:t>
      </w:r>
      <w:r w:rsidRPr="00413D3A">
        <w:rPr>
          <w:rFonts w:ascii="Times New Roman" w:hAnsi="Times New Roman" w:cs="Times New Roman"/>
          <w:i/>
          <w:iCs/>
          <w:noProof/>
          <w:szCs w:val="24"/>
        </w:rPr>
        <w:t>J. Vocat. Educ. Train.</w:t>
      </w:r>
      <w:r w:rsidRPr="00413D3A">
        <w:rPr>
          <w:rFonts w:ascii="Times New Roman" w:hAnsi="Times New Roman" w:cs="Times New Roman"/>
          <w:noProof/>
          <w:szCs w:val="24"/>
        </w:rPr>
        <w:t>, vol. 54, no. 2, pp. 249–266, 2002.</w:t>
      </w:r>
    </w:p>
    <w:p w14:paraId="76098497"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[17]</w:t>
      </w:r>
      <w:r w:rsidRPr="00413D3A">
        <w:rPr>
          <w:rFonts w:ascii="Times New Roman" w:hAnsi="Times New Roman" w:cs="Times New Roman"/>
          <w:noProof/>
          <w:szCs w:val="24"/>
        </w:rPr>
        <w:tab/>
        <w:t xml:space="preserve">H. Bitar and S. Alismail, “Exploring enablers and inhibitors of eHealth educational tools: The needs of women searching for HPV and cervical cancer information,” </w:t>
      </w:r>
      <w:r w:rsidRPr="00413D3A">
        <w:rPr>
          <w:rFonts w:ascii="Times New Roman" w:hAnsi="Times New Roman" w:cs="Times New Roman"/>
          <w:i/>
          <w:iCs/>
          <w:noProof/>
          <w:szCs w:val="24"/>
        </w:rPr>
        <w:t>DIGITAL HEALTH</w:t>
      </w:r>
      <w:r w:rsidRPr="00413D3A">
        <w:rPr>
          <w:rFonts w:ascii="Times New Roman" w:hAnsi="Times New Roman" w:cs="Times New Roman"/>
          <w:noProof/>
          <w:szCs w:val="24"/>
        </w:rPr>
        <w:t>, vol. 8. SAGE Publications, p. 2147483647, 2022. doi: 10.1177/20552076221130189.</w:t>
      </w:r>
    </w:p>
    <w:p w14:paraId="6630883E"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[18]</w:t>
      </w:r>
      <w:r w:rsidRPr="00413D3A">
        <w:rPr>
          <w:rFonts w:ascii="Times New Roman" w:hAnsi="Times New Roman" w:cs="Times New Roman"/>
          <w:noProof/>
          <w:szCs w:val="24"/>
        </w:rPr>
        <w:tab/>
        <w:t>E. Sarıcan and E. B. GÜNEŞ, “Developing Critical Thinking Skills in Elementary School Students Through Foreign Language Education: An Action Research.” Center for Open Science, 2021. doi: 10.31235/osf.io/3cjsv.</w:t>
      </w:r>
    </w:p>
    <w:p w14:paraId="6EE7A83C"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[19]</w:t>
      </w:r>
      <w:r w:rsidRPr="00413D3A">
        <w:rPr>
          <w:rFonts w:ascii="Times New Roman" w:hAnsi="Times New Roman" w:cs="Times New Roman"/>
          <w:noProof/>
          <w:szCs w:val="24"/>
        </w:rPr>
        <w:tab/>
        <w:t xml:space="preserve">S. Ghosh, M. Bowles, D. Ranmuthugala, and B. Brooks, “On a lookout beyond STCW: Seeking standards and context for the authentic assessment of seafarers,” in </w:t>
      </w:r>
      <w:r w:rsidRPr="00413D3A">
        <w:rPr>
          <w:rFonts w:ascii="Times New Roman" w:hAnsi="Times New Roman" w:cs="Times New Roman"/>
          <w:i/>
          <w:iCs/>
          <w:noProof/>
          <w:szCs w:val="24"/>
        </w:rPr>
        <w:t>15th Annual General Assembly of the International Association of Maritime Universities, IAMU AGA 2014-Looking Ahead: Innovation in Maritime Education, Training and Research</w:t>
      </w:r>
      <w:r w:rsidRPr="00413D3A">
        <w:rPr>
          <w:rFonts w:ascii="Times New Roman" w:hAnsi="Times New Roman" w:cs="Times New Roman"/>
          <w:noProof/>
          <w:szCs w:val="24"/>
        </w:rPr>
        <w:t xml:space="preserve">, </w:t>
      </w:r>
      <w:r w:rsidRPr="00413D3A">
        <w:rPr>
          <w:rFonts w:ascii="Times New Roman" w:hAnsi="Times New Roman" w:cs="Times New Roman"/>
          <w:noProof/>
          <w:szCs w:val="24"/>
        </w:rPr>
        <w:t>2014, pp. 77–86.</w:t>
      </w:r>
    </w:p>
    <w:p w14:paraId="482DED59"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[20]</w:t>
      </w:r>
      <w:r w:rsidRPr="00413D3A">
        <w:rPr>
          <w:rFonts w:ascii="Times New Roman" w:hAnsi="Times New Roman" w:cs="Times New Roman"/>
          <w:noProof/>
          <w:szCs w:val="24"/>
        </w:rPr>
        <w:tab/>
        <w:t xml:space="preserve">D. Franceschi, “The features of maritime English discourse,” </w:t>
      </w:r>
      <w:r w:rsidRPr="00413D3A">
        <w:rPr>
          <w:rFonts w:ascii="Times New Roman" w:hAnsi="Times New Roman" w:cs="Times New Roman"/>
          <w:i/>
          <w:iCs/>
          <w:noProof/>
          <w:szCs w:val="24"/>
        </w:rPr>
        <w:t>Int. J. English Linguist.</w:t>
      </w:r>
      <w:r w:rsidRPr="00413D3A">
        <w:rPr>
          <w:rFonts w:ascii="Times New Roman" w:hAnsi="Times New Roman" w:cs="Times New Roman"/>
          <w:noProof/>
          <w:szCs w:val="24"/>
        </w:rPr>
        <w:t>, vol. 4, no. 2, p. 78, 2014.</w:t>
      </w:r>
    </w:p>
    <w:p w14:paraId="24F74A5F"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[21]</w:t>
      </w:r>
      <w:r w:rsidRPr="00413D3A">
        <w:rPr>
          <w:rFonts w:ascii="Times New Roman" w:hAnsi="Times New Roman" w:cs="Times New Roman"/>
          <w:noProof/>
          <w:szCs w:val="24"/>
        </w:rPr>
        <w:tab/>
        <w:t xml:space="preserve">N. R. Council, </w:t>
      </w:r>
      <w:r w:rsidRPr="00413D3A">
        <w:rPr>
          <w:rFonts w:ascii="Times New Roman" w:hAnsi="Times New Roman" w:cs="Times New Roman"/>
          <w:i/>
          <w:iCs/>
          <w:noProof/>
          <w:szCs w:val="24"/>
        </w:rPr>
        <w:t>Frontiers in massive data analysis</w:t>
      </w:r>
      <w:r w:rsidRPr="00413D3A">
        <w:rPr>
          <w:rFonts w:ascii="Times New Roman" w:hAnsi="Times New Roman" w:cs="Times New Roman"/>
          <w:noProof/>
          <w:szCs w:val="24"/>
        </w:rPr>
        <w:t>. National Academies Press, 2013.</w:t>
      </w:r>
    </w:p>
    <w:p w14:paraId="3DECEC96"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[22]</w:t>
      </w:r>
      <w:r w:rsidRPr="00413D3A">
        <w:rPr>
          <w:rFonts w:ascii="Times New Roman" w:hAnsi="Times New Roman" w:cs="Times New Roman"/>
          <w:noProof/>
          <w:szCs w:val="24"/>
        </w:rPr>
        <w:tab/>
        <w:t xml:space="preserve">S. Sarosa, </w:t>
      </w:r>
      <w:r w:rsidRPr="00413D3A">
        <w:rPr>
          <w:rFonts w:ascii="Times New Roman" w:hAnsi="Times New Roman" w:cs="Times New Roman"/>
          <w:i/>
          <w:iCs/>
          <w:noProof/>
          <w:szCs w:val="24"/>
        </w:rPr>
        <w:t>Analisis Data Penelitian Kualitatif</w:t>
      </w:r>
      <w:r w:rsidRPr="00413D3A">
        <w:rPr>
          <w:rFonts w:ascii="Times New Roman" w:hAnsi="Times New Roman" w:cs="Times New Roman"/>
          <w:noProof/>
          <w:szCs w:val="24"/>
        </w:rPr>
        <w:t>. Pt Kanisius, 2021.</w:t>
      </w:r>
    </w:p>
    <w:p w14:paraId="453D1AAC"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[23]</w:t>
      </w:r>
      <w:r w:rsidRPr="00413D3A">
        <w:rPr>
          <w:rFonts w:ascii="Times New Roman" w:hAnsi="Times New Roman" w:cs="Times New Roman"/>
          <w:noProof/>
          <w:szCs w:val="24"/>
        </w:rPr>
        <w:tab/>
        <w:t xml:space="preserve">D. K. Padgett, </w:t>
      </w:r>
      <w:r w:rsidRPr="00413D3A">
        <w:rPr>
          <w:rFonts w:ascii="Times New Roman" w:hAnsi="Times New Roman" w:cs="Times New Roman"/>
          <w:i/>
          <w:iCs/>
          <w:noProof/>
          <w:szCs w:val="24"/>
        </w:rPr>
        <w:t>Qualitative methods in social work research</w:t>
      </w:r>
      <w:r w:rsidRPr="00413D3A">
        <w:rPr>
          <w:rFonts w:ascii="Times New Roman" w:hAnsi="Times New Roman" w:cs="Times New Roman"/>
          <w:noProof/>
          <w:szCs w:val="24"/>
        </w:rPr>
        <w:t>, vol. 36. Sage publications, 2016.</w:t>
      </w:r>
    </w:p>
    <w:p w14:paraId="54350CB4"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[24]</w:t>
      </w:r>
      <w:r w:rsidRPr="00413D3A">
        <w:rPr>
          <w:rFonts w:ascii="Times New Roman" w:hAnsi="Times New Roman" w:cs="Times New Roman"/>
          <w:noProof/>
          <w:szCs w:val="24"/>
        </w:rPr>
        <w:tab/>
        <w:t xml:space="preserve">J. W. Creswell and V. L. P. Clark, “Choosing a mixed methods design,” in </w:t>
      </w:r>
      <w:r w:rsidRPr="00413D3A">
        <w:rPr>
          <w:rFonts w:ascii="Times New Roman" w:hAnsi="Times New Roman" w:cs="Times New Roman"/>
          <w:i/>
          <w:iCs/>
          <w:noProof/>
          <w:szCs w:val="24"/>
        </w:rPr>
        <w:t>Designing and Conducting Mixed Methods Research</w:t>
      </w:r>
      <w:r w:rsidRPr="00413D3A">
        <w:rPr>
          <w:rFonts w:ascii="Times New Roman" w:hAnsi="Times New Roman" w:cs="Times New Roman"/>
          <w:noProof/>
          <w:szCs w:val="24"/>
        </w:rPr>
        <w:t>, California: Sage Publications, Inc., 2011, pp. 53–106.</w:t>
      </w:r>
    </w:p>
    <w:p w14:paraId="12353587"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[25]</w:t>
      </w:r>
      <w:r w:rsidRPr="00413D3A">
        <w:rPr>
          <w:rFonts w:ascii="Times New Roman" w:hAnsi="Times New Roman" w:cs="Times New Roman"/>
          <w:noProof/>
          <w:szCs w:val="24"/>
        </w:rPr>
        <w:tab/>
        <w:t xml:space="preserve">A. Castleberry and A. Nolen, “Thematic analysis of qualitative research data: Is it as easy as it sounds?,” </w:t>
      </w:r>
      <w:r w:rsidRPr="00413D3A">
        <w:rPr>
          <w:rFonts w:ascii="Times New Roman" w:hAnsi="Times New Roman" w:cs="Times New Roman"/>
          <w:i/>
          <w:iCs/>
          <w:noProof/>
          <w:szCs w:val="24"/>
        </w:rPr>
        <w:t>Curr. Pharm. Teach. Learn.</w:t>
      </w:r>
      <w:r w:rsidRPr="00413D3A">
        <w:rPr>
          <w:rFonts w:ascii="Times New Roman" w:hAnsi="Times New Roman" w:cs="Times New Roman"/>
          <w:noProof/>
          <w:szCs w:val="24"/>
        </w:rPr>
        <w:t>, vol. 10, no. 6, pp. 807–815, 2018.</w:t>
      </w:r>
    </w:p>
    <w:p w14:paraId="1E53313F"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413D3A">
        <w:rPr>
          <w:rFonts w:ascii="Times New Roman" w:hAnsi="Times New Roman" w:cs="Times New Roman"/>
          <w:noProof/>
          <w:szCs w:val="24"/>
        </w:rPr>
        <w:t>[26]</w:t>
      </w:r>
      <w:r w:rsidRPr="00413D3A">
        <w:rPr>
          <w:rFonts w:ascii="Times New Roman" w:hAnsi="Times New Roman" w:cs="Times New Roman"/>
          <w:noProof/>
          <w:szCs w:val="24"/>
        </w:rPr>
        <w:tab/>
        <w:t xml:space="preserve">J. Holland and J. Holland, “Implications of shifting technology in education,” </w:t>
      </w:r>
      <w:r w:rsidRPr="00413D3A">
        <w:rPr>
          <w:rFonts w:ascii="Times New Roman" w:hAnsi="Times New Roman" w:cs="Times New Roman"/>
          <w:i/>
          <w:iCs/>
          <w:noProof/>
          <w:szCs w:val="24"/>
        </w:rPr>
        <w:t>TechTrends</w:t>
      </w:r>
      <w:r w:rsidRPr="00413D3A">
        <w:rPr>
          <w:rFonts w:ascii="Times New Roman" w:hAnsi="Times New Roman" w:cs="Times New Roman"/>
          <w:noProof/>
          <w:szCs w:val="24"/>
        </w:rPr>
        <w:t>, vol. 58, pp. 16–25, 2014.</w:t>
      </w:r>
    </w:p>
    <w:p w14:paraId="7894F003" w14:textId="77777777" w:rsidR="00413D3A" w:rsidRPr="00413D3A" w:rsidRDefault="00413D3A" w:rsidP="008B6AFA">
      <w:pPr>
        <w:widowControl w:val="0"/>
        <w:autoSpaceDE w:val="0"/>
        <w:autoSpaceDN w:val="0"/>
        <w:adjustRightInd w:val="0"/>
        <w:spacing w:after="0" w:line="240" w:lineRule="auto"/>
        <w:ind w:left="426" w:hanging="426"/>
        <w:jc w:val="both"/>
        <w:rPr>
          <w:rFonts w:ascii="Times New Roman" w:hAnsi="Times New Roman" w:cs="Times New Roman"/>
          <w:noProof/>
        </w:rPr>
      </w:pPr>
      <w:r w:rsidRPr="00413D3A">
        <w:rPr>
          <w:rFonts w:ascii="Times New Roman" w:hAnsi="Times New Roman" w:cs="Times New Roman"/>
          <w:noProof/>
          <w:szCs w:val="24"/>
        </w:rPr>
        <w:t>[27]</w:t>
      </w:r>
      <w:r w:rsidRPr="00413D3A">
        <w:rPr>
          <w:rFonts w:ascii="Times New Roman" w:hAnsi="Times New Roman" w:cs="Times New Roman"/>
          <w:noProof/>
          <w:szCs w:val="24"/>
        </w:rPr>
        <w:tab/>
        <w:t xml:space="preserve">A. Aurigi and N. Odendaal, “From ‘smart in the box’ to ‘smart in the city’: Rethinking the socially sustainable smart city in context,” </w:t>
      </w:r>
      <w:r w:rsidRPr="00413D3A">
        <w:rPr>
          <w:rFonts w:ascii="Times New Roman" w:hAnsi="Times New Roman" w:cs="Times New Roman"/>
          <w:i/>
          <w:iCs/>
          <w:noProof/>
          <w:szCs w:val="24"/>
        </w:rPr>
        <w:t>J. Urban Technol.</w:t>
      </w:r>
      <w:r w:rsidRPr="00413D3A">
        <w:rPr>
          <w:rFonts w:ascii="Times New Roman" w:hAnsi="Times New Roman" w:cs="Times New Roman"/>
          <w:noProof/>
          <w:szCs w:val="24"/>
        </w:rPr>
        <w:t>, vol. 28, no. 1–2, pp. 55–70, 2021.</w:t>
      </w:r>
    </w:p>
    <w:p w14:paraId="04C890CA" w14:textId="77777777" w:rsidR="00A20815" w:rsidRPr="00156D00" w:rsidRDefault="00F12311"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156D00" w:rsidSect="00ED6C87">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D3303" w14:textId="77777777" w:rsidR="00DC4A07" w:rsidRDefault="00DC4A07" w:rsidP="00BD3DF2">
      <w:pPr>
        <w:spacing w:after="0" w:line="240" w:lineRule="auto"/>
      </w:pPr>
      <w:r>
        <w:separator/>
      </w:r>
    </w:p>
  </w:endnote>
  <w:endnote w:type="continuationSeparator" w:id="0">
    <w:p w14:paraId="55B57E4A" w14:textId="77777777" w:rsidR="00DC4A07" w:rsidRDefault="00DC4A0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B5D9" w14:textId="6B0DEC59"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8B6AFA">
      <w:rPr>
        <w:rFonts w:ascii="Times New Roman" w:hAnsi="Times New Roman" w:cs="Times New Roman"/>
        <w:b/>
        <w:bCs/>
        <w:iCs/>
        <w:sz w:val="24"/>
        <w:szCs w:val="24"/>
        <w:lang w:val="en-US"/>
      </w:rPr>
      <w:t>17</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w:t>
    </w:r>
    <w:r w:rsidR="008B6AFA">
      <w:rPr>
        <w:rFonts w:ascii="Times New Roman" w:hAnsi="Times New Roman" w:cs="Times New Roman"/>
        <w:b/>
        <w:bCs/>
        <w:iCs/>
        <w:sz w:val="24"/>
        <w:szCs w:val="24"/>
      </w:rPr>
      <w:t>1</w:t>
    </w:r>
    <w:r w:rsidR="00DC624E" w:rsidRPr="00BC03DE">
      <w:rPr>
        <w:rFonts w:ascii="Times New Roman" w:hAnsi="Times New Roman" w:cs="Times New Roman"/>
        <w:b/>
        <w:bCs/>
        <w:iCs/>
        <w:sz w:val="24"/>
        <w:szCs w:val="24"/>
        <w:lang w:val="en-US"/>
      </w:rPr>
      <w:t xml:space="preserve"> </w:t>
    </w:r>
    <w:r w:rsidR="008B6AFA">
      <w:rPr>
        <w:rFonts w:ascii="Times New Roman" w:hAnsi="Times New Roman" w:cs="Times New Roman"/>
        <w:b/>
        <w:bCs/>
        <w:iCs/>
        <w:sz w:val="24"/>
        <w:szCs w:val="24"/>
      </w:rPr>
      <w:t>June</w:t>
    </w:r>
    <w:r w:rsidR="00DC624E" w:rsidRPr="00BC03DE">
      <w:rPr>
        <w:rFonts w:ascii="Times New Roman" w:hAnsi="Times New Roman" w:cs="Times New Roman"/>
        <w:b/>
        <w:bCs/>
        <w:iCs/>
        <w:sz w:val="24"/>
        <w:szCs w:val="24"/>
      </w:rPr>
      <w:t xml:space="preserve"> 20</w:t>
    </w:r>
    <w:r w:rsidR="008B6AFA">
      <w:rPr>
        <w:rFonts w:ascii="Times New Roman" w:hAnsi="Times New Roman" w:cs="Times New Roman"/>
        <w:b/>
        <w:bCs/>
        <w:iCs/>
        <w:sz w:val="24"/>
        <w:szCs w:val="24"/>
      </w:rPr>
      <w:t>24</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A20475">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D3EED" w14:textId="77777777" w:rsidR="00DC4A07" w:rsidRDefault="00DC4A07" w:rsidP="00BD3DF2">
      <w:pPr>
        <w:spacing w:after="0" w:line="240" w:lineRule="auto"/>
      </w:pPr>
      <w:r>
        <w:separator/>
      </w:r>
    </w:p>
  </w:footnote>
  <w:footnote w:type="continuationSeparator" w:id="0">
    <w:p w14:paraId="32D96624" w14:textId="77777777" w:rsidR="00DC4A07" w:rsidRDefault="00DC4A07"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15:restartNumberingAfterBreak="0">
    <w:nsid w:val="740A6E7A"/>
    <w:multiLevelType w:val="multilevel"/>
    <w:tmpl w:val="1B7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179219">
    <w:abstractNumId w:val="6"/>
  </w:num>
  <w:num w:numId="2" w16cid:durableId="1806047923">
    <w:abstractNumId w:val="5"/>
  </w:num>
  <w:num w:numId="3" w16cid:durableId="713819259">
    <w:abstractNumId w:val="0"/>
  </w:num>
  <w:num w:numId="4" w16cid:durableId="1817532123">
    <w:abstractNumId w:val="1"/>
  </w:num>
  <w:num w:numId="5" w16cid:durableId="1516573112">
    <w:abstractNumId w:val="2"/>
  </w:num>
  <w:num w:numId="6" w16cid:durableId="487719738">
    <w:abstractNumId w:val="9"/>
  </w:num>
  <w:num w:numId="7" w16cid:durableId="841091167">
    <w:abstractNumId w:val="3"/>
  </w:num>
  <w:num w:numId="8" w16cid:durableId="843932658">
    <w:abstractNumId w:val="4"/>
  </w:num>
  <w:num w:numId="9" w16cid:durableId="1878541163">
    <w:abstractNumId w:val="8"/>
  </w:num>
  <w:num w:numId="10" w16cid:durableId="1764181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4741"/>
    <w:rsid w:val="00013331"/>
    <w:rsid w:val="000151F3"/>
    <w:rsid w:val="00026852"/>
    <w:rsid w:val="00071394"/>
    <w:rsid w:val="000767AC"/>
    <w:rsid w:val="00082B02"/>
    <w:rsid w:val="0009456B"/>
    <w:rsid w:val="000973D1"/>
    <w:rsid w:val="000A264E"/>
    <w:rsid w:val="000B2834"/>
    <w:rsid w:val="000C17E4"/>
    <w:rsid w:val="000C31DF"/>
    <w:rsid w:val="000C5A7E"/>
    <w:rsid w:val="000C6E91"/>
    <w:rsid w:val="000D0AC6"/>
    <w:rsid w:val="000E5FB5"/>
    <w:rsid w:val="000E6927"/>
    <w:rsid w:val="001221B0"/>
    <w:rsid w:val="0014123F"/>
    <w:rsid w:val="001423B4"/>
    <w:rsid w:val="00156D00"/>
    <w:rsid w:val="00166D83"/>
    <w:rsid w:val="00167ABC"/>
    <w:rsid w:val="001807B9"/>
    <w:rsid w:val="00190277"/>
    <w:rsid w:val="001A00C2"/>
    <w:rsid w:val="001B28B7"/>
    <w:rsid w:val="001C79A0"/>
    <w:rsid w:val="001E325F"/>
    <w:rsid w:val="001F2277"/>
    <w:rsid w:val="0023056D"/>
    <w:rsid w:val="00231CEA"/>
    <w:rsid w:val="0023691F"/>
    <w:rsid w:val="0024363E"/>
    <w:rsid w:val="00247F0A"/>
    <w:rsid w:val="002516A8"/>
    <w:rsid w:val="0025468B"/>
    <w:rsid w:val="00260B8B"/>
    <w:rsid w:val="00263DD8"/>
    <w:rsid w:val="00264A93"/>
    <w:rsid w:val="00275DB3"/>
    <w:rsid w:val="00280A4E"/>
    <w:rsid w:val="00280FA7"/>
    <w:rsid w:val="0029203F"/>
    <w:rsid w:val="002930A1"/>
    <w:rsid w:val="00295877"/>
    <w:rsid w:val="002A73E1"/>
    <w:rsid w:val="002B31E0"/>
    <w:rsid w:val="002C0DF3"/>
    <w:rsid w:val="002D5658"/>
    <w:rsid w:val="002F11B1"/>
    <w:rsid w:val="00314187"/>
    <w:rsid w:val="00315AC0"/>
    <w:rsid w:val="0033714C"/>
    <w:rsid w:val="00337E4A"/>
    <w:rsid w:val="00373B88"/>
    <w:rsid w:val="00381098"/>
    <w:rsid w:val="003C5E0E"/>
    <w:rsid w:val="003D1666"/>
    <w:rsid w:val="00413D3A"/>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3260"/>
    <w:rsid w:val="004F6862"/>
    <w:rsid w:val="004F7229"/>
    <w:rsid w:val="00531A04"/>
    <w:rsid w:val="0054247E"/>
    <w:rsid w:val="00550EA6"/>
    <w:rsid w:val="0055783F"/>
    <w:rsid w:val="0057188F"/>
    <w:rsid w:val="005831E4"/>
    <w:rsid w:val="00583700"/>
    <w:rsid w:val="005B6D02"/>
    <w:rsid w:val="005C242D"/>
    <w:rsid w:val="005D6635"/>
    <w:rsid w:val="005E3175"/>
    <w:rsid w:val="005F1219"/>
    <w:rsid w:val="005F3A06"/>
    <w:rsid w:val="005F4B71"/>
    <w:rsid w:val="006056BE"/>
    <w:rsid w:val="006171B3"/>
    <w:rsid w:val="00617C9B"/>
    <w:rsid w:val="0062157D"/>
    <w:rsid w:val="00635CBD"/>
    <w:rsid w:val="006706F2"/>
    <w:rsid w:val="006709DA"/>
    <w:rsid w:val="0069410E"/>
    <w:rsid w:val="006965B2"/>
    <w:rsid w:val="006A33A6"/>
    <w:rsid w:val="006B0E27"/>
    <w:rsid w:val="006B629D"/>
    <w:rsid w:val="006D6D19"/>
    <w:rsid w:val="006E3D96"/>
    <w:rsid w:val="00711C6A"/>
    <w:rsid w:val="00712E82"/>
    <w:rsid w:val="007223D5"/>
    <w:rsid w:val="00724ED7"/>
    <w:rsid w:val="00731E10"/>
    <w:rsid w:val="00734DF0"/>
    <w:rsid w:val="00736793"/>
    <w:rsid w:val="00760A3E"/>
    <w:rsid w:val="00762A79"/>
    <w:rsid w:val="00762E81"/>
    <w:rsid w:val="00783ED1"/>
    <w:rsid w:val="00790192"/>
    <w:rsid w:val="007912A2"/>
    <w:rsid w:val="007A5D4E"/>
    <w:rsid w:val="007B46BC"/>
    <w:rsid w:val="007C2346"/>
    <w:rsid w:val="007C3E3D"/>
    <w:rsid w:val="007C7361"/>
    <w:rsid w:val="007F0EE3"/>
    <w:rsid w:val="00815747"/>
    <w:rsid w:val="008267F9"/>
    <w:rsid w:val="008318D9"/>
    <w:rsid w:val="00844497"/>
    <w:rsid w:val="00893A3F"/>
    <w:rsid w:val="008957F8"/>
    <w:rsid w:val="008A106B"/>
    <w:rsid w:val="008A3CD3"/>
    <w:rsid w:val="008B11D9"/>
    <w:rsid w:val="008B19CC"/>
    <w:rsid w:val="008B3067"/>
    <w:rsid w:val="008B5E8C"/>
    <w:rsid w:val="008B6AFA"/>
    <w:rsid w:val="008D0AEE"/>
    <w:rsid w:val="008E3AAF"/>
    <w:rsid w:val="008E7571"/>
    <w:rsid w:val="008F2D2C"/>
    <w:rsid w:val="008F5BFE"/>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475"/>
    <w:rsid w:val="00A20815"/>
    <w:rsid w:val="00A214E1"/>
    <w:rsid w:val="00A22FEF"/>
    <w:rsid w:val="00A37C6F"/>
    <w:rsid w:val="00A618F9"/>
    <w:rsid w:val="00A7430C"/>
    <w:rsid w:val="00AA4294"/>
    <w:rsid w:val="00AC532E"/>
    <w:rsid w:val="00AD553D"/>
    <w:rsid w:val="00AF5ED5"/>
    <w:rsid w:val="00AF623A"/>
    <w:rsid w:val="00B03EFF"/>
    <w:rsid w:val="00B0553E"/>
    <w:rsid w:val="00B249C9"/>
    <w:rsid w:val="00B3034B"/>
    <w:rsid w:val="00B329CF"/>
    <w:rsid w:val="00B4144E"/>
    <w:rsid w:val="00B5153F"/>
    <w:rsid w:val="00B53B02"/>
    <w:rsid w:val="00B57E80"/>
    <w:rsid w:val="00B6161E"/>
    <w:rsid w:val="00B71E3A"/>
    <w:rsid w:val="00B81A52"/>
    <w:rsid w:val="00B81D9E"/>
    <w:rsid w:val="00BA1FD2"/>
    <w:rsid w:val="00BB59B9"/>
    <w:rsid w:val="00BC2F62"/>
    <w:rsid w:val="00BC75CA"/>
    <w:rsid w:val="00BD3DF2"/>
    <w:rsid w:val="00C050E6"/>
    <w:rsid w:val="00C05853"/>
    <w:rsid w:val="00C12717"/>
    <w:rsid w:val="00C203F0"/>
    <w:rsid w:val="00C23B5D"/>
    <w:rsid w:val="00C31ED1"/>
    <w:rsid w:val="00C35A97"/>
    <w:rsid w:val="00C622CB"/>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4A07"/>
    <w:rsid w:val="00DC624E"/>
    <w:rsid w:val="00DF36B0"/>
    <w:rsid w:val="00E0457A"/>
    <w:rsid w:val="00E07381"/>
    <w:rsid w:val="00E11F3F"/>
    <w:rsid w:val="00E20CEC"/>
    <w:rsid w:val="00E2165D"/>
    <w:rsid w:val="00E26505"/>
    <w:rsid w:val="00E26D16"/>
    <w:rsid w:val="00E75F8F"/>
    <w:rsid w:val="00E80032"/>
    <w:rsid w:val="00E82193"/>
    <w:rsid w:val="00EA2970"/>
    <w:rsid w:val="00EA3E26"/>
    <w:rsid w:val="00EB375B"/>
    <w:rsid w:val="00EC0792"/>
    <w:rsid w:val="00ED6C87"/>
    <w:rsid w:val="00EF1263"/>
    <w:rsid w:val="00EF2E8F"/>
    <w:rsid w:val="00EF66AF"/>
    <w:rsid w:val="00F12311"/>
    <w:rsid w:val="00F13F36"/>
    <w:rsid w:val="00F20FE1"/>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E58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A2A9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 w:type="paragraph" w:styleId="NoSpacing">
    <w:name w:val="No Spacing"/>
    <w:uiPriority w:val="1"/>
    <w:qFormat/>
    <w:rsid w:val="00E26D16"/>
    <w:pPr>
      <w:spacing w:after="0" w:line="240" w:lineRule="auto"/>
    </w:pPr>
  </w:style>
  <w:style w:type="character" w:styleId="UnresolvedMention">
    <w:name w:val="Unresolved Mention"/>
    <w:basedOn w:val="DefaultParagraphFont"/>
    <w:uiPriority w:val="99"/>
    <w:semiHidden/>
    <w:unhideWhenUsed/>
    <w:rsid w:val="008B6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72214">
      <w:bodyDiv w:val="1"/>
      <w:marLeft w:val="0"/>
      <w:marRight w:val="0"/>
      <w:marTop w:val="0"/>
      <w:marBottom w:val="0"/>
      <w:divBdr>
        <w:top w:val="none" w:sz="0" w:space="0" w:color="auto"/>
        <w:left w:val="none" w:sz="0" w:space="0" w:color="auto"/>
        <w:bottom w:val="none" w:sz="0" w:space="0" w:color="auto"/>
        <w:right w:val="none" w:sz="0" w:space="0" w:color="auto"/>
      </w:divBdr>
    </w:div>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42587408">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20706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74815012">
      <w:bodyDiv w:val="1"/>
      <w:marLeft w:val="0"/>
      <w:marRight w:val="0"/>
      <w:marTop w:val="0"/>
      <w:marBottom w:val="0"/>
      <w:divBdr>
        <w:top w:val="none" w:sz="0" w:space="0" w:color="auto"/>
        <w:left w:val="none" w:sz="0" w:space="0" w:color="auto"/>
        <w:bottom w:val="none" w:sz="0" w:space="0" w:color="auto"/>
        <w:right w:val="none" w:sz="0" w:space="0" w:color="auto"/>
      </w:divBdr>
    </w:div>
    <w:div w:id="1088699867">
      <w:bodyDiv w:val="1"/>
      <w:marLeft w:val="0"/>
      <w:marRight w:val="0"/>
      <w:marTop w:val="0"/>
      <w:marBottom w:val="0"/>
      <w:divBdr>
        <w:top w:val="none" w:sz="0" w:space="0" w:color="auto"/>
        <w:left w:val="none" w:sz="0" w:space="0" w:color="auto"/>
        <w:bottom w:val="none" w:sz="0" w:space="0" w:color="auto"/>
        <w:right w:val="none" w:sz="0" w:space="0" w:color="auto"/>
      </w:divBdr>
    </w:div>
    <w:div w:id="1126243473">
      <w:bodyDiv w:val="1"/>
      <w:marLeft w:val="0"/>
      <w:marRight w:val="0"/>
      <w:marTop w:val="0"/>
      <w:marBottom w:val="0"/>
      <w:divBdr>
        <w:top w:val="none" w:sz="0" w:space="0" w:color="auto"/>
        <w:left w:val="none" w:sz="0" w:space="0" w:color="auto"/>
        <w:bottom w:val="none" w:sz="0" w:space="0" w:color="auto"/>
        <w:right w:val="none" w:sz="0" w:space="0" w:color="auto"/>
      </w:divBdr>
    </w:div>
    <w:div w:id="1127162437">
      <w:bodyDiv w:val="1"/>
      <w:marLeft w:val="0"/>
      <w:marRight w:val="0"/>
      <w:marTop w:val="0"/>
      <w:marBottom w:val="0"/>
      <w:divBdr>
        <w:top w:val="none" w:sz="0" w:space="0" w:color="auto"/>
        <w:left w:val="none" w:sz="0" w:space="0" w:color="auto"/>
        <w:bottom w:val="none" w:sz="0" w:space="0" w:color="auto"/>
        <w:right w:val="none" w:sz="0" w:space="0" w:color="auto"/>
      </w:divBdr>
    </w:div>
    <w:div w:id="1250963271">
      <w:bodyDiv w:val="1"/>
      <w:marLeft w:val="0"/>
      <w:marRight w:val="0"/>
      <w:marTop w:val="0"/>
      <w:marBottom w:val="0"/>
      <w:divBdr>
        <w:top w:val="none" w:sz="0" w:space="0" w:color="auto"/>
        <w:left w:val="none" w:sz="0" w:space="0" w:color="auto"/>
        <w:bottom w:val="none" w:sz="0" w:space="0" w:color="auto"/>
        <w:right w:val="none" w:sz="0" w:space="0" w:color="auto"/>
      </w:divBdr>
    </w:div>
    <w:div w:id="1611470114">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24788776">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1750702">
      <w:bodyDiv w:val="1"/>
      <w:marLeft w:val="0"/>
      <w:marRight w:val="0"/>
      <w:marTop w:val="0"/>
      <w:marBottom w:val="0"/>
      <w:divBdr>
        <w:top w:val="none" w:sz="0" w:space="0" w:color="auto"/>
        <w:left w:val="none" w:sz="0" w:space="0" w:color="auto"/>
        <w:bottom w:val="none" w:sz="0" w:space="0" w:color="auto"/>
        <w:right w:val="none" w:sz="0" w:space="0" w:color="auto"/>
      </w:divBdr>
    </w:div>
    <w:div w:id="1894150306">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manaufal2003@g.mail.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1CAF88-D34D-49ED-9A57-F5A855DD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10998</Words>
  <Characters>62691</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Pra ssst</cp:lastModifiedBy>
  <cp:revision>7</cp:revision>
  <cp:lastPrinted>2024-06-10T08:05:00Z</cp:lastPrinted>
  <dcterms:created xsi:type="dcterms:W3CDTF">2024-05-03T08:20:00Z</dcterms:created>
  <dcterms:modified xsi:type="dcterms:W3CDTF">2024-06-10T08:08:00Z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http://www.zotero.org/styles/e3s-web-of-conferences</vt:lpwstr>
  </property>
  <property fmtid="{D5CDD505-2E9C-101B-9397-08002B2CF9AE}" pid="20" name="Mendeley Recent Style Name 7_1">
    <vt:lpwstr>E3S Web of Conferences</vt:lpwstr>
  </property>
  <property fmtid="{D5CDD505-2E9C-101B-9397-08002B2CF9AE}" pid="21" name="Mendeley Recent Style Id 8_1">
    <vt:lpwstr>http://www.zotero.org/styles/harvard1</vt:lpwstr>
  </property>
  <property fmtid="{D5CDD505-2E9C-101B-9397-08002B2CF9AE}" pid="22" name="Mendeley Recent Style Name 8_1">
    <vt:lpwstr>Harvard reference format 1 (deprecated)</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ies>
</file>