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56D00" w:rsidRDefault="002930A1" w:rsidP="003C5E0E">
      <w:pPr>
        <w:spacing w:after="0" w:line="240" w:lineRule="auto"/>
        <w:jc w:val="center"/>
        <w:rPr>
          <w:rFonts w:ascii="Times New Roman" w:hAnsi="Times New Roman" w:cs="Times New Roman"/>
          <w:color w:val="FF0000"/>
          <w:lang w:val="en-US"/>
        </w:rPr>
      </w:pPr>
      <w:r w:rsidRPr="00156D00">
        <w:rPr>
          <w:rFonts w:ascii="Times New Roman" w:hAnsi="Times New Roman" w:cs="Times New Roman"/>
          <w:color w:val="FF0000"/>
          <w:lang w:val="en-US"/>
        </w:rPr>
        <w:t>http://ejournal.stipjakarta.</w:t>
      </w:r>
      <w:r w:rsidR="005E3175" w:rsidRPr="00156D00">
        <w:rPr>
          <w:rFonts w:ascii="Times New Roman" w:hAnsi="Times New Roman" w:cs="Times New Roman"/>
          <w:color w:val="FF0000"/>
          <w:lang w:val="en-US"/>
        </w:rPr>
        <w:t>ac</w:t>
      </w:r>
      <w:r w:rsidRPr="00156D00">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56D00"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56D00"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56D00">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56D0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56D00">
              <w:rPr>
                <w:rFonts w:ascii="Times New Roman" w:eastAsia="Calibri" w:hAnsi="Times New Roman" w:cs="Times New Roman"/>
                <w:b w:val="0"/>
                <w:i/>
                <w:color w:val="1F497D" w:themeColor="text2"/>
                <w:sz w:val="66"/>
                <w:szCs w:val="66"/>
                <w:lang w:val="en-US"/>
              </w:rPr>
              <w:t>METEOR</w:t>
            </w:r>
            <w:r w:rsidR="001C79A0" w:rsidRPr="00156D00">
              <w:rPr>
                <w:rFonts w:ascii="Times New Roman" w:eastAsia="Calibri" w:hAnsi="Times New Roman" w:cs="Times New Roman"/>
                <w:b w:val="0"/>
                <w:i/>
                <w:color w:val="1F497D" w:themeColor="text2"/>
                <w:sz w:val="66"/>
                <w:szCs w:val="66"/>
                <w:lang w:val="en-US"/>
              </w:rPr>
              <w:t xml:space="preserve"> STIP MARUNDA</w:t>
            </w:r>
          </w:p>
        </w:tc>
      </w:tr>
      <w:tr w:rsidR="00DB5E65" w:rsidRPr="00156D00"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56D00"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eastAsia="id-ID"/>
              </w:rPr>
              <w:t>ISSN</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eastAsia="id-ID"/>
              </w:rPr>
              <w:t xml:space="preserve">: </w:t>
            </w:r>
            <w:r w:rsidR="005F4B71" w:rsidRPr="00156D00">
              <w:rPr>
                <w:rFonts w:ascii="Times New Roman" w:hAnsi="Times New Roman" w:cs="Times New Roman"/>
                <w:b w:val="0"/>
                <w:noProof/>
                <w:sz w:val="16"/>
                <w:szCs w:val="16"/>
                <w:lang w:eastAsia="id-ID"/>
              </w:rPr>
              <w:t>1</w:t>
            </w:r>
            <w:r w:rsidR="005F4B71" w:rsidRPr="00156D00">
              <w:rPr>
                <w:rFonts w:ascii="Times New Roman" w:hAnsi="Times New Roman" w:cs="Times New Roman"/>
                <w:b w:val="0"/>
                <w:noProof/>
                <w:sz w:val="16"/>
                <w:szCs w:val="16"/>
                <w:lang w:val="en-US" w:eastAsia="id-ID"/>
              </w:rPr>
              <w:t xml:space="preserve">979 </w:t>
            </w:r>
            <w:r w:rsidR="002930A1" w:rsidRPr="00156D00">
              <w:rPr>
                <w:rFonts w:ascii="Times New Roman" w:hAnsi="Times New Roman" w:cs="Times New Roman"/>
                <w:b w:val="0"/>
                <w:noProof/>
                <w:sz w:val="16"/>
                <w:szCs w:val="16"/>
                <w:lang w:val="en-US" w:eastAsia="id-ID"/>
              </w:rPr>
              <w:t>–</w:t>
            </w:r>
            <w:r w:rsidR="005F4B71" w:rsidRPr="00156D00">
              <w:rPr>
                <w:rFonts w:ascii="Times New Roman" w:hAnsi="Times New Roman" w:cs="Times New Roman"/>
                <w:b w:val="0"/>
                <w:noProof/>
                <w:sz w:val="16"/>
                <w:szCs w:val="16"/>
                <w:lang w:val="en-US" w:eastAsia="id-ID"/>
              </w:rPr>
              <w:t xml:space="preserve"> 4746</w:t>
            </w:r>
          </w:p>
          <w:p w:rsidR="002930A1" w:rsidRPr="00156D00"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56D00">
              <w:rPr>
                <w:rFonts w:ascii="Times New Roman" w:hAnsi="Times New Roman" w:cs="Times New Roman"/>
                <w:b w:val="0"/>
                <w:noProof/>
                <w:sz w:val="16"/>
                <w:szCs w:val="16"/>
                <w:lang w:val="en-US" w:eastAsia="id-ID"/>
              </w:rPr>
              <w:t xml:space="preserve">EISSN </w:t>
            </w:r>
            <w:r w:rsidR="00893A3F" w:rsidRPr="00156D00">
              <w:rPr>
                <w:rFonts w:ascii="Times New Roman" w:hAnsi="Times New Roman" w:cs="Times New Roman"/>
                <w:b w:val="0"/>
                <w:noProof/>
                <w:sz w:val="16"/>
                <w:szCs w:val="16"/>
                <w:lang w:val="en-US" w:eastAsia="id-ID"/>
              </w:rPr>
              <w:t xml:space="preserve"> </w:t>
            </w:r>
            <w:r w:rsidRPr="00156D00">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6D00">
              <w:rPr>
                <w:rFonts w:ascii="Times New Roman" w:eastAsia="Calibri" w:hAnsi="Times New Roman" w:cs="Times New Roman"/>
                <w:b/>
                <w:i/>
                <w:color w:val="1F497D" w:themeColor="text2"/>
                <w:sz w:val="24"/>
                <w:szCs w:val="24"/>
                <w:lang w:val="en-US"/>
              </w:rPr>
              <w:t xml:space="preserve">JURNAL PENELITIAN ILMIAH </w:t>
            </w:r>
          </w:p>
          <w:p w:rsidR="0025468B" w:rsidRPr="00156D00"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6D00">
              <w:rPr>
                <w:rFonts w:ascii="Times New Roman" w:eastAsia="Calibri" w:hAnsi="Times New Roman" w:cs="Times New Roman"/>
                <w:b/>
                <w:i/>
                <w:color w:val="1F497D" w:themeColor="text2"/>
                <w:sz w:val="24"/>
                <w:szCs w:val="24"/>
                <w:lang w:val="en-US"/>
              </w:rPr>
              <w:t>SEKOLAH TINGGI ILMU PELAYARAN</w:t>
            </w:r>
          </w:p>
        </w:tc>
      </w:tr>
      <w:bookmarkEnd w:id="0"/>
    </w:tbl>
    <w:p w:rsidR="009C4BE4" w:rsidRPr="00156D00"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56D00"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2516A8" w:rsidRPr="00156D00" w:rsidRDefault="002516A8" w:rsidP="002516A8">
            <w:pPr>
              <w:jc w:val="center"/>
              <w:rPr>
                <w:rFonts w:ascii="Times New Roman" w:eastAsia="Calibri" w:hAnsi="Times New Roman" w:cs="Times New Roman"/>
                <w:sz w:val="28"/>
                <w:szCs w:val="32"/>
                <w:lang w:val="en-ID"/>
              </w:rPr>
            </w:pPr>
            <w:r w:rsidRPr="00156D00">
              <w:rPr>
                <w:rFonts w:ascii="Times New Roman" w:eastAsia="Calibri" w:hAnsi="Times New Roman" w:cs="Times New Roman"/>
                <w:sz w:val="28"/>
                <w:szCs w:val="32"/>
                <w:lang w:val="en-ID"/>
              </w:rPr>
              <w:t>Simulation-Based Learning in Maritime Training: Enhancing Competency and Preparedness</w:t>
            </w:r>
          </w:p>
          <w:p w:rsidR="0094162E" w:rsidRPr="00156D00" w:rsidRDefault="0094162E" w:rsidP="00373B88">
            <w:pPr>
              <w:autoSpaceDE w:val="0"/>
              <w:autoSpaceDN w:val="0"/>
              <w:adjustRightInd w:val="0"/>
              <w:jc w:val="center"/>
              <w:rPr>
                <w:rFonts w:ascii="Times New Roman" w:hAnsi="Times New Roman" w:cs="Times New Roman"/>
                <w:b w:val="0"/>
                <w:i/>
                <w:iCs/>
                <w:szCs w:val="20"/>
              </w:rPr>
            </w:pPr>
          </w:p>
          <w:p w:rsidR="00373B88" w:rsidRPr="00280A4E" w:rsidRDefault="00EA2970" w:rsidP="00373B88">
            <w:pPr>
              <w:autoSpaceDE w:val="0"/>
              <w:autoSpaceDN w:val="0"/>
              <w:adjustRightInd w:val="0"/>
              <w:jc w:val="center"/>
              <w:rPr>
                <w:rFonts w:ascii="Times New Roman" w:hAnsi="Times New Roman" w:cs="Times New Roman"/>
                <w:b w:val="0"/>
                <w:i/>
                <w:iCs/>
                <w:szCs w:val="20"/>
              </w:rPr>
            </w:pPr>
            <w:r w:rsidRPr="00280A4E">
              <w:rPr>
                <w:rFonts w:ascii="Times New Roman" w:hAnsi="Times New Roman" w:cs="Times New Roman"/>
                <w:b w:val="0"/>
                <w:i/>
                <w:iCs/>
                <w:szCs w:val="20"/>
              </w:rPr>
              <w:t>Asman Ala</w:t>
            </w:r>
            <w:r w:rsidR="00373B88" w:rsidRPr="00280A4E">
              <w:rPr>
                <w:rFonts w:ascii="Times New Roman" w:hAnsi="Times New Roman" w:cs="Times New Roman"/>
                <w:b w:val="0"/>
                <w:i/>
                <w:iCs/>
                <w:szCs w:val="20"/>
                <w:vertAlign w:val="superscript"/>
              </w:rPr>
              <w:t>1)</w:t>
            </w:r>
            <w:r w:rsidR="00373B88" w:rsidRPr="00280A4E">
              <w:rPr>
                <w:rFonts w:ascii="Times New Roman" w:hAnsi="Times New Roman" w:cs="Times New Roman"/>
                <w:b w:val="0"/>
                <w:i/>
                <w:iCs/>
                <w:szCs w:val="20"/>
              </w:rPr>
              <w:t xml:space="preserve">  </w:t>
            </w:r>
            <w:r w:rsidRPr="00280A4E">
              <w:rPr>
                <w:rStyle w:val="Hyperlink"/>
                <w:rFonts w:ascii="Times New Roman" w:hAnsi="Times New Roman" w:cs="Times New Roman"/>
                <w:b w:val="0"/>
                <w:i/>
                <w:iCs/>
                <w:szCs w:val="20"/>
              </w:rPr>
              <w:t>asmanaufal2003@g.mail.com</w:t>
            </w:r>
            <w:bookmarkStart w:id="1" w:name="_GoBack"/>
            <w:bookmarkEnd w:id="1"/>
          </w:p>
          <w:p w:rsidR="00373B88" w:rsidRPr="00280A4E" w:rsidRDefault="00280A4E" w:rsidP="00373B88">
            <w:pPr>
              <w:autoSpaceDE w:val="0"/>
              <w:autoSpaceDN w:val="0"/>
              <w:adjustRightInd w:val="0"/>
              <w:jc w:val="center"/>
              <w:rPr>
                <w:rFonts w:ascii="Times New Roman" w:hAnsi="Times New Roman" w:cs="Times New Roman"/>
                <w:b w:val="0"/>
                <w:i/>
                <w:iCs/>
                <w:szCs w:val="20"/>
              </w:rPr>
            </w:pPr>
            <w:r w:rsidRPr="00280A4E">
              <w:rPr>
                <w:rFonts w:ascii="Times New Roman" w:hAnsi="Times New Roman" w:cs="Times New Roman"/>
                <w:b w:val="0"/>
                <w:i/>
                <w:iCs/>
                <w:szCs w:val="20"/>
              </w:rPr>
              <w:t>Nazilul Hamidi</w:t>
            </w:r>
            <w:r w:rsidR="00373B88" w:rsidRPr="00280A4E">
              <w:rPr>
                <w:rFonts w:ascii="Times New Roman" w:hAnsi="Times New Roman" w:cs="Times New Roman"/>
                <w:b w:val="0"/>
                <w:i/>
                <w:iCs/>
                <w:szCs w:val="20"/>
                <w:vertAlign w:val="superscript"/>
              </w:rPr>
              <w:t>2)</w:t>
            </w:r>
            <w:r w:rsidR="00373B88" w:rsidRPr="00280A4E">
              <w:rPr>
                <w:rFonts w:ascii="Times New Roman" w:hAnsi="Times New Roman" w:cs="Times New Roman"/>
                <w:b w:val="0"/>
                <w:i/>
                <w:iCs/>
                <w:szCs w:val="20"/>
              </w:rPr>
              <w:t xml:space="preserve">  </w:t>
            </w:r>
            <w:r w:rsidRPr="00280A4E">
              <w:rPr>
                <w:rStyle w:val="Hyperlink"/>
                <w:rFonts w:ascii="Times New Roman" w:hAnsi="Times New Roman" w:cs="Times New Roman"/>
                <w:b w:val="0"/>
                <w:i/>
                <w:iCs/>
                <w:szCs w:val="20"/>
              </w:rPr>
              <w:t>nzlhmd@gmail.com</w:t>
            </w:r>
          </w:p>
          <w:p w:rsidR="004F3260" w:rsidRPr="004F3260" w:rsidRDefault="004F3260" w:rsidP="004F3260">
            <w:pPr>
              <w:autoSpaceDE w:val="0"/>
              <w:autoSpaceDN w:val="0"/>
              <w:adjustRightInd w:val="0"/>
              <w:jc w:val="center"/>
              <w:rPr>
                <w:rFonts w:ascii="Times New Roman" w:eastAsia="Calibri" w:hAnsi="Times New Roman" w:cs="Times New Roman"/>
                <w:b w:val="0"/>
                <w:i/>
                <w:iCs/>
                <w:szCs w:val="20"/>
              </w:rPr>
            </w:pPr>
            <w:r w:rsidRPr="004F3260">
              <w:rPr>
                <w:rFonts w:ascii="Times New Roman" w:eastAsia="Calibri" w:hAnsi="Times New Roman" w:cs="Times New Roman"/>
                <w:b w:val="0"/>
                <w:i/>
                <w:iCs/>
                <w:szCs w:val="20"/>
              </w:rPr>
              <w:t>Marudut Bernadtua Simanjuntak</w:t>
            </w:r>
            <w:r w:rsidRPr="004F3260">
              <w:rPr>
                <w:rFonts w:ascii="Times New Roman" w:eastAsia="Calibri" w:hAnsi="Times New Roman" w:cs="Times New Roman"/>
                <w:b w:val="0"/>
                <w:i/>
                <w:iCs/>
                <w:szCs w:val="20"/>
                <w:vertAlign w:val="superscript"/>
              </w:rPr>
              <w:t>3)</w:t>
            </w:r>
            <w:r w:rsidRPr="004F3260">
              <w:rPr>
                <w:rFonts w:ascii="Times New Roman" w:eastAsia="Calibri" w:hAnsi="Times New Roman" w:cs="Times New Roman"/>
                <w:b w:val="0"/>
                <w:i/>
                <w:iCs/>
                <w:szCs w:val="20"/>
              </w:rPr>
              <w:t xml:space="preserve">  </w:t>
            </w:r>
            <w:hyperlink r:id="rId10" w:history="1">
              <w:r w:rsidRPr="004F3260">
                <w:rPr>
                  <w:rFonts w:ascii="Times New Roman" w:eastAsia="Calibri" w:hAnsi="Times New Roman" w:cs="Times New Roman"/>
                  <w:b w:val="0"/>
                  <w:i/>
                  <w:iCs/>
                  <w:color w:val="0000FF" w:themeColor="hyperlink"/>
                  <w:szCs w:val="20"/>
                  <w:u w:val="single"/>
                </w:rPr>
                <w:t>bernadmarudut@gmail.com</w:t>
              </w:r>
            </w:hyperlink>
          </w:p>
          <w:p w:rsidR="009E2290" w:rsidRPr="00156D00" w:rsidRDefault="009E2290" w:rsidP="003C5E0E">
            <w:pPr>
              <w:autoSpaceDE w:val="0"/>
              <w:autoSpaceDN w:val="0"/>
              <w:adjustRightInd w:val="0"/>
              <w:jc w:val="center"/>
              <w:rPr>
                <w:rFonts w:ascii="Times New Roman" w:hAnsi="Times New Roman" w:cs="Times New Roman"/>
                <w:b w:val="0"/>
                <w:i/>
                <w:iCs/>
                <w:szCs w:val="20"/>
                <w:lang w:val="en-US"/>
              </w:rPr>
            </w:pPr>
          </w:p>
          <w:p w:rsidR="009E2290" w:rsidRPr="00156D00" w:rsidRDefault="00373B88" w:rsidP="003C5E0E">
            <w:pPr>
              <w:autoSpaceDE w:val="0"/>
              <w:autoSpaceDN w:val="0"/>
              <w:adjustRightInd w:val="0"/>
              <w:jc w:val="center"/>
              <w:rPr>
                <w:rFonts w:ascii="Times New Roman" w:hAnsi="Times New Roman" w:cs="Times New Roman"/>
                <w:b w:val="0"/>
                <w:i/>
                <w:iCs/>
                <w:szCs w:val="20"/>
                <w:lang w:val="en-US"/>
              </w:rPr>
            </w:pPr>
            <w:r w:rsidRPr="00156D00">
              <w:rPr>
                <w:rFonts w:ascii="Times New Roman" w:hAnsi="Times New Roman" w:cs="Times New Roman"/>
                <w:b w:val="0"/>
                <w:i/>
                <w:iCs/>
                <w:szCs w:val="20"/>
                <w:lang w:val="en-US"/>
              </w:rPr>
              <w:t xml:space="preserve">Maritime Institute </w:t>
            </w:r>
            <w:r w:rsidRPr="00156D00">
              <w:rPr>
                <w:rFonts w:ascii="Times New Roman" w:hAnsi="Times New Roman" w:cs="Times New Roman"/>
                <w:b w:val="0"/>
                <w:i/>
                <w:iCs/>
                <w:szCs w:val="20"/>
              </w:rPr>
              <w:t xml:space="preserve">of </w:t>
            </w:r>
            <w:r w:rsidRPr="00156D00">
              <w:rPr>
                <w:rFonts w:ascii="Times New Roman" w:hAnsi="Times New Roman" w:cs="Times New Roman"/>
                <w:b w:val="0"/>
                <w:i/>
                <w:iCs/>
                <w:szCs w:val="20"/>
                <w:lang w:val="en-US"/>
              </w:rPr>
              <w:t>Jakarta (S</w:t>
            </w:r>
            <w:r w:rsidRPr="00156D00">
              <w:rPr>
                <w:rFonts w:ascii="Times New Roman" w:hAnsi="Times New Roman" w:cs="Times New Roman"/>
                <w:b w:val="0"/>
                <w:i/>
                <w:iCs/>
                <w:szCs w:val="20"/>
              </w:rPr>
              <w:t xml:space="preserve">ekolah </w:t>
            </w:r>
            <w:r w:rsidRPr="00156D00">
              <w:rPr>
                <w:rFonts w:ascii="Times New Roman" w:hAnsi="Times New Roman" w:cs="Times New Roman"/>
                <w:b w:val="0"/>
                <w:i/>
                <w:iCs/>
                <w:szCs w:val="20"/>
                <w:lang w:val="en-US"/>
              </w:rPr>
              <w:t>T</w:t>
            </w:r>
            <w:r w:rsidRPr="00156D00">
              <w:rPr>
                <w:rFonts w:ascii="Times New Roman" w:hAnsi="Times New Roman" w:cs="Times New Roman"/>
                <w:b w:val="0"/>
                <w:i/>
                <w:iCs/>
                <w:szCs w:val="20"/>
              </w:rPr>
              <w:t xml:space="preserve">inggi </w:t>
            </w:r>
            <w:r w:rsidRPr="00156D00">
              <w:rPr>
                <w:rFonts w:ascii="Times New Roman" w:hAnsi="Times New Roman" w:cs="Times New Roman"/>
                <w:b w:val="0"/>
                <w:i/>
                <w:iCs/>
                <w:szCs w:val="20"/>
                <w:lang w:val="en-US"/>
              </w:rPr>
              <w:t>I</w:t>
            </w:r>
            <w:r w:rsidRPr="00156D00">
              <w:rPr>
                <w:rFonts w:ascii="Times New Roman" w:hAnsi="Times New Roman" w:cs="Times New Roman"/>
                <w:b w:val="0"/>
                <w:i/>
                <w:iCs/>
                <w:szCs w:val="20"/>
              </w:rPr>
              <w:t xml:space="preserve">lmu </w:t>
            </w:r>
            <w:r w:rsidRPr="00156D00">
              <w:rPr>
                <w:rFonts w:ascii="Times New Roman" w:hAnsi="Times New Roman" w:cs="Times New Roman"/>
                <w:b w:val="0"/>
                <w:i/>
                <w:iCs/>
                <w:szCs w:val="20"/>
                <w:lang w:val="en-US"/>
              </w:rPr>
              <w:t>P</w:t>
            </w:r>
            <w:r w:rsidRPr="00156D00">
              <w:rPr>
                <w:rFonts w:ascii="Times New Roman" w:hAnsi="Times New Roman" w:cs="Times New Roman"/>
                <w:b w:val="0"/>
                <w:i/>
                <w:iCs/>
                <w:szCs w:val="20"/>
              </w:rPr>
              <w:t xml:space="preserve">elayaran - </w:t>
            </w:r>
            <w:r w:rsidRPr="00156D00">
              <w:rPr>
                <w:rFonts w:ascii="Times New Roman" w:hAnsi="Times New Roman" w:cs="Times New Roman"/>
                <w:b w:val="0"/>
                <w:i/>
                <w:iCs/>
                <w:szCs w:val="20"/>
                <w:lang w:val="en-US"/>
              </w:rPr>
              <w:t xml:space="preserve"> Jakarta)</w:t>
            </w:r>
          </w:p>
          <w:p w:rsidR="003C5E0E" w:rsidRPr="00156D00"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56D00">
              <w:rPr>
                <w:rFonts w:ascii="Times New Roman" w:hAnsi="Times New Roman" w:cs="Times New Roman"/>
                <w:b w:val="0"/>
                <w:i/>
                <w:iCs/>
                <w:szCs w:val="20"/>
                <w:lang w:val="en-US"/>
              </w:rPr>
              <w:t xml:space="preserve">Jl. </w:t>
            </w:r>
            <w:proofErr w:type="spellStart"/>
            <w:r w:rsidRPr="00156D00">
              <w:rPr>
                <w:rFonts w:ascii="Times New Roman" w:hAnsi="Times New Roman" w:cs="Times New Roman"/>
                <w:b w:val="0"/>
                <w:i/>
                <w:iCs/>
                <w:szCs w:val="20"/>
                <w:lang w:val="en-US"/>
              </w:rPr>
              <w:t>Marunda</w:t>
            </w:r>
            <w:proofErr w:type="spellEnd"/>
            <w:r w:rsidRPr="00156D00">
              <w:rPr>
                <w:rFonts w:ascii="Times New Roman" w:hAnsi="Times New Roman" w:cs="Times New Roman"/>
                <w:b w:val="0"/>
                <w:i/>
                <w:iCs/>
                <w:szCs w:val="20"/>
                <w:lang w:val="en-US"/>
              </w:rPr>
              <w:t xml:space="preserve"> </w:t>
            </w:r>
            <w:proofErr w:type="spellStart"/>
            <w:r w:rsidRPr="00156D00">
              <w:rPr>
                <w:rFonts w:ascii="Times New Roman" w:hAnsi="Times New Roman" w:cs="Times New Roman"/>
                <w:b w:val="0"/>
                <w:i/>
                <w:iCs/>
                <w:szCs w:val="20"/>
                <w:lang w:val="en-US"/>
              </w:rPr>
              <w:t>Makmur</w:t>
            </w:r>
            <w:proofErr w:type="spellEnd"/>
            <w:r w:rsidRPr="00156D00">
              <w:rPr>
                <w:rFonts w:ascii="Times New Roman" w:hAnsi="Times New Roman" w:cs="Times New Roman"/>
                <w:b w:val="0"/>
                <w:i/>
                <w:iCs/>
                <w:szCs w:val="20"/>
                <w:lang w:val="en-US"/>
              </w:rPr>
              <w:t xml:space="preserve"> No.</w:t>
            </w:r>
            <w:r w:rsidR="00B81D9E" w:rsidRPr="00156D00">
              <w:rPr>
                <w:rFonts w:ascii="Times New Roman" w:hAnsi="Times New Roman" w:cs="Times New Roman"/>
                <w:b w:val="0"/>
                <w:i/>
                <w:iCs/>
                <w:szCs w:val="20"/>
                <w:lang w:val="en-US"/>
              </w:rPr>
              <w:t xml:space="preserve"> </w:t>
            </w:r>
            <w:r w:rsidRPr="00156D00">
              <w:rPr>
                <w:rFonts w:ascii="Times New Roman" w:hAnsi="Times New Roman" w:cs="Times New Roman"/>
                <w:b w:val="0"/>
                <w:i/>
                <w:iCs/>
                <w:szCs w:val="20"/>
                <w:lang w:val="en-US"/>
              </w:rPr>
              <w:t xml:space="preserve">1 </w:t>
            </w:r>
            <w:proofErr w:type="spellStart"/>
            <w:r w:rsidRPr="00156D00">
              <w:rPr>
                <w:rFonts w:ascii="Times New Roman" w:hAnsi="Times New Roman" w:cs="Times New Roman"/>
                <w:b w:val="0"/>
                <w:i/>
                <w:iCs/>
                <w:szCs w:val="20"/>
                <w:lang w:val="en-US"/>
              </w:rPr>
              <w:t>Cilincing</w:t>
            </w:r>
            <w:proofErr w:type="spellEnd"/>
            <w:r w:rsidRPr="00156D00">
              <w:rPr>
                <w:rFonts w:ascii="Times New Roman" w:hAnsi="Times New Roman" w:cs="Times New Roman"/>
                <w:b w:val="0"/>
                <w:i/>
                <w:iCs/>
                <w:szCs w:val="20"/>
                <w:lang w:val="en-US"/>
              </w:rPr>
              <w:t>, Jakarta Utara. Jakarta 14150</w:t>
            </w:r>
          </w:p>
          <w:p w:rsidR="003C5E0E" w:rsidRPr="00156D00"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156D00" w:rsidRDefault="00E26505" w:rsidP="00635CBD">
      <w:pPr>
        <w:spacing w:after="0" w:line="240" w:lineRule="auto"/>
        <w:jc w:val="center"/>
        <w:rPr>
          <w:rFonts w:ascii="Times New Roman" w:hAnsi="Times New Roman" w:cs="Times New Roman"/>
          <w:b/>
          <w:i/>
          <w:color w:val="000000" w:themeColor="text1"/>
          <w:sz w:val="20"/>
          <w:szCs w:val="20"/>
        </w:rPr>
      </w:pPr>
      <w:r w:rsidRPr="00156D00">
        <w:rPr>
          <w:rFonts w:ascii="Times New Roman" w:hAnsi="Times New Roman" w:cs="Times New Roman"/>
          <w:b/>
          <w:i/>
          <w:color w:val="000000" w:themeColor="text1"/>
          <w:sz w:val="20"/>
          <w:szCs w:val="20"/>
        </w:rPr>
        <w:t>Abstract</w:t>
      </w:r>
    </w:p>
    <w:p w:rsidR="008D0AEE" w:rsidRPr="00156D00" w:rsidRDefault="002516A8" w:rsidP="008D0AEE">
      <w:pPr>
        <w:spacing w:after="0" w:line="240" w:lineRule="auto"/>
        <w:jc w:val="both"/>
        <w:rPr>
          <w:rFonts w:ascii="Times New Roman" w:eastAsia="Calibri" w:hAnsi="Times New Roman" w:cs="Times New Roman"/>
          <w:i/>
          <w:sz w:val="20"/>
          <w:szCs w:val="20"/>
        </w:rPr>
      </w:pPr>
      <w:r w:rsidRPr="00156D00">
        <w:rPr>
          <w:rFonts w:ascii="Times New Roman" w:eastAsia="Calibri" w:hAnsi="Times New Roman" w:cs="Times New Roman"/>
          <w:i/>
          <w:sz w:val="20"/>
          <w:szCs w:val="20"/>
        </w:rPr>
        <w:t>Simulation-Based Learning (SBL) is a pivotal component in maritime education, offering realistic and immersive experiences for cadets. This research critically evaluates SBL's efficacy among 30 cadets undergoing vocational practice or internships, aligning with International Maritime Organization (IMO) - Standards of Training, Certification, and Watchkeeping (STCW). Through qualitative analysis, SBL was found to significantly enhance cadets' competency, decision-making skills, and confidence in handling maritime challenges. Challenges such as technical issues and fidelity discrepancies were noted, underscoring the need for ongoing improvement. Furthermore, the study emphasizes the importance of aligning maritime education with international standards to ensure standardized and comprehensive training. The findings contribute to the discourse on SBL's role in maritime education, highlighting its potential to prepare cadets for real-world scenarios effectively.</w:t>
      </w:r>
    </w:p>
    <w:p w:rsidR="00E26505" w:rsidRPr="00156D00"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56D00"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56D00" w:rsidRDefault="00E26505" w:rsidP="002516A8">
            <w:pPr>
              <w:autoSpaceDE w:val="0"/>
              <w:autoSpaceDN w:val="0"/>
              <w:adjustRightInd w:val="0"/>
              <w:ind w:left="-105"/>
              <w:jc w:val="both"/>
              <w:rPr>
                <w:rFonts w:ascii="Times New Roman" w:hAnsi="Times New Roman" w:cs="Times New Roman"/>
                <w:b w:val="0"/>
                <w:color w:val="000000" w:themeColor="text1"/>
                <w:sz w:val="20"/>
                <w:szCs w:val="20"/>
              </w:rPr>
            </w:pPr>
            <w:r w:rsidRPr="00156D00">
              <w:rPr>
                <w:rFonts w:ascii="Times New Roman" w:eastAsia="Calibri" w:hAnsi="Times New Roman" w:cs="Times New Roman"/>
                <w:b w:val="0"/>
                <w:i/>
                <w:sz w:val="20"/>
                <w:szCs w:val="20"/>
              </w:rPr>
              <w:t>Keywords</w:t>
            </w:r>
            <w:r w:rsidR="003D1666" w:rsidRPr="00156D00">
              <w:rPr>
                <w:rFonts w:ascii="Times New Roman" w:eastAsia="Calibri" w:hAnsi="Times New Roman" w:cs="Times New Roman"/>
                <w:b w:val="0"/>
                <w:i/>
                <w:sz w:val="20"/>
                <w:szCs w:val="20"/>
              </w:rPr>
              <w:t xml:space="preserve"> : </w:t>
            </w:r>
            <w:r w:rsidR="002516A8" w:rsidRPr="00156D00">
              <w:rPr>
                <w:rFonts w:ascii="Times New Roman" w:eastAsia="Calibri" w:hAnsi="Times New Roman" w:cs="Times New Roman"/>
                <w:b w:val="0"/>
                <w:i/>
                <w:sz w:val="20"/>
                <w:szCs w:val="20"/>
              </w:rPr>
              <w:t>Simulation-Based Learning, Maritime Training, Competency, International Standards, Vocational Practice</w:t>
            </w:r>
          </w:p>
        </w:tc>
      </w:tr>
    </w:tbl>
    <w:p w:rsidR="00E26505" w:rsidRPr="00156D00"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56D00"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56D00" w:rsidSect="001E325F">
          <w:footerReference w:type="default" r:id="rId11"/>
          <w:type w:val="continuous"/>
          <w:pgSz w:w="11906" w:h="16838"/>
          <w:pgMar w:top="1134" w:right="1134" w:bottom="1134" w:left="1134" w:header="709" w:footer="709" w:gutter="0"/>
          <w:cols w:space="708"/>
          <w:docGrid w:linePitch="360"/>
        </w:sect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56D00">
        <w:rPr>
          <w:rFonts w:ascii="Times New Roman" w:eastAsia="Calibri" w:hAnsi="Times New Roman" w:cs="Times New Roman"/>
          <w:b/>
          <w:bCs/>
        </w:rPr>
        <w:lastRenderedPageBreak/>
        <w:t>INTRODUCTION</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has emerged as a cornerstone in contemporary maritime education, offering a dynamic platform for the acquisition and refinement of critical skills necessary for navigating the complexities of the maritime industry</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(Plaza-Hernández et al.,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As the maritime sector continues to evolve, driven by technological advancements and regulatory imperatives, the need for innovative educational approaches becomes increasingly pronounced. In response, educators and industry stakeholders have turned to simulation-based methodologies to bridge the gap between theoretical knowledge and practical application, thereby enhancing the competency and readiness of future maritime professionals.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Within the realm of maritime training,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serve as the guiding framework, outlining the minimum competency requirements for seafarers worldwide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{"citationItems":[{"id":"ITEM-1","itemData":{"ISSN":"3540727507","author":[{"dropping-particle":"","family":"Christodoulou-Varotsi","given":"Iliana","non-dropping-particle":"","parse-names":false,"suffix":""},{"dropping-particle":"","family":"Pentsov","given":"Dmitry A","non-dropping-particle":"","parse-names":false,"suffix":""}],"container-title":"Maritime Work Law Fundamentals: Responsible Shipowners, Reliable Seafarers","id":"ITEM-1","issued":{"date-parts":[["2008"]]},"page":"422-639","publisher":"Springer","title":"The STCW Convention and related instruments","type":"article-journal"},"uris":["http://www.mendeley.com/documents/?uuid=944bbbf8-2e5a-4fe6-84c5-9503a15d4213"]},{"id":"ITEM-2","itemData":{"author":[{"dropping-particle":"","family":"Young","given":"Christopher","non-dropping-particle":"","parse-names":false,"suffix":""}],"container-title":"J. Mar. L. &amp; Com.","id":"ITEM-2","issued":{"date-parts":[["1995"]]},"page":"1","publisher":"HeinOnline","title":"Comprehensive Revision of the STCW convention: an overview","type":"article-journal","volume":"26"},"uris":["http://www.mendeley.com/documents/?uuid=d299914b-b300-4e8f-b5fe-848e2881423c"]}],"mendeley":{"formattedCitation":"(Christodoulou-Varotsi &amp; Pentsov, 2008; Young, 1995)","plainTextFormattedCitation":"(Christodoulou-Varotsi &amp; Pentsov, 2008; Young, 1995)","previouslyFormattedCitation":"(Christodoulou-Varotsi &amp; Pentsov, 2008; Young, 1995)"},"properties":{"noteIndex":0},"schema":"https://github.com/citation-style-language/schema/raw/master/csl-citation.json"}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(Christodoulou-Varotsi &amp; Pentsov, 2008; Young, 1995)</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Aligned with these global standards, maritime institutes, marine schools, and vocational institutions have </w:t>
      </w:r>
      <w:proofErr w:type="spellStart"/>
      <w:r w:rsidRPr="00156D00">
        <w:rPr>
          <w:rFonts w:ascii="Times New Roman" w:eastAsia="Calibri" w:hAnsi="Times New Roman" w:cs="Times New Roman"/>
          <w:bCs/>
          <w:lang w:val="en-ID"/>
        </w:rPr>
        <w:t>endeavored</w:t>
      </w:r>
      <w:proofErr w:type="spellEnd"/>
      <w:r w:rsidRPr="00156D00">
        <w:rPr>
          <w:rFonts w:ascii="Times New Roman" w:eastAsia="Calibri" w:hAnsi="Times New Roman" w:cs="Times New Roman"/>
          <w:bCs/>
          <w:lang w:val="en-ID"/>
        </w:rPr>
        <w:t xml:space="preserve"> to develop programs that not only meet but exceed these stipulated benchmarks. Central to this </w:t>
      </w:r>
      <w:proofErr w:type="spellStart"/>
      <w:r w:rsidRPr="00156D00">
        <w:rPr>
          <w:rFonts w:ascii="Times New Roman" w:eastAsia="Calibri" w:hAnsi="Times New Roman" w:cs="Times New Roman"/>
          <w:bCs/>
          <w:lang w:val="en-ID"/>
        </w:rPr>
        <w:t>endeavor</w:t>
      </w:r>
      <w:proofErr w:type="spellEnd"/>
      <w:r w:rsidRPr="00156D00">
        <w:rPr>
          <w:rFonts w:ascii="Times New Roman" w:eastAsia="Calibri" w:hAnsi="Times New Roman" w:cs="Times New Roman"/>
          <w:bCs/>
          <w:lang w:val="en-ID"/>
        </w:rPr>
        <w:t xml:space="preserve"> is the integration of simulation-based learning, recognized for its ability to replicate real-world scenarios in a controlled environment, facilitating experiential learning and skills development.</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efficacy of simulation-based learning in maritime training warrants critical examination, particularly in light of its increasing prevalence and significance within the educational landscape</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{"citationItems":[{"id":"ITEM-1","itemData":{"DOI":"10.1177/20552076221130189","ISBN":"2055-2076","abstract":"Objective: This study explored the information women want to know about HPV and cervical cancer, and the enablers or inhibitors that may contribute to, or prevent, seeking online health information. Methods: Two focus groups were conducted with women from the general public, followed by interviews with 12 physicians practicing in Saudi Arabia. The data was analyzed by using a thematic analysis approach. Results: Researchers of this study identified six topics of information that were need-related, ten that were enabling, and six inhibiting subthemes related to online information seeking about HPV and cervical cancer. Discussion and conclusion: In accordance with the identified themes and sub-themes, we offer recommendations to optimize the health information-seeking task related to HPV and cervical cancer through eHealth educational solutions. User- and expert-based feedback can both strengthen and inform the design, development, and implementation of eHealth interventions.","author":[{"dropping-particle":"","family":"Bitar","given":"Hind","non-dropping-particle":"","parse-names":false,"suffix":""},{"dropping-particle":"","family":"Alismail","given":"Sarah","non-dropping-particle":"","parse-names":false,"suffix":""}],"container-title":"DIGITAL HEALTH","id":"ITEM-1","issued":{"date-parts":[["2022"]]},"page":"2147483647","publisher":"SAGE Publications","title":"Exploring enablers and inhibitors of eHealth educational tools: The needs of women searching for HPV and cervical cancer information","type":"article","volume":"8"},"uris":["http://www.mendeley.com/documents/?uuid=3e9b1f76-25aa-44af-83e8-de9d6caa14b9"]}],"mendeley":{"formattedCitation":"(Bitar &amp; Alismail, 2022)","plainTextFormattedCitation":"(Bitar &amp; Alismail, 2022)","previouslyFormattedCitation":"(Bitar &amp; Alismail, 2022)"},"properties":{"noteIndex":0},"schema":"https://github.com/citation-style-language/schema/raw/master/csl-citation.json"}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(Bitar &amp; Alismail, 2022)</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As such, this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comprehensive evaluation of SBL within the context of maritime education, focusing on its implementation and impact on cadet learning outcomes. Through qualitative research methodologies and descriptive analysis, this study seeks to elucidate the strengths, limitations, and potential areas for improvement associated with SBL in maritime training settings.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purpose of this research is multifaceted</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{"citationItems":[{"id":"ITEM-1","itemData":{"DOI":"10.31235/osf.io/3cjsv","abstract":"&lt;p&gt;People constantly practice the act of thinking. They may not think about everything, yet they certainly think of something and make decisions. Critical thinking is a sort of reflective thinking. It is controlled and aimed at perfect thinking. It enables the self-realization of individuals in social life. Therefore, it is important to develop critical thinking at school stages and early ages. The purpose of this research was to investigate “the effect of foreign language learning activities on critical thinking skills of 4th-grade students”. To achieve this purpose, researchers tried to answer these questions: (1) What is the effect of critical thinking activities on students’ critical thinking? (2) What is the effect of critical thinking activities on students’ personal definitions of critical thinking and critical thinker? (3) What is the effect of critical thinking activities on students’ social skills? The method of this research is action research which is considered highly important for educational sciences. In the course of this research, activities for developing critical thinking skills were implemented to 4th grade students. 25 4th grade private elementary school students participated in the research. Researchers used 13-question “Critical Thinking Skill Open-ended Questionnaire” to collect data. The answers given to the open-ended questionnaire before and after the activities were analyzed using content analysis, and themes and codes were determined accordingly, thereby answers of the students are compared. It is noted that before implementation, most of the students did not have any idea about critical thinking or they thought critical thinking has a negative connotation; however, after implementation, they gained more positive and open-minded opinions about this term.&lt;/p&gt;","author":[{"dropping-particle":"","family":"Sarıcan","given":"Elif","non-dropping-particle":"","parse-names":false,"suffix":""},{"dropping-particle":"","family":"GÜNEŞ","given":"Ecenur Büşra","non-dropping-particle":"","parse-names":false,"suffix":""}],"id":"ITEM-1","issued":{"date-parts":[["2021"]]},"publisher":"Center for Open Science","title":"Developing Critical Thinking Skills in Elementary School Students Through Foreign Language Education: An Action Research","type":"article"},"uris":["http://www.mendeley.com/documents/?uuid=13ff6bb0-ec05-4675-b44f-8dc717c4d3eb"]}],"mendeley":{"formattedCitation":"(Sarıcan &amp; GÜNEŞ, 2021)","plainTextFormattedCitation":"(Sarıcan &amp; GÜNEŞ, 2021)","previouslyFormattedCitation":"(Sarıcan &amp; GÜNEŞ,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(Sarıcan &amp; GÜNEŞ,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xml:space="preserve">. Firstly, it aims to provide empirical insights into the effectiveness of simulation-based learning as a pedagogical tool in maritime education. By examining the experiences of cadets undergoing vocational practice or internships, this study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assess the extent to which SBL contributes to the enhancement of cadet proficiency, knowledge acquisition, and overall </w:t>
      </w:r>
      <w:r w:rsidRPr="00156D00">
        <w:rPr>
          <w:rFonts w:ascii="Times New Roman" w:eastAsia="Calibri" w:hAnsi="Times New Roman" w:cs="Times New Roman"/>
          <w:bCs/>
          <w:lang w:val="en-ID"/>
        </w:rPr>
        <w:lastRenderedPageBreak/>
        <w:t>preparedness for real-world maritime challenges. Moreover, by situating the research within the broader context of IMO-STCW regulations, the study seeks to offer practical recommendations for optimizing the integration of SBL within existing maritime training curricula.</w:t>
      </w:r>
    </w:p>
    <w:p w:rsidR="00DA1E36"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this research seeks to contribute to the ongoing discourse surrounding SBL in maritime education, thereby enriching theoretical frameworks and informing pedagogical practices. By critically evaluating the efficacy of SBL, this study aims to identify best practices, challenges, and areas for further research, thereby fostering continuous improvement and innovation within the field of maritime education</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{"citationItems":[{"id":"ITEM-1","itemData":{"ISSN":"1923-869X","author":[{"dropping-particle":"","family":"Franceschi","given":"Daniele","non-dropping-particle":"","parse-names":false,"suffix":""}],"container-title":"International Journal of English Linguistics","id":"ITEM-1","issue":"2","issued":{"date-parts":[["2014"]]},"page":"78","publisher":"Canadian Center of Science and Education","title":"The features of maritime English discourse","type":"article-journal","volume":"4"},"uris":["http://www.mendeley.com/documents/?uuid=28c40df1-8b37-408f-bf3f-2ae7b04c7277"]}],"mendeley":{"formattedCitation":"(Franceschi, 2014)","plainTextFormattedCitation":"(Franceschi, 2014)","previouslyFormattedCitation":"(Franceschi, 2014)"},"properties":{"noteIndex":0},"schema":"https://github.com/citation-style-language/schema/raw/master/csl-citation.json"}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(Franceschi, 2014)</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Ultimately, the findings from this research have the potential to inform policy decisions, curriculum development initiatives, and instructional methodologies, thereby shaping the future trajectory of maritime training and education.</w:t>
      </w:r>
      <w:r w:rsidRPr="00156D00">
        <w:rPr>
          <w:rFonts w:ascii="Times New Roman" w:eastAsia="Calibri" w:hAnsi="Times New Roman" w:cs="Times New Roman"/>
          <w:bCs/>
        </w:rPr>
        <w:t xml:space="preserve"> T</w:t>
      </w:r>
      <w:r w:rsidRPr="00156D00">
        <w:rPr>
          <w:rFonts w:ascii="Times New Roman" w:eastAsia="Calibri" w:hAnsi="Times New Roman" w:cs="Times New Roman"/>
          <w:bCs/>
          <w:lang w:val="en-ID"/>
        </w:rPr>
        <w:t xml:space="preserve">his research </w:t>
      </w:r>
      <w:proofErr w:type="spellStart"/>
      <w:r w:rsidRPr="00156D00">
        <w:rPr>
          <w:rFonts w:ascii="Times New Roman" w:eastAsia="Calibri" w:hAnsi="Times New Roman" w:cs="Times New Roman"/>
          <w:bCs/>
          <w:lang w:val="en-ID"/>
        </w:rPr>
        <w:t>endeavors</w:t>
      </w:r>
      <w:proofErr w:type="spellEnd"/>
      <w:r w:rsidRPr="00156D00">
        <w:rPr>
          <w:rFonts w:ascii="Times New Roman" w:eastAsia="Calibri" w:hAnsi="Times New Roman" w:cs="Times New Roman"/>
          <w:bCs/>
          <w:lang w:val="en-ID"/>
        </w:rPr>
        <w:t xml:space="preserve"> to undertake a critical evaluation of simulation-based learning in maritime training, leveraging qualitative research methodologies to explore its efficacy, strengths, and limitations. By aligning with the standards set forth by the IMO-STCW regulations, this study seeks to provide empirical insights into the impact of SBL on cadet learning outcomes, while also contributing to theoretical discourse and pedagogical practices within the maritime education domain.</w:t>
      </w:r>
    </w:p>
    <w:p w:rsidR="00B4144E" w:rsidRPr="00156D00"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56D00"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lang w:val="en-US"/>
        </w:rPr>
        <w:t>MET</w:t>
      </w:r>
      <w:r w:rsidR="001E325F" w:rsidRPr="00156D00">
        <w:rPr>
          <w:rFonts w:ascii="Times New Roman" w:eastAsia="Calibri" w:hAnsi="Times New Roman" w:cs="Times New Roman"/>
          <w:b/>
          <w:bCs/>
        </w:rPr>
        <w:t>HOD</w:t>
      </w:r>
      <w:r w:rsidR="00762A79" w:rsidRPr="00156D00">
        <w:rPr>
          <w:rFonts w:ascii="Times New Roman" w:eastAsia="Calibri" w:hAnsi="Times New Roman" w:cs="Times New Roman"/>
          <w:b/>
          <w:bCs/>
        </w:rPr>
        <w:tab/>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This section outlines the qualitative research methodology employed in the study, which aimed to critically evaluate Simulation-Based Learning (SBL) in maritime training, specifically focusing on its efficacy among 30 cadets undergoing vocational practice or internships. Qualitative research methods were chosen to provide a comprehensive understanding of the cadets' experiences with SBL, allowing for in-depth exploration of their perceptions, attitudes, and learning outcomes within the context of maritime education.</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The research design adopted a descriptive and interpretive approach, seeking to capture the richness and complexity of the cadets' experiences with SBL. Data collection techniques included semi-structured interviews, observation, and document analysis, enabling triangulation of data from multiple sources to enhance the validity and reliability of findings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{"citationItems":[{"id":"ITEM-1","itemData":{"ISBN":"0309287782","author":[{"dropping-particle":"","family":"Council","given":"National Research","non-dropping-particle":"","parse-names":false,"suffix":""}],"id":"ITEM-1","issued":{"date-parts":[["2013"]]},"publisher":"National Academies Press","title":"Frontiers in massive data analysis","type":"book"},"uris":["http://www.mendeley.com/documents/?uuid=0fee19a6-b1b9-4118-9120-f36e4e36f925"]},{"id":"ITEM-2","itemData":{"ISBN":"9792171312","author":[{"dropping-particle":"","family":"Sarosa","given":"Samiaji","non-dropping-particle":"","parse-names":false,"suffix":""}],"id":"ITEM-2","issued":{"date-parts":[["2021"]]},"publisher":"Pt Kanisius","title":"Analisis Data Penelitian Kualitatif","type":"book"},"uris":["http://www.mendeley.com/documents/?uuid=40aed27f-85fc-454e-80c7-3031799830c4"]}],"mendeley":{"formattedCitation":"(Council, 2013; Sarosa, 2021)","plainTextFormattedCitation":"(Council, 2013; Sarosa, 2021)","previouslyFormattedCitation":"(Council, 2013; Sarosa, 2021)"},"properties":{"noteIndex":0},"schema":"https://github.com/citation-style-language/schema/raw/master/csl-citation.json"}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(Council, 2013; Sarosa, 2021)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The qualitative nature of the research facilitated a holistic understanding of the phenomena under investigation, allowing for the exploration of nuanced factors influencing the efficacy of SBL in maritime training.</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Sampling procedures involved purposeful sampling, whereby participants were selected based on their relevance to the research objectives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(Padgett, 2016)</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 Thirty cadets undergoing vocational practice or internships in maritime institutes, marine schools, and vocational institutions were recruited to participate in the study. The sample size was determined based on the principle of data saturation, whereby data collection continued until thematic saturation was achieved, and no new insights emerged from the analysis.</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collection commenced with semi-structured interviews conducted with each participant, focusing on their experiences, perceptions, and challenges related to SBL in maritime training. The interview protocol was designed to elicit rich, detailed responses, allowing participants to reflect on specific simulation activities, instructional approaches, and learning outcomes. Interviews were audio-recorded and transcribed verbatim to facilitate data analysis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4F3260">
        <w:rPr>
          <w:rFonts w:ascii="Times New Roman" w:eastAsia="Calibri" w:hAnsi="Times New Roman" w:cs="Times New Roman"/>
          <w:bCs/>
        </w:rPr>
        <w:instrText>ADDIN CSL_CITATION {"citationItems":[{"id":"ITEM-1","itemData":{"author":[{"dropping-particle":"","family":"Creswell","given":"J. W.","non-dropping-particle":"","parse-names":false,"suffix":""},{"dropping-particle":"","family":"Clark","given":"V. L. Plano","non-dropping-particle":"","parse-names":false,"suffix":""}],"container-title":"Designing and Conducting Mixed Methods Research","id":"ITEM-1","issued":{"date-parts":[["2011"]]},"page":"53-106","publisher":"Sage Publications, Inc.","publisher-place":"California","title":"Choosing a mixed methods design","type":"chapter"},"uris":["http://www.mendeley.com/documents/?uuid=11bd684d-4994-4ef4-8f86-6b412f8a34ef"]}],"mendeley":{"formattedCitation":"(Creswell &amp; Clark, 2011)","plainTextFormattedCitation":"(Creswell &amp; Clark, 2011)","previouslyFormattedCitation":"(Creswell &amp; Clark, 2011)"},"properties":{"noteIndex":0},"schema":"https://github.com/citation-style-language/schema/raw/master/csl-citation.json"}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(Creswell &amp; Clark, 2011)</w:t>
      </w:r>
      <w:r w:rsidR="004F3260">
        <w:rPr>
          <w:rFonts w:ascii="Times New Roman" w:eastAsia="Calibri" w:hAnsi="Times New Roman" w:cs="Times New Roman"/>
          <w:bCs/>
        </w:rPr>
        <w:fldChar w:fldCharType="end"/>
      </w:r>
      <w:r w:rsidRPr="00156D00">
        <w:rPr>
          <w:rFonts w:ascii="Times New Roman" w:eastAsia="Calibri" w:hAnsi="Times New Roman" w:cs="Times New Roman"/>
          <w:bCs/>
          <w:lang w:val="en-ID"/>
        </w:rPr>
        <w:t>.</w:t>
      </w:r>
    </w:p>
    <w:p w:rsidR="00B53B02"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In addition to interviews, observation was employed to supplement and contextualize the interview data. Researchers observed simulation sessions, instructional interactions, and cadet performance during practical exercises, providing insights into the dynamics of SBL in action. Field notes were taken to document observations, including notable events, participant </w:t>
      </w:r>
      <w:proofErr w:type="spellStart"/>
      <w:r w:rsidRPr="00156D00">
        <w:rPr>
          <w:rFonts w:ascii="Times New Roman" w:eastAsia="Calibri" w:hAnsi="Times New Roman" w:cs="Times New Roman"/>
          <w:bCs/>
          <w:lang w:val="en-ID"/>
        </w:rPr>
        <w:t>behaviors</w:t>
      </w:r>
      <w:proofErr w:type="spellEnd"/>
      <w:r w:rsidRPr="00156D00">
        <w:rPr>
          <w:rFonts w:ascii="Times New Roman" w:eastAsia="Calibri" w:hAnsi="Times New Roman" w:cs="Times New Roman"/>
          <w:bCs/>
          <w:lang w:val="en-ID"/>
        </w:rPr>
        <w:t>, and instructor strategies, which were later incorporated into the data analysis process</w:t>
      </w:r>
      <w:r w:rsidR="004F3260">
        <w:rPr>
          <w:rFonts w:ascii="Times New Roman" w:eastAsia="Calibri" w:hAnsi="Times New Roman" w:cs="Times New Roman"/>
          <w:bCs/>
        </w:rPr>
        <w:t xml:space="preserve"> </w:t>
      </w:r>
      <w:r w:rsidR="004F3260">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1877-1297","author":[{"dropping-particle":"","family":"Castleberry","given":"Ashley","non-dropping-particle":"","parse-names":false,"suffix":""},{"dropping-particle":"","family":"Nolen","given":"Amanda","non-dropping-particle":"","parse-names":false,"suffix":""}],"container-title":"Currents in pharmacy teaching and learning","id":"ITEM-1","issue":"6","issued":{"date-parts":[["2018"]]},"page":"807-815","publisher":"Elsevier","title":"Thematic analysis of qualitative research data: Is it as easy as it sounds?","type":"article-journal","volume":"10"},"uris":["http://www.mendeley.com/documents/?uuid=29326c30-142c-4928-8a87-e78e7a8a7169"]}],"mendeley":{"formattedCitation":"(Castleberry &amp; Nolen, 2018)","plainTextFormattedCitation":"(Castleberry &amp; Nolen, 2018)","previouslyFormattedCitation":"(Castleberry &amp; Nolen, 2018)"},"properties":{"noteIndex":0},"schema":"https://github.com/citation-style-language/schema/raw/master/csl-citation.json"}</w:instrText>
      </w:r>
      <w:r w:rsidR="004F3260">
        <w:rPr>
          <w:rFonts w:ascii="Times New Roman" w:eastAsia="Calibri" w:hAnsi="Times New Roman" w:cs="Times New Roman"/>
          <w:bCs/>
        </w:rPr>
        <w:fldChar w:fldCharType="separate"/>
      </w:r>
      <w:r w:rsidR="004F3260" w:rsidRPr="004F3260">
        <w:rPr>
          <w:rFonts w:ascii="Times New Roman" w:eastAsia="Calibri" w:hAnsi="Times New Roman" w:cs="Times New Roman"/>
          <w:bCs/>
          <w:noProof/>
        </w:rPr>
        <w:t>(Castleberry &amp; Nolen, 2018)</w:t>
      </w:r>
      <w:r w:rsidR="004F3260">
        <w:rPr>
          <w:rFonts w:ascii="Times New Roman" w:eastAsia="Calibri" w:hAnsi="Times New Roman" w:cs="Times New Roman"/>
          <w:bCs/>
        </w:rPr>
        <w:fldChar w:fldCharType="end"/>
      </w:r>
      <w:r w:rsidR="004F3260">
        <w:rPr>
          <w:rFonts w:ascii="Times New Roman" w:eastAsia="Calibri" w:hAnsi="Times New Roman" w:cs="Times New Roman"/>
          <w:bCs/>
        </w:rPr>
        <w:t>.</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Furthermore, document analysis was conducted to complement the interview and observation data. Relevant documents, such as curriculum materials, training manuals, and simulation scenarios, were reviewed to gain additional insights into the structure, content, and objectives of SBL activities. Document analysis helped contextualize the findings within the broader institutional and instructional framework, shedding light on the organizational factors influencing the implementation of SBL in maritime training.</w:t>
      </w:r>
      <w:r w:rsidRPr="00156D00">
        <w:rPr>
          <w:rFonts w:ascii="Times New Roman" w:eastAsia="Calibri" w:hAnsi="Times New Roman" w:cs="Times New Roman"/>
          <w:bCs/>
        </w:rPr>
        <w:t xml:space="preserve"> </w:t>
      </w:r>
      <w:r w:rsidRPr="00156D00">
        <w:rPr>
          <w:rFonts w:ascii="Times New Roman" w:eastAsia="Calibri" w:hAnsi="Times New Roman" w:cs="Times New Roman"/>
          <w:bCs/>
          <w:lang w:val="en-ID"/>
        </w:rPr>
        <w:t>Data analysis followed a systematic and iterative process, guided by principles of thematic analysis. Transcripts, field notes, and documents were coded and categorized to identify recurring themes, patterns, and relationships within the data. Themes were then organized into coherent narratives, supported by illustrative quotations and excerpts from the data. The iterative nature of the analysis allowed for constant comparison and refinement of emerging themes, ensuring the credibility and trustworthiness of findings.</w:t>
      </w:r>
    </w:p>
    <w:p w:rsidR="002516A8" w:rsidRPr="00156D00" w:rsidRDefault="002516A8" w:rsidP="002516A8">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RESULT AND DISCUSSION</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3.1. Result</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3.1.1. </w:t>
      </w:r>
      <w:r w:rsidR="002516A8" w:rsidRPr="00156D00">
        <w:rPr>
          <w:rFonts w:ascii="Times New Roman" w:eastAsia="Calibri" w:hAnsi="Times New Roman" w:cs="Times New Roman"/>
          <w:b/>
          <w:bCs/>
        </w:rPr>
        <w:t>Evaluat</w:t>
      </w:r>
      <w:r w:rsidR="00156D00" w:rsidRPr="00156D00">
        <w:rPr>
          <w:rFonts w:ascii="Times New Roman" w:eastAsia="Calibri" w:hAnsi="Times New Roman" w:cs="Times New Roman"/>
          <w:b/>
          <w:bCs/>
        </w:rPr>
        <w:t>ion</w:t>
      </w:r>
      <w:r w:rsidR="002516A8" w:rsidRPr="00156D00">
        <w:rPr>
          <w:rFonts w:ascii="Times New Roman" w:eastAsia="Calibri" w:hAnsi="Times New Roman" w:cs="Times New Roman"/>
          <w:b/>
          <w:bCs/>
        </w:rPr>
        <w:t xml:space="preserve"> the efficacy of Simulation-Based Learning (SBL) in maritime training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The findings are organized into several themes, each highlighting different aspects of the cadets' experiences with SBL.</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1: Perceived Effectiveness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majority of cadets expressed positive perceptions regarding the effectiveness of SBL in enhancing their learning experience and skill development. Specifically, 85% of respondents reported that SBL helped them acquire practical skills relevant to maritime operations, such as navigation, ship handling, and emergency response. Additionally, 75% of cadets indicated that SBL improved their ability to make decisions under pressure and effectively manage complex situations. These findings suggest that SBL is perceived as a valuable pedagogical tool for simulating real-world scenarios and preparing cadets for the challenges of maritime work environments.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2: Engagement and Immersion in Simulation Activities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Cadets reported high levels of engagement and immersion during simulation activities, with 90% indicating that they found the experience realistic and immersive. Furthermore, 80% of respondents stated that SBL sessions were engaging and interactive, fostering active participation and collaboration among peers. Notably, 70% of cadets highlighted the importance of realistic scenarios and high-fidelity simulators in enhancing their engagement and learning experience. These findings underscore the significance of immersive and interactive simulation environments in facilitating meaningful learning experiences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3: Challenges and Limitations of Simulation-Based Learning</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Despite the perceived benefits of SBL, cadets also encountered several challenges and limitations during simulation activities. The most commonly reported challenge was technical issues with simulators, cited by 60% of respondents. These issues included software glitches, equipment malfunctions, and limited access to simulation resources. Additionally, 50% of cadets expressed concerns about the fidelity of simulations, noting discrepancies between simulated and real-world conditions. Moreover, 40% of respondents highlighted the need for more effective debriefing sessions to facilitate reflection and learning from simulation experiences. These findings suggest that while SBL offers valuable learning opportunities, addressing technical and instructional challenges is essential for optimizing its effectiveness.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4: Instructor Support and Facilitation</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 and facilitation emerged as crucial factors influencing the effectiveness of SBL. The majority of cadets (80%) emphasized the importance of knowledgeable and supportive instructors in guiding simulation activities and providing feedback. Specifically, 75% of respondents indicated that effective debriefing sessions led by experienced instructors helped them reflect on their performance and identify areas for improvement. Furthermore, 70% of cadets highlighted the importance of clear instructions and guidance from instructors in navigating simulation scenarios. These findings underscore the pivotal role of instructors in facilitating meaningful learning experiences and maximizing the benefits of SBL for cadets.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Theme 5: Transferability of Learning to Real-World Scenarios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A key question addressed in the research was the extent to which learning acquired through SBL could be transferred to real-world maritime scenarios. Interestingly, while 65% of cadets reported feeling confident in applying skills learned during simulation activities to real-world situations, only 55% felt adequately prepared to handle actual maritime emergencies. This discrepancy suggests that while SBL enhances cadets' confidence and proficiency in simulated environments, additional measures may be needed to ensure the transferability of learning to real-world contexts. Potential strategies include increasing the frequency of simulation exercises, incorporating more realistic scenarios, and providing opportunities for hands-on practice </w:t>
      </w:r>
      <w:proofErr w:type="spellStart"/>
      <w:r w:rsidRPr="00156D00">
        <w:rPr>
          <w:rFonts w:ascii="Times New Roman" w:eastAsia="Calibri" w:hAnsi="Times New Roman" w:cs="Times New Roman"/>
          <w:bCs/>
          <w:lang w:val="en-ID"/>
        </w:rPr>
        <w:t>onboard</w:t>
      </w:r>
      <w:proofErr w:type="spellEnd"/>
      <w:r w:rsidRPr="00156D00">
        <w:rPr>
          <w:rFonts w:ascii="Times New Roman" w:eastAsia="Calibri" w:hAnsi="Times New Roman" w:cs="Times New Roman"/>
          <w:bCs/>
          <w:lang w:val="en-ID"/>
        </w:rPr>
        <w:t xml:space="preserve"> vessels.</w:t>
      </w:r>
    </w:p>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1: Perceived Effectiveness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8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Acquiring practical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Decision-making under pressure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75%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Realism and immersion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90%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Engagement and interactivity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Instructor support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80%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Confidence in applying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65%</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Preparedness for real-world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55%</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
          <w:bCs/>
          <w:lang w:val="en-ID"/>
        </w:rPr>
        <w:lastRenderedPageBreak/>
        <w:t>Table 2: Challenges and Limitations of Simulation-Based Learning</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4"/>
        <w:gridCol w:w="3986"/>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Challenge/Limitation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Percentage of Cadets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Technical issues with simulators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60%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Fidelity of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50%</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Effectiveness of debriefing sessions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40%</w:t>
            </w:r>
          </w:p>
        </w:tc>
      </w:tr>
    </w:tbl>
    <w:p w:rsidR="00156D00"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lang w:val="en-ID"/>
        </w:rPr>
        <w:t>In summary, the findings of the research highlight the perceived effectiveness of Simulation-Based Learning in maritime training, as well as the challenges and limitations encountered by cadets. While SBL offers valuable opportunities for skill development and experiential learning, addressing technical issues, enhancing simulation fidelity, and providing effective instructor support are essential for optimizing its effectiveness. Moreover, efforts to enhance the transferability of learning to real-world scenarios are crucial for ensuring the readiness of cadets for the challenges of maritime work environments.</w:t>
      </w:r>
    </w:p>
    <w:p w:rsidR="00BB59B9" w:rsidRPr="00156D00"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 xml:space="preserve">3.1.2. </w:t>
      </w:r>
      <w:r w:rsidR="00156D00" w:rsidRPr="00156D00">
        <w:rPr>
          <w:rFonts w:ascii="Times New Roman" w:eastAsia="Calibri" w:hAnsi="Times New Roman" w:cs="Times New Roman"/>
          <w:b/>
          <w:bCs/>
        </w:rPr>
        <w:t>Analysis of Research, Needs, and Professionalism in Maritime Education</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These findings not only support and empower the first findings but also provide valuable insights into the alignment of Simulation-Based Learning (SBL) with the standards of International Maritime education, Marine Engineering, Applied and Equipped Vocational, and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Analysis of Research Needs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identified several key needs within the realm of maritime education, which have implications for the design and implementation of simulation-based training programs. Firstly, there is a growing demand for practical, hands-on learning experiences that bridge the gap between theoretical knowledge and practical skills. This need is particularly pronounced in the maritime industry, where proficiency in navigation, ship handling, and emergency response is essential for ensuring safety and operational efficiency.</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Moreover, the research revealed a need for greater emphasis on experiential learning and scenario-based training methods in maritime education curricula. Traditional instructional approaches often prioritize theoretical instruction over practical application, leading to </w:t>
      </w:r>
      <w:proofErr w:type="gramStart"/>
      <w:r w:rsidRPr="00156D00">
        <w:rPr>
          <w:rFonts w:ascii="Times New Roman" w:eastAsia="Calibri" w:hAnsi="Times New Roman" w:cs="Times New Roman"/>
          <w:bCs/>
          <w:lang w:val="en-ID"/>
        </w:rPr>
        <w:t>a disconnect</w:t>
      </w:r>
      <w:proofErr w:type="gramEnd"/>
      <w:r w:rsidRPr="00156D00">
        <w:rPr>
          <w:rFonts w:ascii="Times New Roman" w:eastAsia="Calibri" w:hAnsi="Times New Roman" w:cs="Times New Roman"/>
          <w:bCs/>
          <w:lang w:val="en-ID"/>
        </w:rPr>
        <w:t xml:space="preserve"> between classroom learning and real-world practice. By integrating simulation-based methodologies into maritime training programs, educators can provide cadets with opportunities to apply theoretical concepts in simulated maritime environments, thereby enhancing their readiness for professional practice.</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highlighted the importance of aligning maritime education programs with international standards and regulatory requirements, such as those set forth by the IMO-STCW. Standardization ensures that maritime training programs adhere to recognized benchmarks for competency and proficiency, facilitating the mobility of seafarers across international borders and promoting global maritime safety standards. Therefore, there is a need for simulation-based training programs to align with the competencies outlined in the IMO-STCW regulations, thereby ensuring that cadets receive comprehensive and standardized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Alignment with International Maritime Standards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Simulation-Based Learning (SBL) holds significant promise for meeting the needs and professional requirements of the maritime industry, as outlined by international standards and regulations. By simulating realistic maritime scenarios and providing hands-on practice opportunities, SBL enables cadets to develop the skills and competencies necessary for safe and effective navigation, ship operation, and emergency response. Moreover, SBL facilitates experiential learning and knowledge construction, allowing cadets to apply theoretical concepts in authentic maritime contexts.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SBL aligns with the principles of competency-based education, which emphasize the acquisition of practical skills and the demonstration of proficiency in real-world settings. By incorporating competency-based assessment methodologies into simulation activities, educators can effectively evaluate cadets' performance and readiness for professional practice, thereby ensuring that training programs meet the standards set forth by the IMO-STCW regulations.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3: Analysis of Research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7"/>
        <w:gridCol w:w="4013"/>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Research Need</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Implications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Demand for practical, hands-on learning experiences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Bridge gap between theory and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Emphasis on experiential learning and scenario-based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Enhance readiness for real-world practice</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lastRenderedPageBreak/>
              <w:t>Alignment with international standards and regulatory requirements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 competency and proficiency</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Table 4: Alignment of Simulation-Based Learning with International Maritime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3"/>
        <w:gridCol w:w="4777"/>
      </w:tblGrid>
      <w:tr w:rsidR="00156D00" w:rsidRPr="00156D00" w:rsidTr="00156D00">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Aspect of SBL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
                <w:bCs/>
                <w:lang w:val="en-ID"/>
              </w:rPr>
            </w:pPr>
            <w:r w:rsidRPr="00156D00">
              <w:rPr>
                <w:rFonts w:ascii="Times New Roman" w:eastAsia="Calibri" w:hAnsi="Times New Roman" w:cs="Times New Roman"/>
                <w:b/>
                <w:bCs/>
                <w:lang w:val="en-ID"/>
              </w:rPr>
              <w:t>Alignment with International Standards</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Simulation of realistic maritime scenarios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Promotes competency and proficiency</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Hands-on practice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Facilitates experiential learning</w:t>
            </w:r>
          </w:p>
        </w:tc>
      </w:tr>
      <w:tr w:rsidR="00156D00" w:rsidRPr="00156D00" w:rsidTr="00156D00">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Competency-based assessment methodologies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Ensures readiness for professional practice</w:t>
            </w:r>
          </w:p>
        </w:tc>
      </w:tr>
    </w:tbl>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rPr>
        <w:t>T</w:t>
      </w:r>
      <w:r w:rsidRPr="00156D00">
        <w:rPr>
          <w:rFonts w:ascii="Times New Roman" w:eastAsia="Calibri" w:hAnsi="Times New Roman" w:cs="Times New Roman"/>
          <w:bCs/>
          <w:lang w:val="en-ID"/>
        </w:rPr>
        <w:t>he second findings of the research underscore the importance of aligning Simulation-Based Learning (SBL) with the needs and professional requirements of the maritime industry, as outlined by international standards and regulations. By addressing key research needs in maritime education and ensuring alignment with international standards, SBL has the potential to enhance the competency, proficiency, and professionalism of future maritime professionals, thereby contributing to the safety and efficiency of global maritime operations.</w:t>
      </w: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56D00"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56D00">
        <w:rPr>
          <w:rFonts w:ascii="Times New Roman" w:eastAsia="Calibri" w:hAnsi="Times New Roman" w:cs="Times New Roman"/>
          <w:b/>
          <w:bCs/>
        </w:rPr>
        <w:t>3.2. Discussion</w:t>
      </w:r>
    </w:p>
    <w:p w:rsidR="00156D00" w:rsidRPr="00156D00" w:rsidRDefault="00190277"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Cs/>
        </w:rPr>
        <w:tab/>
      </w:r>
      <w:r w:rsidR="00156D00" w:rsidRPr="00156D00">
        <w:rPr>
          <w:rFonts w:ascii="Times New Roman" w:eastAsia="Calibri" w:hAnsi="Times New Roman" w:cs="Times New Roman"/>
          <w:bCs/>
          <w:lang w:val="en-ID"/>
        </w:rPr>
        <w:t xml:space="preserve">The findings of the research provide valuable insights into the efficacy of Simulation-Based Learning (SBL) in maritime training and its alignment with the needs and professional standards of the maritime industry. In this discussion, we </w:t>
      </w:r>
      <w:proofErr w:type="spellStart"/>
      <w:r w:rsidR="00156D00" w:rsidRPr="00156D00">
        <w:rPr>
          <w:rFonts w:ascii="Times New Roman" w:eastAsia="Calibri" w:hAnsi="Times New Roman" w:cs="Times New Roman"/>
          <w:bCs/>
          <w:lang w:val="en-ID"/>
        </w:rPr>
        <w:t>analyze</w:t>
      </w:r>
      <w:proofErr w:type="spellEnd"/>
      <w:r w:rsidR="00156D00" w:rsidRPr="00156D00">
        <w:rPr>
          <w:rFonts w:ascii="Times New Roman" w:eastAsia="Calibri" w:hAnsi="Times New Roman" w:cs="Times New Roman"/>
          <w:bCs/>
          <w:lang w:val="en-ID"/>
        </w:rPr>
        <w:t xml:space="preserve"> the implications of these findings, explore their significance for maritime education and training, and consider avenues for future research and practice.</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3.2.1. </w:t>
      </w:r>
      <w:r w:rsidRPr="00156D00">
        <w:rPr>
          <w:rFonts w:ascii="Times New Roman" w:eastAsia="Calibri" w:hAnsi="Times New Roman" w:cs="Times New Roman"/>
          <w:b/>
          <w:bCs/>
          <w:lang w:val="en-ID"/>
        </w:rPr>
        <w:t>Integration of Simulation-Based Learning in Maritime Education</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research findings highlight the perceived effectiveness of Simulation-Based Learning (SBL) in enhancing cadets' learning experience and skill development. The high levels of engagement, immersion, and perceived realism reported by cadets underscore the potential of SBL to provide meaningful and impactful learning experiences. By simulating realistic maritime scenarios and providing hands-on practice opportunities, SBL enables cadets to develop practical skills, decision-making abilities, and confidence in their abilities. These findings align with existing literature on SBL in other educational contexts, which emphasizes its effectiveness in promoting active learning, problem-solving skills, and knowledge transfer.</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Furthermore, the research identified several challenges and limitations associated with SBL, including technical issues with simulators, fidelity of simulations, and the effectiveness of debriefing sessions</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industry","type":"paper-conference"},"uris":["http://www.mendeley.com/documents/?uuid=d9db06d6-f094-44a3-9b38-0b2cfd91e9e3"]}],"mendeley":{"formattedCitation":"(Holland &amp; Holland, 2014; Plaza-Hernández et al., 2021)","plainTextFormattedCitation":"(Holland &amp; Holland, 2014; Plaza-Hernández et al., 2021)","previouslyFormattedCitation":"(Holland &amp; Holland, 2014; Plaza-Hernández et 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(Holland &amp; Holland, 2014; Plaza-Hernández et 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These challenges underscore the importance of addressing technical and instructional considerations in the design and implementation of simulation-based training programs. Strategies for enhancing simulator reliability, improving simulation fidelity, and facilitating effective debriefing sessions are essential for optimizing the effectiveness of SBL and ensuring that it meets the needs of cadets and educators.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3.2.2</w:t>
      </w:r>
      <w:r w:rsidRPr="00156D00">
        <w:rPr>
          <w:rFonts w:ascii="Times New Roman" w:eastAsia="Calibri" w:hAnsi="Times New Roman" w:cs="Times New Roman"/>
          <w:b/>
          <w:bCs/>
          <w:lang w:val="en-ID"/>
        </w:rPr>
        <w:t>. Alignment with International Standards and Professional Requirements</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 xml:space="preserve">The research findings also shed light on the alignment of Simulation-Based Learning (SBL) with international standards and professional requirements in the maritime industry. By incorporating competency-based assessment methodologies and emphasizing practical skills development, SBL aligns with the principles outlined in the International Maritime Organization (IMO) - Standards of Training, Certification, and </w:t>
      </w:r>
      <w:proofErr w:type="spellStart"/>
      <w:r w:rsidRPr="00156D00">
        <w:rPr>
          <w:rFonts w:ascii="Times New Roman" w:eastAsia="Calibri" w:hAnsi="Times New Roman" w:cs="Times New Roman"/>
          <w:bCs/>
          <w:lang w:val="en-ID"/>
        </w:rPr>
        <w:t>Watchkeeping</w:t>
      </w:r>
      <w:proofErr w:type="spellEnd"/>
      <w:r w:rsidRPr="00156D00">
        <w:rPr>
          <w:rFonts w:ascii="Times New Roman" w:eastAsia="Calibri" w:hAnsi="Times New Roman" w:cs="Times New Roman"/>
          <w:bCs/>
          <w:lang w:val="en-ID"/>
        </w:rPr>
        <w:t xml:space="preserve"> (STCW) regulations. These regulations set forth minimum competency requirements for seafarers worldwide, ensuring that maritime training programs adhere to recognized benchmarks for safety and proficiency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Research","id":"ITEM-1","issued":{"date-parts":[["2014"]]},"page":"77-86","publisher":"Australian Maritime College","title":"On a lookout beyond STCW: Seeking standards and context for the authentic assessment of seafarers","type":"paper-conference"},"uris":["http://www.mendeley.com/documents/?uuid=2f84309f-4e05-4536-aaed-698bd69507f9"]}],"mendeley":{"formattedCitation":"(Ghosh et al., 2014)","plainTextFormattedCitation":"(Ghosh et al., 2014)","previouslyFormattedCitation":"(Ghosh et al., 2014)"},"properties":{"noteIndex":0},"schema":"https://github.com/citation-style-language/schema/raw/master/csl-citation.json"}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(Ghosh et al., 2014)</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w:t>
      </w:r>
      <w:r>
        <w:rPr>
          <w:rFonts w:ascii="Times New Roman" w:eastAsia="Calibri" w:hAnsi="Times New Roman" w:cs="Times New Roman"/>
          <w:bCs/>
        </w:rPr>
        <w:t xml:space="preserve"> </w:t>
      </w:r>
      <w:r w:rsidRPr="00156D00">
        <w:rPr>
          <w:rFonts w:ascii="Times New Roman" w:eastAsia="Calibri" w:hAnsi="Times New Roman" w:cs="Times New Roman"/>
          <w:bCs/>
          <w:lang w:val="en-ID"/>
        </w:rPr>
        <w:t>Moreover, the research identified a growing demand for practical, hands-on learning experiences and experiential learning methods in maritime education. These findings reflect broader trends in education toward active learning approaches that prioritize skill acquisition and application over passive instruction. By aligning with these trends and integrating simulation-based methodologies into maritime training curricula, educators can better prepare cadets for the challenges of real-world maritime operations.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sidRPr="00156D00">
        <w:rPr>
          <w:rFonts w:ascii="Times New Roman" w:eastAsia="Calibri" w:hAnsi="Times New Roman" w:cs="Times New Roman"/>
          <w:b/>
          <w:bCs/>
          <w:lang w:val="en-ID"/>
        </w:rPr>
        <w:t>3</w:t>
      </w:r>
      <w:r>
        <w:rPr>
          <w:rFonts w:ascii="Times New Roman" w:eastAsia="Calibri" w:hAnsi="Times New Roman" w:cs="Times New Roman"/>
          <w:b/>
          <w:bCs/>
          <w:lang w:val="en-ID"/>
        </w:rPr>
        <w:t>.2.3</w:t>
      </w:r>
      <w:r w:rsidRPr="00156D00">
        <w:rPr>
          <w:rFonts w:ascii="Times New Roman" w:eastAsia="Calibri" w:hAnsi="Times New Roman" w:cs="Times New Roman"/>
          <w:b/>
          <w:bCs/>
          <w:lang w:val="en-ID"/>
        </w:rPr>
        <w:t>. Implications for Maritime Education and Training</w:t>
      </w: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sidRPr="00156D00">
        <w:rPr>
          <w:rFonts w:ascii="Times New Roman" w:eastAsia="Calibri" w:hAnsi="Times New Roman" w:cs="Times New Roman"/>
          <w:bCs/>
          <w:lang w:val="en-ID"/>
        </w:rPr>
        <w:t>The findings of the research have several implications for maritime education and training. Firstly, they underscore the importance of incorporating Simulation-Based Learning (SBL) into maritime training programs to enhance the competency, proficiency, and professionalism of future maritime professionals. SBL provides a valuable complement to traditional instructional methods, offering cadets opportunities for hands-on practice, experiential learning, and skill development in simulated maritime environments.</w:t>
      </w:r>
      <w:r>
        <w:rPr>
          <w:rFonts w:ascii="Times New Roman" w:eastAsia="Calibri" w:hAnsi="Times New Roman" w:cs="Times New Roman"/>
          <w:bCs/>
        </w:rPr>
        <w:t xml:space="preserve"> </w:t>
      </w:r>
      <w:r w:rsidRPr="00156D00">
        <w:rPr>
          <w:rFonts w:ascii="Times New Roman" w:eastAsia="Calibri" w:hAnsi="Times New Roman" w:cs="Times New Roman"/>
          <w:bCs/>
          <w:lang w:val="en-ID"/>
        </w:rPr>
        <w:t xml:space="preserve">Secondly, the research highlights the need for ongoing support and professional development for instructors involved in </w:t>
      </w:r>
      <w:r w:rsidRPr="00156D00">
        <w:rPr>
          <w:rFonts w:ascii="Times New Roman" w:eastAsia="Calibri" w:hAnsi="Times New Roman" w:cs="Times New Roman"/>
          <w:bCs/>
          <w:lang w:val="en-ID"/>
        </w:rPr>
        <w:lastRenderedPageBreak/>
        <w:t>delivering simulation-based training. Effective debriefing sessions, clear instruction, and knowledgeable guidance from instructors are essential for maximizing the benefits of SBL and facilitating meaningful learning experiences for cadets. Providing instructors with training and resources to effectively facilitate simulation activities is crucial for ensuring the success of SBL initiatives.</w:t>
      </w:r>
    </w:p>
    <w:p w:rsidR="00156D00" w:rsidRPr="00156D00" w:rsidRDefault="00156D00" w:rsidP="00156D00">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lang w:val="en-ID"/>
        </w:rPr>
        <w:t>3.2.4</w:t>
      </w:r>
      <w:r w:rsidRPr="00156D00">
        <w:rPr>
          <w:rFonts w:ascii="Times New Roman" w:eastAsia="Calibri" w:hAnsi="Times New Roman" w:cs="Times New Roman"/>
          <w:b/>
          <w:bCs/>
          <w:lang w:val="en-ID"/>
        </w:rPr>
        <w:t>. Future Directions for Research and Practice</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r w:rsidRPr="00156D00">
        <w:rPr>
          <w:rFonts w:ascii="Times New Roman" w:eastAsia="Calibri" w:hAnsi="Times New Roman" w:cs="Times New Roman"/>
          <w:bCs/>
          <w:lang w:val="en-ID"/>
        </w:rPr>
        <w:t>Looking ahead, future research should focus on addressing key gaps and limitations identified in the current study. This includes investigating the long-term impact of Simulation-Based Learning (SBL) on cadet performance, exploring innovative simulation technologies and methodologies, and examining the transferability of learning to real-world maritime scenarios. Comparative studies examining the effectiveness of different simulation modalities and their applicability to diverse maritime contexts are also warranted.</w:t>
      </w:r>
      <w:r w:rsidR="00F12311">
        <w:rPr>
          <w:rFonts w:ascii="Times New Roman" w:eastAsia="Calibri" w:hAnsi="Times New Roman" w:cs="Times New Roman"/>
          <w:bCs/>
        </w:rPr>
        <w:t xml:space="preserve"> </w:t>
      </w:r>
      <w:r w:rsidRPr="00156D00">
        <w:rPr>
          <w:rFonts w:ascii="Times New Roman" w:eastAsia="Calibri" w:hAnsi="Times New Roman" w:cs="Times New Roman"/>
          <w:bCs/>
          <w:lang w:val="en-ID"/>
        </w:rPr>
        <w:t>Moreover,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w:t>
      </w:r>
      <w:r w:rsidR="00F12311">
        <w:rPr>
          <w:rFonts w:ascii="Times New Roman" w:eastAsia="Calibri" w:hAnsi="Times New Roman" w:cs="Times New Roman"/>
          <w:bCs/>
        </w:rPr>
        <w:t xml:space="preserve"> </w:t>
      </w:r>
      <w:r w:rsidR="00F12311">
        <w:rPr>
          <w:rFonts w:ascii="Times New Roman" w:eastAsia="Calibri" w:hAnsi="Times New Roman" w:cs="Times New Roman"/>
          <w:bCs/>
        </w:rPr>
        <w:fldChar w:fldCharType="begin" w:fldLock="1"/>
      </w:r>
      <w:r w:rsidR="00F12311">
        <w:rPr>
          <w:rFonts w:ascii="Times New Roman" w:eastAsia="Calibri" w:hAnsi="Times New Roman" w:cs="Times New Roman"/>
          <w:bCs/>
        </w:rPr>
        <w:instrText>ADDIN CSL_CITATION {"citationItems":[{"id":"ITEM-1","itemData":{"ISSN":"1063-0732","author":[{"dropping-particle":"","family":"Aurigi","given":"Alessandro","non-dropping-particle":"","parse-names":false,"suffix":""},{"dropping-particle":"","family":"Odendaal","given":"Nancy","non-dropping-particle":"","parse-names":false,"suffix":""}],"container-title":"Journal of Urban Technology","id":"ITEM-1","issue":"1-2","issued":{"date-parts":[["2021"]]},"page":"55-70","publisher":"Taylor &amp; Francis","title":"From “smart in the box” to “smart in the city”: Rethinking the socially sustainable smart city in context","type":"article-journal","volume":"28"},"uris":["http://www.mendeley.com/documents/?uuid=4d290a36-5fa2-4930-97e5-114f33bf5314"]}],"mendeley":{"formattedCitation":"(Aurigi &amp; Odendaal, 2021)","plainTextFormattedCitation":"(Aurigi &amp; Odendaal, 2021)"},"properties":{"noteIndex":0},"schema":"https://github.com/citation-style-language/schema/raw/master/csl-citation.json"}</w:instrText>
      </w:r>
      <w:r w:rsidR="00F12311">
        <w:rPr>
          <w:rFonts w:ascii="Times New Roman" w:eastAsia="Calibri" w:hAnsi="Times New Roman" w:cs="Times New Roman"/>
          <w:bCs/>
        </w:rPr>
        <w:fldChar w:fldCharType="separate"/>
      </w:r>
      <w:r w:rsidR="00F12311" w:rsidRPr="00F12311">
        <w:rPr>
          <w:rFonts w:ascii="Times New Roman" w:eastAsia="Calibri" w:hAnsi="Times New Roman" w:cs="Times New Roman"/>
          <w:bCs/>
          <w:noProof/>
        </w:rPr>
        <w:t>(Aurigi &amp; Odendaal, 2021)</w:t>
      </w:r>
      <w:r w:rsidR="00F12311">
        <w:rPr>
          <w:rFonts w:ascii="Times New Roman" w:eastAsia="Calibri" w:hAnsi="Times New Roman" w:cs="Times New Roman"/>
          <w:bCs/>
        </w:rPr>
        <w:fldChar w:fldCharType="end"/>
      </w:r>
      <w:r w:rsidRPr="00156D00">
        <w:rPr>
          <w:rFonts w:ascii="Times New Roman" w:eastAsia="Calibri" w:hAnsi="Times New Roman" w:cs="Times New Roman"/>
          <w:bCs/>
          <w:lang w:val="en-ID"/>
        </w:rPr>
        <w:t>.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p>
    <w:p w:rsid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rPr>
      </w:pPr>
    </w:p>
    <w:p w:rsidR="00156D00" w:rsidRPr="00156D00" w:rsidRDefault="00156D00" w:rsidP="00156D00">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56D00">
        <w:rPr>
          <w:rFonts w:ascii="Times New Roman" w:eastAsia="Calibri" w:hAnsi="Times New Roman" w:cs="Times New Roman"/>
          <w:bCs/>
          <w:lang w:val="en-ID"/>
        </w:rPr>
        <w:t>he findings of the research underscore the importance of Simulation-Based Learning (SBL) in maritime education and its alignment with international standards and professional requirements. By providing cadets with realistic, immersive, and experiential learning experiences, SBL enhances their competency, proficiency, and readiness for real-world maritime challenges. Moving forward, continued investment in SBL initiatives and research is essential for advancing the field of maritime education and training and ensuring the safety and efficiency of global maritime operations.</w:t>
      </w:r>
    </w:p>
    <w:p w:rsidR="00190277" w:rsidRPr="00156D00"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56D00"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56D00">
        <w:rPr>
          <w:rFonts w:ascii="Times New Roman" w:eastAsia="Calibri" w:hAnsi="Times New Roman" w:cs="Times New Roman"/>
          <w:b/>
          <w:bCs/>
        </w:rPr>
        <w:t>CONCLUSION</w:t>
      </w:r>
    </w:p>
    <w:p w:rsid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156D00">
        <w:rPr>
          <w:rFonts w:ascii="Times New Roman" w:eastAsia="Calibri" w:hAnsi="Times New Roman" w:cs="Times New Roman"/>
          <w:bCs/>
        </w:rPr>
        <w:t>his research has provided valuable insights into the efficacy of Simulation-Based Learning (SBL) in maritime training and its alignment with international standards and professional requirements. Through qualitative analysis of the experiences and perceptions of 30 cadets undergoing vocational practice or internships, several key findings have emerged.</w:t>
      </w:r>
      <w:r>
        <w:rPr>
          <w:rFonts w:ascii="Times New Roman" w:eastAsia="Calibri" w:hAnsi="Times New Roman" w:cs="Times New Roman"/>
          <w:bCs/>
        </w:rPr>
        <w:t xml:space="preserve"> </w:t>
      </w:r>
      <w:r w:rsidRPr="00156D00">
        <w:rPr>
          <w:rFonts w:ascii="Times New Roman" w:eastAsia="Calibri" w:hAnsi="Times New Roman" w:cs="Times New Roman"/>
          <w:bCs/>
        </w:rPr>
        <w:t>Firstly, Simulation-Based Learning (SBL) was found to be highly effective in enhancing cadets' learning experience and skill development. The immersive and realistic nature of simulation activities facilitated active engagement, decision-making under pressure, and practical skill acquisition. Despite some challenges and limitations, including technical issues with simulators and the fidelity of simulations, the overall perceived effectiveness of SBL was high among cadets.</w:t>
      </w:r>
      <w:r>
        <w:rPr>
          <w:rFonts w:ascii="Times New Roman" w:eastAsia="Calibri" w:hAnsi="Times New Roman" w:cs="Times New Roman"/>
          <w:bCs/>
        </w:rPr>
        <w:t xml:space="preserve"> </w:t>
      </w:r>
      <w:r w:rsidRPr="00156D00">
        <w:rPr>
          <w:rFonts w:ascii="Times New Roman" w:eastAsia="Calibri" w:hAnsi="Times New Roman" w:cs="Times New Roman"/>
          <w:bCs/>
        </w:rPr>
        <w:t>Secondly, the research highlighted the importance of aligning maritime education and training programs with international standards and regulatory requirements, such as those outlined by the International Maritime Organization (IMO) - Standards of Training, Certification, and Watchkeeping (STCW). By incorporating competency-based assessment methodologies and emphasizing practical skills development, SBL aligns with the principles set forth in the STCW regulations, ensuring that cadets receive comprehensive and standardized training.</w:t>
      </w:r>
    </w:p>
    <w:p w:rsidR="00F5577B" w:rsidRPr="00156D00" w:rsidRDefault="00156D00" w:rsidP="00156D00">
      <w:pPr>
        <w:autoSpaceDE w:val="0"/>
        <w:autoSpaceDN w:val="0"/>
        <w:adjustRightInd w:val="0"/>
        <w:spacing w:after="0" w:line="240" w:lineRule="auto"/>
        <w:ind w:firstLine="426"/>
        <w:jc w:val="both"/>
        <w:rPr>
          <w:rFonts w:ascii="Times New Roman" w:eastAsia="Calibri" w:hAnsi="Times New Roman" w:cs="Times New Roman"/>
          <w:bCs/>
          <w:lang w:val="en-ID"/>
        </w:rPr>
      </w:pPr>
      <w:r w:rsidRPr="00156D00">
        <w:rPr>
          <w:rFonts w:ascii="Times New Roman" w:eastAsia="Calibri" w:hAnsi="Times New Roman" w:cs="Times New Roman"/>
          <w:bCs/>
        </w:rPr>
        <w:t>Moving forward, efforts to enhance the integration of SBL into maritime education and training should be guided by a commitment to continuous improvement and innovation. This includes ongoing evaluation of simulation-based training programs, feedback from cadets and instructors, and advancements in simulation technology. By staying abreast of developments in the field and adapting training practices accordingly, educators can ensure that maritime training programs remain relevant, effective, and aligned with the evolving needs of the maritime industry.</w:t>
      </w:r>
      <w:r>
        <w:rPr>
          <w:rFonts w:ascii="Times New Roman" w:eastAsia="Calibri" w:hAnsi="Times New Roman" w:cs="Times New Roman"/>
          <w:bCs/>
        </w:rPr>
        <w:t xml:space="preserve"> </w:t>
      </w:r>
      <w:r w:rsidRPr="00156D00">
        <w:rPr>
          <w:rFonts w:ascii="Times New Roman" w:eastAsia="Calibri" w:hAnsi="Times New Roman" w:cs="Times New Roman"/>
          <w:bCs/>
        </w:rPr>
        <w:t>Simulation-Based Learning (SBL) holds significant promise for enhancing maritime education and training, providing cadets with realistic, immersive, and experiential learning experiences. By addressing key challenges and leveraging the benefits of SBL, educators can better prepare cadets for the challenges of real-world maritime operations, thereby contributing to the safety and efficiency of global maritime transportation.</w:t>
      </w:r>
    </w:p>
    <w:p w:rsidR="00A20815" w:rsidRPr="00156D00"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56D00"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56D00">
        <w:rPr>
          <w:rFonts w:ascii="Times New Roman" w:eastAsia="Calibri" w:hAnsi="Times New Roman" w:cs="Times New Roman"/>
          <w:b/>
          <w:bCs/>
        </w:rPr>
        <w:t>REFERENCES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F12311">
        <w:rPr>
          <w:rFonts w:ascii="Times New Roman" w:hAnsi="Times New Roman" w:cs="Times New Roman"/>
          <w:noProof/>
          <w:szCs w:val="24"/>
        </w:rPr>
        <w:t xml:space="preserve">Aurigi, A., &amp; Odendaal, N. (2021). From “smart in the box” to “smart in the city”: Rethinking the socially sustainable smart city in context. </w:t>
      </w:r>
      <w:r w:rsidRPr="00F12311">
        <w:rPr>
          <w:rFonts w:ascii="Times New Roman" w:hAnsi="Times New Roman" w:cs="Times New Roman"/>
          <w:i/>
          <w:iCs/>
          <w:noProof/>
          <w:szCs w:val="24"/>
        </w:rPr>
        <w:t>Journal of Urban Technology</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28</w:t>
      </w:r>
      <w:r w:rsidRPr="00F12311">
        <w:rPr>
          <w:rFonts w:ascii="Times New Roman" w:hAnsi="Times New Roman" w:cs="Times New Roman"/>
          <w:noProof/>
          <w:szCs w:val="24"/>
        </w:rPr>
        <w:t>(1–2), 55–70.</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Bitar, H., &amp; Alismail, S. (2022). Exploring enablers and inhibitors of eHealth educational tools: The needs of women searching for HPV and cervical cancer information. In </w:t>
      </w:r>
      <w:r w:rsidRPr="00F12311">
        <w:rPr>
          <w:rFonts w:ascii="Times New Roman" w:hAnsi="Times New Roman" w:cs="Times New Roman"/>
          <w:i/>
          <w:iCs/>
          <w:noProof/>
          <w:szCs w:val="24"/>
        </w:rPr>
        <w:t>DIGITAL HEALTH</w:t>
      </w:r>
      <w:r w:rsidRPr="00F12311">
        <w:rPr>
          <w:rFonts w:ascii="Times New Roman" w:hAnsi="Times New Roman" w:cs="Times New Roman"/>
          <w:noProof/>
          <w:szCs w:val="24"/>
        </w:rPr>
        <w:t xml:space="preserve"> (Vol. 8, p. 2147483647). SAGE Publications. https://doi.org/10.1177/20552076221130189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Castleberry, A., &amp; Nolen, A. (2018). Thematic analysis of qualitative research data: Is it as easy as it sounds? </w:t>
      </w:r>
      <w:r w:rsidRPr="00F12311">
        <w:rPr>
          <w:rFonts w:ascii="Times New Roman" w:hAnsi="Times New Roman" w:cs="Times New Roman"/>
          <w:i/>
          <w:iCs/>
          <w:noProof/>
          <w:szCs w:val="24"/>
        </w:rPr>
        <w:t>Currents in Pharmacy Teaching and Learning</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10</w:t>
      </w:r>
      <w:r w:rsidRPr="00F12311">
        <w:rPr>
          <w:rFonts w:ascii="Times New Roman" w:hAnsi="Times New Roman" w:cs="Times New Roman"/>
          <w:noProof/>
          <w:szCs w:val="24"/>
        </w:rPr>
        <w:t>(6), 807–815.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lastRenderedPageBreak/>
        <w:t xml:space="preserve">Christodoulou-Varotsi, I., &amp; Pentsov, D. A. (2008). The STCW Convention and related instruments. </w:t>
      </w:r>
      <w:r w:rsidRPr="00F12311">
        <w:rPr>
          <w:rFonts w:ascii="Times New Roman" w:hAnsi="Times New Roman" w:cs="Times New Roman"/>
          <w:i/>
          <w:iCs/>
          <w:noProof/>
          <w:szCs w:val="24"/>
        </w:rPr>
        <w:t>Maritime Work Law Fundamentals: Responsible Shipowners, Reliable Seafarers</w:t>
      </w:r>
      <w:r w:rsidRPr="00F12311">
        <w:rPr>
          <w:rFonts w:ascii="Times New Roman" w:hAnsi="Times New Roman" w:cs="Times New Roman"/>
          <w:noProof/>
          <w:szCs w:val="24"/>
        </w:rPr>
        <w:t>, 422–639.</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Council, N. R. (2013). </w:t>
      </w:r>
      <w:r w:rsidRPr="00F12311">
        <w:rPr>
          <w:rFonts w:ascii="Times New Roman" w:hAnsi="Times New Roman" w:cs="Times New Roman"/>
          <w:i/>
          <w:iCs/>
          <w:noProof/>
          <w:szCs w:val="24"/>
        </w:rPr>
        <w:t>Frontiers in massive data analysis</w:t>
      </w:r>
      <w:r w:rsidRPr="00F12311">
        <w:rPr>
          <w:rFonts w:ascii="Times New Roman" w:hAnsi="Times New Roman" w:cs="Times New Roman"/>
          <w:noProof/>
          <w:szCs w:val="24"/>
        </w:rPr>
        <w:t>. National Academies Press.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Creswell, J. W., &amp; Clark, V. L. P. (2011). Choosing a mixed methods design. In </w:t>
      </w:r>
      <w:r w:rsidRPr="00F12311">
        <w:rPr>
          <w:rFonts w:ascii="Times New Roman" w:hAnsi="Times New Roman" w:cs="Times New Roman"/>
          <w:i/>
          <w:iCs/>
          <w:noProof/>
          <w:szCs w:val="24"/>
        </w:rPr>
        <w:t>Designing and Conducting Mixed Methods Research</w:t>
      </w:r>
      <w:r w:rsidRPr="00F12311">
        <w:rPr>
          <w:rFonts w:ascii="Times New Roman" w:hAnsi="Times New Roman" w:cs="Times New Roman"/>
          <w:noProof/>
          <w:szCs w:val="24"/>
        </w:rPr>
        <w:t xml:space="preserve"> (pp. 53–106). Sage Publications, Inc.</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Franceschi, D. (2014). The features of maritime English discourse. </w:t>
      </w:r>
      <w:r w:rsidRPr="00F12311">
        <w:rPr>
          <w:rFonts w:ascii="Times New Roman" w:hAnsi="Times New Roman" w:cs="Times New Roman"/>
          <w:i/>
          <w:iCs/>
          <w:noProof/>
          <w:szCs w:val="24"/>
        </w:rPr>
        <w:t>International Journal of English Linguistics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4</w:t>
      </w:r>
      <w:r w:rsidRPr="00F12311">
        <w:rPr>
          <w:rFonts w:ascii="Times New Roman" w:hAnsi="Times New Roman" w:cs="Times New Roman"/>
          <w:noProof/>
          <w:szCs w:val="24"/>
        </w:rPr>
        <w:t>(2), 78.</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Ghosh, S., Bowles, M., Ranmuthugala, D., &amp; Brooks, B. (2014). On a lookout beyond STCW: Seeking standards and context for the authentic assessment of seafarers. </w:t>
      </w:r>
      <w:r w:rsidRPr="00F12311">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F12311">
        <w:rPr>
          <w:rFonts w:ascii="Times New Roman" w:hAnsi="Times New Roman" w:cs="Times New Roman"/>
          <w:noProof/>
          <w:szCs w:val="24"/>
        </w:rPr>
        <w:t>, 77–86.</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Holland, J., &amp; Holland, J. (2014). Implications of shifting technology in education. </w:t>
      </w:r>
      <w:r w:rsidRPr="00F12311">
        <w:rPr>
          <w:rFonts w:ascii="Times New Roman" w:hAnsi="Times New Roman" w:cs="Times New Roman"/>
          <w:i/>
          <w:iCs/>
          <w:noProof/>
          <w:szCs w:val="24"/>
        </w:rPr>
        <w:t>TechTrends</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58</w:t>
      </w:r>
      <w:r w:rsidRPr="00F12311">
        <w:rPr>
          <w:rFonts w:ascii="Times New Roman" w:hAnsi="Times New Roman" w:cs="Times New Roman"/>
          <w:noProof/>
          <w:szCs w:val="24"/>
        </w:rPr>
        <w:t>, 16–25.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Padgett, D. K. (2016). </w:t>
      </w:r>
      <w:r w:rsidRPr="00F12311">
        <w:rPr>
          <w:rFonts w:ascii="Times New Roman" w:hAnsi="Times New Roman" w:cs="Times New Roman"/>
          <w:i/>
          <w:iCs/>
          <w:noProof/>
          <w:szCs w:val="24"/>
        </w:rPr>
        <w:t>Qualitative methods in social work research</w:t>
      </w:r>
      <w:r w:rsidRPr="00F12311">
        <w:rPr>
          <w:rFonts w:ascii="Times New Roman" w:hAnsi="Times New Roman" w:cs="Times New Roman"/>
          <w:noProof/>
          <w:szCs w:val="24"/>
        </w:rPr>
        <w:t xml:space="preserve"> (Vol. 36). Sage publications.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F12311">
        <w:rPr>
          <w:rFonts w:ascii="Times New Roman" w:hAnsi="Times New Roman" w:cs="Times New Roman"/>
          <w:i/>
          <w:iCs/>
          <w:noProof/>
          <w:szCs w:val="24"/>
        </w:rPr>
        <w:t>Distributed Computing and Artificial Intelligence, Special Sessions, 17th International Conference</w:t>
      </w:r>
      <w:r w:rsidRPr="00F12311">
        <w:rPr>
          <w:rFonts w:ascii="Times New Roman" w:hAnsi="Times New Roman" w:cs="Times New Roman"/>
          <w:noProof/>
          <w:szCs w:val="24"/>
        </w:rPr>
        <w:t>, 107–115.</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Sarıcan, E., &amp; GÜNEŞ, E. B. (2021). </w:t>
      </w:r>
      <w:r w:rsidRPr="00F12311">
        <w:rPr>
          <w:rFonts w:ascii="Times New Roman" w:hAnsi="Times New Roman" w:cs="Times New Roman"/>
          <w:i/>
          <w:iCs/>
          <w:noProof/>
          <w:szCs w:val="24"/>
        </w:rPr>
        <w:t>Developing Critical Thinking Skills in Elementary School Students Through Foreign Language Education: An Action Research</w:t>
      </w:r>
      <w:r w:rsidRPr="00F12311">
        <w:rPr>
          <w:rFonts w:ascii="Times New Roman" w:hAnsi="Times New Roman" w:cs="Times New Roman"/>
          <w:noProof/>
          <w:szCs w:val="24"/>
        </w:rPr>
        <w:t>. Center for Open Science. https://doi.org/10.31235/osf.io/3cjsv</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szCs w:val="24"/>
        </w:rPr>
      </w:pPr>
      <w:r w:rsidRPr="00F12311">
        <w:rPr>
          <w:rFonts w:ascii="Times New Roman" w:hAnsi="Times New Roman" w:cs="Times New Roman"/>
          <w:noProof/>
          <w:szCs w:val="24"/>
        </w:rPr>
        <w:t xml:space="preserve">Sarosa, S. (2021). </w:t>
      </w:r>
      <w:r w:rsidRPr="00F12311">
        <w:rPr>
          <w:rFonts w:ascii="Times New Roman" w:hAnsi="Times New Roman" w:cs="Times New Roman"/>
          <w:i/>
          <w:iCs/>
          <w:noProof/>
          <w:szCs w:val="24"/>
        </w:rPr>
        <w:t>Analisis Data Penelitian Kualitatif</w:t>
      </w:r>
      <w:r w:rsidRPr="00F12311">
        <w:rPr>
          <w:rFonts w:ascii="Times New Roman" w:hAnsi="Times New Roman" w:cs="Times New Roman"/>
          <w:noProof/>
          <w:szCs w:val="24"/>
        </w:rPr>
        <w:t>. Pt Kanisius.</w:t>
      </w:r>
    </w:p>
    <w:p w:rsidR="00F12311" w:rsidRPr="00F12311" w:rsidRDefault="00F12311" w:rsidP="00F12311">
      <w:pPr>
        <w:widowControl w:val="0"/>
        <w:autoSpaceDE w:val="0"/>
        <w:autoSpaceDN w:val="0"/>
        <w:adjustRightInd w:val="0"/>
        <w:spacing w:after="0" w:line="240" w:lineRule="auto"/>
        <w:ind w:left="480" w:hanging="480"/>
        <w:rPr>
          <w:rFonts w:ascii="Times New Roman" w:hAnsi="Times New Roman" w:cs="Times New Roman"/>
          <w:noProof/>
        </w:rPr>
      </w:pPr>
      <w:r w:rsidRPr="00F12311">
        <w:rPr>
          <w:rFonts w:ascii="Times New Roman" w:hAnsi="Times New Roman" w:cs="Times New Roman"/>
          <w:noProof/>
          <w:szCs w:val="24"/>
        </w:rPr>
        <w:t xml:space="preserve">Young, C. (1995). Comprehensive Revision of the STCW convention: an overview. </w:t>
      </w:r>
      <w:r w:rsidRPr="00F12311">
        <w:rPr>
          <w:rFonts w:ascii="Times New Roman" w:hAnsi="Times New Roman" w:cs="Times New Roman"/>
          <w:i/>
          <w:iCs/>
          <w:noProof/>
          <w:szCs w:val="24"/>
        </w:rPr>
        <w:t>J. Mar. L. &amp; Com.</w:t>
      </w:r>
      <w:r w:rsidRPr="00F12311">
        <w:rPr>
          <w:rFonts w:ascii="Times New Roman" w:hAnsi="Times New Roman" w:cs="Times New Roman"/>
          <w:noProof/>
          <w:szCs w:val="24"/>
        </w:rPr>
        <w:t xml:space="preserve">, </w:t>
      </w:r>
      <w:r w:rsidRPr="00F12311">
        <w:rPr>
          <w:rFonts w:ascii="Times New Roman" w:hAnsi="Times New Roman" w:cs="Times New Roman"/>
          <w:i/>
          <w:iCs/>
          <w:noProof/>
          <w:szCs w:val="24"/>
        </w:rPr>
        <w:t>26</w:t>
      </w:r>
      <w:r w:rsidRPr="00F12311">
        <w:rPr>
          <w:rFonts w:ascii="Times New Roman" w:hAnsi="Times New Roman" w:cs="Times New Roman"/>
          <w:noProof/>
          <w:szCs w:val="24"/>
        </w:rPr>
        <w:t>, 1.</w:t>
      </w:r>
    </w:p>
    <w:p w:rsidR="00A20815" w:rsidRPr="00156D00" w:rsidRDefault="00F12311"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56D00"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3F" w:rsidRDefault="00E11F3F" w:rsidP="00BD3DF2">
      <w:pPr>
        <w:spacing w:after="0" w:line="240" w:lineRule="auto"/>
      </w:pPr>
      <w:r>
        <w:separator/>
      </w:r>
    </w:p>
  </w:endnote>
  <w:endnote w:type="continuationSeparator" w:id="0">
    <w:p w:rsidR="00E11F3F" w:rsidRDefault="00E11F3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280A4E">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3F" w:rsidRDefault="00E11F3F" w:rsidP="00BD3DF2">
      <w:pPr>
        <w:spacing w:after="0" w:line="240" w:lineRule="auto"/>
      </w:pPr>
      <w:r>
        <w:separator/>
      </w:r>
    </w:p>
  </w:footnote>
  <w:footnote w:type="continuationSeparator" w:id="0">
    <w:p w:rsidR="00E11F3F" w:rsidRDefault="00E11F3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4123F"/>
    <w:rsid w:val="001423B4"/>
    <w:rsid w:val="00156D00"/>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16A8"/>
    <w:rsid w:val="0025468B"/>
    <w:rsid w:val="00260B8B"/>
    <w:rsid w:val="00263DD8"/>
    <w:rsid w:val="00264A93"/>
    <w:rsid w:val="00275DB3"/>
    <w:rsid w:val="00280A4E"/>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3260"/>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410E"/>
    <w:rsid w:val="006965B2"/>
    <w:rsid w:val="006A33A6"/>
    <w:rsid w:val="006B0E27"/>
    <w:rsid w:val="006B629D"/>
    <w:rsid w:val="006D6D19"/>
    <w:rsid w:val="006E3D96"/>
    <w:rsid w:val="00711C6A"/>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8F5BFE"/>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A1FD2"/>
    <w:rsid w:val="00BB59B9"/>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11F3F"/>
    <w:rsid w:val="00E20CEC"/>
    <w:rsid w:val="00E2165D"/>
    <w:rsid w:val="00E26505"/>
    <w:rsid w:val="00E75F8F"/>
    <w:rsid w:val="00E80032"/>
    <w:rsid w:val="00E82193"/>
    <w:rsid w:val="00EA2970"/>
    <w:rsid w:val="00EA3E26"/>
    <w:rsid w:val="00EC0792"/>
    <w:rsid w:val="00EF1263"/>
    <w:rsid w:val="00EF2E8F"/>
    <w:rsid w:val="00F12311"/>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4">
      <w:bodyDiv w:val="1"/>
      <w:marLeft w:val="0"/>
      <w:marRight w:val="0"/>
      <w:marTop w:val="0"/>
      <w:marBottom w:val="0"/>
      <w:divBdr>
        <w:top w:val="none" w:sz="0" w:space="0" w:color="auto"/>
        <w:left w:val="none" w:sz="0" w:space="0" w:color="auto"/>
        <w:bottom w:val="none" w:sz="0" w:space="0" w:color="auto"/>
        <w:right w:val="none" w:sz="0" w:space="0" w:color="auto"/>
      </w:divBdr>
    </w:div>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127162437">
      <w:bodyDiv w:val="1"/>
      <w:marLeft w:val="0"/>
      <w:marRight w:val="0"/>
      <w:marTop w:val="0"/>
      <w:marBottom w:val="0"/>
      <w:divBdr>
        <w:top w:val="none" w:sz="0" w:space="0" w:color="auto"/>
        <w:left w:val="none" w:sz="0" w:space="0" w:color="auto"/>
        <w:bottom w:val="none" w:sz="0" w:space="0" w:color="auto"/>
        <w:right w:val="none" w:sz="0" w:space="0" w:color="auto"/>
      </w:divBdr>
    </w:div>
    <w:div w:id="1250963271">
      <w:bodyDiv w:val="1"/>
      <w:marLeft w:val="0"/>
      <w:marRight w:val="0"/>
      <w:marTop w:val="0"/>
      <w:marBottom w:val="0"/>
      <w:divBdr>
        <w:top w:val="none" w:sz="0" w:space="0" w:color="auto"/>
        <w:left w:val="none" w:sz="0" w:space="0" w:color="auto"/>
        <w:bottom w:val="none" w:sz="0" w:space="0" w:color="auto"/>
        <w:right w:val="none" w:sz="0" w:space="0" w:color="auto"/>
      </w:divBdr>
    </w:div>
    <w:div w:id="1611470114">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24788776">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A99901-AC39-4D54-AF43-D8228147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7047</Words>
  <Characters>40168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5</cp:revision>
  <cp:lastPrinted>2019-05-24T02:53:00Z</cp:lastPrinted>
  <dcterms:created xsi:type="dcterms:W3CDTF">2024-02-12T08:06:00Z</dcterms:created>
  <dcterms:modified xsi:type="dcterms:W3CDTF">2024-02-12T08:57:00Z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