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BB59B9" w:rsidRDefault="002930A1" w:rsidP="003C5E0E">
      <w:pPr>
        <w:spacing w:after="0" w:line="240" w:lineRule="auto"/>
        <w:jc w:val="center"/>
        <w:rPr>
          <w:rFonts w:ascii="Times New Roman" w:hAnsi="Times New Roman" w:cs="Times New Roman"/>
          <w:color w:val="FF0000"/>
          <w:lang w:val="en-US"/>
        </w:rPr>
      </w:pPr>
      <w:r w:rsidRPr="00BB59B9">
        <w:rPr>
          <w:rFonts w:ascii="Times New Roman" w:hAnsi="Times New Roman" w:cs="Times New Roman"/>
          <w:color w:val="FF0000"/>
          <w:lang w:val="en-US"/>
        </w:rPr>
        <w:t>http://ejournal.stipjakarta.</w:t>
      </w:r>
      <w:r w:rsidR="005E3175" w:rsidRPr="00BB59B9">
        <w:rPr>
          <w:rFonts w:ascii="Times New Roman" w:hAnsi="Times New Roman" w:cs="Times New Roman"/>
          <w:color w:val="FF0000"/>
          <w:lang w:val="en-US"/>
        </w:rPr>
        <w:t>ac</w:t>
      </w:r>
      <w:r w:rsidRPr="00BB59B9">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BB59B9"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BB59B9"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BB59B9">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BB59B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BB59B9">
              <w:rPr>
                <w:rFonts w:ascii="Times New Roman" w:eastAsia="Calibri" w:hAnsi="Times New Roman" w:cs="Times New Roman"/>
                <w:b w:val="0"/>
                <w:i/>
                <w:color w:val="1F497D" w:themeColor="text2"/>
                <w:sz w:val="66"/>
                <w:szCs w:val="66"/>
                <w:lang w:val="en-US"/>
              </w:rPr>
              <w:t>METEOR</w:t>
            </w:r>
            <w:r w:rsidR="001C79A0" w:rsidRPr="00BB59B9">
              <w:rPr>
                <w:rFonts w:ascii="Times New Roman" w:eastAsia="Calibri" w:hAnsi="Times New Roman" w:cs="Times New Roman"/>
                <w:b w:val="0"/>
                <w:i/>
                <w:color w:val="1F497D" w:themeColor="text2"/>
                <w:sz w:val="66"/>
                <w:szCs w:val="66"/>
                <w:lang w:val="en-US"/>
              </w:rPr>
              <w:t xml:space="preserve"> STIP MARUNDA</w:t>
            </w:r>
          </w:p>
        </w:tc>
      </w:tr>
      <w:tr w:rsidR="00DB5E65" w:rsidRPr="00BB59B9"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BB59B9"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eastAsia="id-ID"/>
              </w:rPr>
              <w:t>ISSN</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5F4B71" w:rsidRPr="00BB59B9">
              <w:rPr>
                <w:rFonts w:ascii="Times New Roman" w:hAnsi="Times New Roman" w:cs="Times New Roman"/>
                <w:b w:val="0"/>
                <w:noProof/>
                <w:sz w:val="16"/>
                <w:szCs w:val="16"/>
                <w:lang w:eastAsia="id-ID"/>
              </w:rPr>
              <w:t>1</w:t>
            </w:r>
            <w:r w:rsidR="005F4B71" w:rsidRPr="00BB59B9">
              <w:rPr>
                <w:rFonts w:ascii="Times New Roman" w:hAnsi="Times New Roman" w:cs="Times New Roman"/>
                <w:b w:val="0"/>
                <w:noProof/>
                <w:sz w:val="16"/>
                <w:szCs w:val="16"/>
                <w:lang w:val="en-US" w:eastAsia="id-ID"/>
              </w:rPr>
              <w:t xml:space="preserve">979 </w:t>
            </w:r>
            <w:r w:rsidR="002930A1" w:rsidRPr="00BB59B9">
              <w:rPr>
                <w:rFonts w:ascii="Times New Roman" w:hAnsi="Times New Roman" w:cs="Times New Roman"/>
                <w:b w:val="0"/>
                <w:noProof/>
                <w:sz w:val="16"/>
                <w:szCs w:val="16"/>
                <w:lang w:val="en-US" w:eastAsia="id-ID"/>
              </w:rPr>
              <w:t>–</w:t>
            </w:r>
            <w:r w:rsidR="005F4B71" w:rsidRPr="00BB59B9">
              <w:rPr>
                <w:rFonts w:ascii="Times New Roman" w:hAnsi="Times New Roman" w:cs="Times New Roman"/>
                <w:b w:val="0"/>
                <w:noProof/>
                <w:sz w:val="16"/>
                <w:szCs w:val="16"/>
                <w:lang w:val="en-US" w:eastAsia="id-ID"/>
              </w:rPr>
              <w:t xml:space="preserve"> 4746</w:t>
            </w:r>
          </w:p>
          <w:p w:rsidR="002930A1" w:rsidRPr="00BB59B9"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val="en-US" w:eastAsia="id-ID"/>
              </w:rPr>
              <w:t xml:space="preserve">EISSN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BB59B9">
              <w:rPr>
                <w:rFonts w:ascii="Times New Roman" w:eastAsia="Calibri" w:hAnsi="Times New Roman" w:cs="Times New Roman"/>
                <w:b/>
                <w:i/>
                <w:color w:val="1F497D" w:themeColor="text2"/>
                <w:sz w:val="24"/>
                <w:szCs w:val="24"/>
                <w:lang w:val="en-US"/>
              </w:rPr>
              <w:t xml:space="preserve">JURNAL PENELITIAN ILMIAH </w:t>
            </w:r>
          </w:p>
          <w:p w:rsidR="0025468B"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BB59B9">
              <w:rPr>
                <w:rFonts w:ascii="Times New Roman" w:eastAsia="Calibri" w:hAnsi="Times New Roman" w:cs="Times New Roman"/>
                <w:b/>
                <w:i/>
                <w:color w:val="1F497D" w:themeColor="text2"/>
                <w:sz w:val="24"/>
                <w:szCs w:val="24"/>
                <w:lang w:val="en-US"/>
              </w:rPr>
              <w:t>SEKOLAH TINGGI ILMU PELAYARAN</w:t>
            </w:r>
          </w:p>
        </w:tc>
      </w:tr>
      <w:bookmarkEnd w:id="0"/>
    </w:tbl>
    <w:p w:rsidR="009C4BE4" w:rsidRPr="00BB59B9"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B59B9"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BB59B9" w:rsidRDefault="00B4144E" w:rsidP="00635CBD">
            <w:pPr>
              <w:jc w:val="center"/>
              <w:rPr>
                <w:rFonts w:ascii="Times New Roman" w:hAnsi="Times New Roman" w:cs="Times New Roman"/>
                <w:b w:val="0"/>
                <w:color w:val="000000" w:themeColor="text1"/>
                <w:sz w:val="28"/>
                <w:szCs w:val="32"/>
              </w:rPr>
            </w:pPr>
            <w:r w:rsidRPr="00BB59B9">
              <w:rPr>
                <w:rFonts w:ascii="Times New Roman" w:eastAsia="Calibri" w:hAnsi="Times New Roman" w:cs="Times New Roman"/>
                <w:sz w:val="28"/>
                <w:szCs w:val="32"/>
              </w:rPr>
              <w:t>Empowering Literacy in Maritime Education: Strategies and Professionalism Alignment</w:t>
            </w:r>
          </w:p>
          <w:p w:rsidR="0094162E" w:rsidRPr="00BB59B9" w:rsidRDefault="009E2290" w:rsidP="00373B88">
            <w:pPr>
              <w:autoSpaceDE w:val="0"/>
              <w:autoSpaceDN w:val="0"/>
              <w:adjustRightInd w:val="0"/>
              <w:jc w:val="center"/>
              <w:rPr>
                <w:rFonts w:ascii="Times New Roman" w:hAnsi="Times New Roman" w:cs="Times New Roman"/>
                <w:b w:val="0"/>
                <w:i/>
                <w:iCs/>
                <w:szCs w:val="20"/>
              </w:rPr>
            </w:pPr>
            <w:r w:rsidRPr="00BB59B9">
              <w:rPr>
                <w:rFonts w:ascii="Times New Roman" w:hAnsi="Times New Roman" w:cs="Times New Roman"/>
                <w:b w:val="0"/>
                <w:i/>
                <w:iCs/>
                <w:szCs w:val="20"/>
              </w:rPr>
              <w:t xml:space="preserve"> </w:t>
            </w:r>
          </w:p>
          <w:p w:rsidR="00373B88" w:rsidRPr="00DD1383" w:rsidRDefault="00DD1383" w:rsidP="00373B88">
            <w:pPr>
              <w:autoSpaceDE w:val="0"/>
              <w:autoSpaceDN w:val="0"/>
              <w:adjustRightInd w:val="0"/>
              <w:jc w:val="center"/>
              <w:rPr>
                <w:rFonts w:ascii="Times New Roman" w:hAnsi="Times New Roman" w:cs="Times New Roman"/>
                <w:b w:val="0"/>
                <w:i/>
                <w:iCs/>
                <w:szCs w:val="20"/>
              </w:rPr>
            </w:pPr>
            <w:r w:rsidRPr="00DD1383">
              <w:rPr>
                <w:rFonts w:ascii="Times New Roman" w:hAnsi="Times New Roman" w:cs="Times New Roman"/>
                <w:b w:val="0"/>
                <w:i/>
                <w:iCs/>
                <w:szCs w:val="20"/>
              </w:rPr>
              <w:t>Panderaja Soritua Sijabat</w:t>
            </w:r>
            <w:r w:rsidR="00373B88" w:rsidRPr="00DD1383">
              <w:rPr>
                <w:rFonts w:ascii="Times New Roman" w:hAnsi="Times New Roman" w:cs="Times New Roman"/>
                <w:b w:val="0"/>
                <w:i/>
                <w:iCs/>
                <w:szCs w:val="20"/>
                <w:vertAlign w:val="superscript"/>
              </w:rPr>
              <w:t>1)</w:t>
            </w:r>
            <w:r w:rsidR="00373B88" w:rsidRPr="00DD1383">
              <w:rPr>
                <w:rFonts w:ascii="Times New Roman" w:hAnsi="Times New Roman" w:cs="Times New Roman"/>
                <w:b w:val="0"/>
                <w:i/>
                <w:iCs/>
                <w:szCs w:val="20"/>
              </w:rPr>
              <w:t xml:space="preserve">  </w:t>
            </w:r>
            <w:r w:rsidRPr="00DD1383">
              <w:rPr>
                <w:rStyle w:val="Hyperlink"/>
                <w:rFonts w:ascii="Times New Roman" w:hAnsi="Times New Roman" w:cs="Times New Roman"/>
                <w:b w:val="0"/>
                <w:i/>
                <w:iCs/>
                <w:szCs w:val="20"/>
              </w:rPr>
              <w:t>pande.sijabat@gmail.com</w:t>
            </w:r>
          </w:p>
          <w:p w:rsidR="00373B88" w:rsidRPr="00584A8C" w:rsidRDefault="00584A8C" w:rsidP="00373B88">
            <w:pPr>
              <w:autoSpaceDE w:val="0"/>
              <w:autoSpaceDN w:val="0"/>
              <w:adjustRightInd w:val="0"/>
              <w:jc w:val="center"/>
              <w:rPr>
                <w:rFonts w:ascii="Times New Roman" w:hAnsi="Times New Roman" w:cs="Times New Roman"/>
                <w:b w:val="0"/>
                <w:i/>
                <w:iCs/>
                <w:szCs w:val="20"/>
              </w:rPr>
            </w:pPr>
            <w:r w:rsidRPr="00584A8C">
              <w:rPr>
                <w:rFonts w:ascii="Times New Roman" w:hAnsi="Times New Roman" w:cs="Times New Roman"/>
                <w:b w:val="0"/>
                <w:i/>
                <w:iCs/>
                <w:szCs w:val="20"/>
              </w:rPr>
              <w:t>Marudut Bernadtua Simanjuntak</w:t>
            </w:r>
            <w:bookmarkStart w:id="1" w:name="_GoBack"/>
            <w:bookmarkEnd w:id="1"/>
            <w:r w:rsidR="00C12FC6">
              <w:rPr>
                <w:rFonts w:ascii="Times New Roman" w:hAnsi="Times New Roman" w:cs="Times New Roman"/>
                <w:b w:val="0"/>
                <w:i/>
                <w:iCs/>
                <w:szCs w:val="20"/>
                <w:vertAlign w:val="superscript"/>
              </w:rPr>
              <w:t>2</w:t>
            </w:r>
            <w:r w:rsidR="00373B88" w:rsidRPr="00584A8C">
              <w:rPr>
                <w:rFonts w:ascii="Times New Roman" w:hAnsi="Times New Roman" w:cs="Times New Roman"/>
                <w:b w:val="0"/>
                <w:i/>
                <w:iCs/>
                <w:szCs w:val="20"/>
                <w:vertAlign w:val="superscript"/>
              </w:rPr>
              <w:t>)</w:t>
            </w:r>
            <w:r w:rsidR="00373B88" w:rsidRPr="00584A8C">
              <w:rPr>
                <w:rFonts w:ascii="Times New Roman" w:hAnsi="Times New Roman" w:cs="Times New Roman"/>
                <w:b w:val="0"/>
                <w:i/>
                <w:iCs/>
                <w:szCs w:val="20"/>
              </w:rPr>
              <w:t xml:space="preserve">  </w:t>
            </w:r>
            <w:hyperlink r:id="rId10" w:history="1">
              <w:r w:rsidRPr="00584A8C">
                <w:rPr>
                  <w:rStyle w:val="Hyperlink"/>
                  <w:rFonts w:ascii="Times New Roman" w:hAnsi="Times New Roman" w:cs="Times New Roman"/>
                  <w:b w:val="0"/>
                  <w:i/>
                  <w:iCs/>
                  <w:szCs w:val="20"/>
                </w:rPr>
                <w:t>bernadmarudut@gmail.com</w:t>
              </w:r>
            </w:hyperlink>
          </w:p>
          <w:p w:rsidR="009E2290" w:rsidRPr="00BB59B9"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BB59B9" w:rsidRDefault="00373B88" w:rsidP="003C5E0E">
            <w:pPr>
              <w:autoSpaceDE w:val="0"/>
              <w:autoSpaceDN w:val="0"/>
              <w:adjustRightInd w:val="0"/>
              <w:jc w:val="center"/>
              <w:rPr>
                <w:rFonts w:ascii="Times New Roman" w:hAnsi="Times New Roman" w:cs="Times New Roman"/>
                <w:b w:val="0"/>
                <w:i/>
                <w:iCs/>
                <w:szCs w:val="20"/>
                <w:lang w:val="en-US"/>
              </w:rPr>
            </w:pPr>
            <w:r w:rsidRPr="00BB59B9">
              <w:rPr>
                <w:rFonts w:ascii="Times New Roman" w:hAnsi="Times New Roman" w:cs="Times New Roman"/>
                <w:b w:val="0"/>
                <w:i/>
                <w:iCs/>
                <w:szCs w:val="20"/>
                <w:lang w:val="en-US"/>
              </w:rPr>
              <w:t xml:space="preserve">Maritime Institute </w:t>
            </w:r>
            <w:r w:rsidRPr="00BB59B9">
              <w:rPr>
                <w:rFonts w:ascii="Times New Roman" w:hAnsi="Times New Roman" w:cs="Times New Roman"/>
                <w:b w:val="0"/>
                <w:i/>
                <w:iCs/>
                <w:szCs w:val="20"/>
              </w:rPr>
              <w:t xml:space="preserve">of </w:t>
            </w:r>
            <w:r w:rsidRPr="00BB59B9">
              <w:rPr>
                <w:rFonts w:ascii="Times New Roman" w:hAnsi="Times New Roman" w:cs="Times New Roman"/>
                <w:b w:val="0"/>
                <w:i/>
                <w:iCs/>
                <w:szCs w:val="20"/>
                <w:lang w:val="en-US"/>
              </w:rPr>
              <w:t>Jakarta (S</w:t>
            </w:r>
            <w:r w:rsidRPr="00BB59B9">
              <w:rPr>
                <w:rFonts w:ascii="Times New Roman" w:hAnsi="Times New Roman" w:cs="Times New Roman"/>
                <w:b w:val="0"/>
                <w:i/>
                <w:iCs/>
                <w:szCs w:val="20"/>
              </w:rPr>
              <w:t xml:space="preserve">ekolah </w:t>
            </w:r>
            <w:r w:rsidRPr="00BB59B9">
              <w:rPr>
                <w:rFonts w:ascii="Times New Roman" w:hAnsi="Times New Roman" w:cs="Times New Roman"/>
                <w:b w:val="0"/>
                <w:i/>
                <w:iCs/>
                <w:szCs w:val="20"/>
                <w:lang w:val="en-US"/>
              </w:rPr>
              <w:t>T</w:t>
            </w:r>
            <w:r w:rsidRPr="00BB59B9">
              <w:rPr>
                <w:rFonts w:ascii="Times New Roman" w:hAnsi="Times New Roman" w:cs="Times New Roman"/>
                <w:b w:val="0"/>
                <w:i/>
                <w:iCs/>
                <w:szCs w:val="20"/>
              </w:rPr>
              <w:t xml:space="preserve">inggi </w:t>
            </w:r>
            <w:r w:rsidRPr="00BB59B9">
              <w:rPr>
                <w:rFonts w:ascii="Times New Roman" w:hAnsi="Times New Roman" w:cs="Times New Roman"/>
                <w:b w:val="0"/>
                <w:i/>
                <w:iCs/>
                <w:szCs w:val="20"/>
                <w:lang w:val="en-US"/>
              </w:rPr>
              <w:t>I</w:t>
            </w:r>
            <w:r w:rsidRPr="00BB59B9">
              <w:rPr>
                <w:rFonts w:ascii="Times New Roman" w:hAnsi="Times New Roman" w:cs="Times New Roman"/>
                <w:b w:val="0"/>
                <w:i/>
                <w:iCs/>
                <w:szCs w:val="20"/>
              </w:rPr>
              <w:t xml:space="preserve">lmu </w:t>
            </w:r>
            <w:r w:rsidRPr="00BB59B9">
              <w:rPr>
                <w:rFonts w:ascii="Times New Roman" w:hAnsi="Times New Roman" w:cs="Times New Roman"/>
                <w:b w:val="0"/>
                <w:i/>
                <w:iCs/>
                <w:szCs w:val="20"/>
                <w:lang w:val="en-US"/>
              </w:rPr>
              <w:t>P</w:t>
            </w:r>
            <w:r w:rsidRPr="00BB59B9">
              <w:rPr>
                <w:rFonts w:ascii="Times New Roman" w:hAnsi="Times New Roman" w:cs="Times New Roman"/>
                <w:b w:val="0"/>
                <w:i/>
                <w:iCs/>
                <w:szCs w:val="20"/>
              </w:rPr>
              <w:t xml:space="preserve">elayaran - </w:t>
            </w:r>
            <w:r w:rsidRPr="00BB59B9">
              <w:rPr>
                <w:rFonts w:ascii="Times New Roman" w:hAnsi="Times New Roman" w:cs="Times New Roman"/>
                <w:b w:val="0"/>
                <w:i/>
                <w:iCs/>
                <w:szCs w:val="20"/>
                <w:lang w:val="en-US"/>
              </w:rPr>
              <w:t xml:space="preserve"> Jakarta)</w:t>
            </w:r>
          </w:p>
          <w:p w:rsidR="003C5E0E" w:rsidRPr="00BB59B9"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BB59B9">
              <w:rPr>
                <w:rFonts w:ascii="Times New Roman" w:hAnsi="Times New Roman" w:cs="Times New Roman"/>
                <w:b w:val="0"/>
                <w:i/>
                <w:iCs/>
                <w:szCs w:val="20"/>
                <w:lang w:val="en-US"/>
              </w:rPr>
              <w:t xml:space="preserve">Jl. Marunda </w:t>
            </w:r>
            <w:proofErr w:type="spellStart"/>
            <w:r w:rsidRPr="00BB59B9">
              <w:rPr>
                <w:rFonts w:ascii="Times New Roman" w:hAnsi="Times New Roman" w:cs="Times New Roman"/>
                <w:b w:val="0"/>
                <w:i/>
                <w:iCs/>
                <w:szCs w:val="20"/>
                <w:lang w:val="en-US"/>
              </w:rPr>
              <w:t>Makmur</w:t>
            </w:r>
            <w:proofErr w:type="spellEnd"/>
            <w:r w:rsidRPr="00BB59B9">
              <w:rPr>
                <w:rFonts w:ascii="Times New Roman" w:hAnsi="Times New Roman" w:cs="Times New Roman"/>
                <w:b w:val="0"/>
                <w:i/>
                <w:iCs/>
                <w:szCs w:val="20"/>
                <w:lang w:val="en-US"/>
              </w:rPr>
              <w:t xml:space="preserve"> No.</w:t>
            </w:r>
            <w:r w:rsidR="00B81D9E" w:rsidRPr="00BB59B9">
              <w:rPr>
                <w:rFonts w:ascii="Times New Roman" w:hAnsi="Times New Roman" w:cs="Times New Roman"/>
                <w:b w:val="0"/>
                <w:i/>
                <w:iCs/>
                <w:szCs w:val="20"/>
                <w:lang w:val="en-US"/>
              </w:rPr>
              <w:t xml:space="preserve"> </w:t>
            </w:r>
            <w:r w:rsidRPr="00BB59B9">
              <w:rPr>
                <w:rFonts w:ascii="Times New Roman" w:hAnsi="Times New Roman" w:cs="Times New Roman"/>
                <w:b w:val="0"/>
                <w:i/>
                <w:iCs/>
                <w:szCs w:val="20"/>
                <w:lang w:val="en-US"/>
              </w:rPr>
              <w:t xml:space="preserve">1 </w:t>
            </w:r>
            <w:proofErr w:type="spellStart"/>
            <w:r w:rsidRPr="00BB59B9">
              <w:rPr>
                <w:rFonts w:ascii="Times New Roman" w:hAnsi="Times New Roman" w:cs="Times New Roman"/>
                <w:b w:val="0"/>
                <w:i/>
                <w:iCs/>
                <w:szCs w:val="20"/>
                <w:lang w:val="en-US"/>
              </w:rPr>
              <w:t>Cilincing</w:t>
            </w:r>
            <w:proofErr w:type="spellEnd"/>
            <w:r w:rsidRPr="00BB59B9">
              <w:rPr>
                <w:rFonts w:ascii="Times New Roman" w:hAnsi="Times New Roman" w:cs="Times New Roman"/>
                <w:b w:val="0"/>
                <w:i/>
                <w:iCs/>
                <w:szCs w:val="20"/>
                <w:lang w:val="en-US"/>
              </w:rPr>
              <w:t>, Jakarta Utara. Jakarta 14150</w:t>
            </w:r>
          </w:p>
          <w:p w:rsidR="003C5E0E" w:rsidRPr="00BB59B9"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B59B9" w:rsidRDefault="00E26505" w:rsidP="00635CBD">
      <w:pPr>
        <w:spacing w:after="0" w:line="240" w:lineRule="auto"/>
        <w:jc w:val="center"/>
        <w:rPr>
          <w:rFonts w:ascii="Times New Roman" w:hAnsi="Times New Roman" w:cs="Times New Roman"/>
          <w:b/>
          <w:i/>
          <w:color w:val="000000" w:themeColor="text1"/>
          <w:sz w:val="20"/>
          <w:szCs w:val="20"/>
        </w:rPr>
      </w:pPr>
      <w:r w:rsidRPr="00BB59B9">
        <w:rPr>
          <w:rFonts w:ascii="Times New Roman" w:hAnsi="Times New Roman" w:cs="Times New Roman"/>
          <w:b/>
          <w:i/>
          <w:color w:val="000000" w:themeColor="text1"/>
          <w:sz w:val="20"/>
          <w:szCs w:val="20"/>
        </w:rPr>
        <w:t>Abstract</w:t>
      </w:r>
    </w:p>
    <w:p w:rsidR="008D0AEE" w:rsidRPr="00BB59B9" w:rsidRDefault="00B4144E" w:rsidP="008D0AEE">
      <w:pPr>
        <w:spacing w:after="0" w:line="240" w:lineRule="auto"/>
        <w:jc w:val="both"/>
        <w:rPr>
          <w:rFonts w:ascii="Times New Roman" w:eastAsia="Calibri" w:hAnsi="Times New Roman" w:cs="Times New Roman"/>
          <w:i/>
          <w:sz w:val="20"/>
          <w:szCs w:val="20"/>
        </w:rPr>
      </w:pPr>
      <w:r w:rsidRPr="00BB59B9">
        <w:rPr>
          <w:rFonts w:ascii="Times New Roman" w:eastAsia="Calibri" w:hAnsi="Times New Roman" w:cs="Times New Roman"/>
          <w:i/>
          <w:sz w:val="20"/>
          <w:szCs w:val="20"/>
        </w:rPr>
        <w:t>This research investigates language instruction strategies and professionalism alignment within maritime education, focusing on 45 junior cadets. Through qualitative analysis, findings reveal varying language proficiency levels among cadets, with a predominant need for technical terminology mastery and communicative competence. Additionally, cadets emphasize the importance of practical learning experiences, such as shipboard training, and the integration of cross-cultural competence training. The research highlights the alignment between language instruction practices and international standards, notably the International Maritime Organization's (IMO) Standards of Training, Certification, and Watchkeeping (STCW) convention. Moreover, professionalism attributes, including safety awareness, ethical conduct, and leadership skills, are identified as integral components of maritime education. Recommendations include the integration of specialized language resources, continuous evaluation of instructional practices, and the promotion of ethical leadership. By addressing language instruction needs and professionalism requirements, maritime education institutions can enhance cadets' readiness for successful careers in the maritime industry.</w:t>
      </w:r>
    </w:p>
    <w:p w:rsidR="00E26505" w:rsidRPr="00BB59B9"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B59B9"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BB59B9" w:rsidRDefault="00E26505" w:rsidP="00B4144E">
            <w:pPr>
              <w:autoSpaceDE w:val="0"/>
              <w:autoSpaceDN w:val="0"/>
              <w:adjustRightInd w:val="0"/>
              <w:ind w:left="-105"/>
              <w:jc w:val="both"/>
              <w:rPr>
                <w:rFonts w:ascii="Times New Roman" w:hAnsi="Times New Roman" w:cs="Times New Roman"/>
                <w:b w:val="0"/>
                <w:color w:val="000000" w:themeColor="text1"/>
                <w:sz w:val="20"/>
                <w:szCs w:val="20"/>
              </w:rPr>
            </w:pPr>
            <w:r w:rsidRPr="00BB59B9">
              <w:rPr>
                <w:rFonts w:ascii="Times New Roman" w:eastAsia="Calibri" w:hAnsi="Times New Roman" w:cs="Times New Roman"/>
                <w:b w:val="0"/>
                <w:i/>
                <w:sz w:val="20"/>
                <w:szCs w:val="20"/>
              </w:rPr>
              <w:t>Keywords</w:t>
            </w:r>
            <w:r w:rsidR="003D1666" w:rsidRPr="00BB59B9">
              <w:rPr>
                <w:rFonts w:ascii="Times New Roman" w:eastAsia="Calibri" w:hAnsi="Times New Roman" w:cs="Times New Roman"/>
                <w:b w:val="0"/>
                <w:i/>
                <w:sz w:val="20"/>
                <w:szCs w:val="20"/>
              </w:rPr>
              <w:t xml:space="preserve"> : </w:t>
            </w:r>
            <w:r w:rsidR="00B4144E" w:rsidRPr="00BB59B9">
              <w:rPr>
                <w:rFonts w:ascii="Times New Roman" w:eastAsia="Calibri" w:hAnsi="Times New Roman" w:cs="Times New Roman"/>
                <w:b w:val="0"/>
                <w:i/>
                <w:sz w:val="20"/>
                <w:szCs w:val="20"/>
              </w:rPr>
              <w:t>Maritime education, Language instruction, Professionalism, International standards, Cadet readiness</w:t>
            </w:r>
          </w:p>
        </w:tc>
      </w:tr>
    </w:tbl>
    <w:p w:rsidR="00E26505" w:rsidRPr="00BB59B9"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BB59B9"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BB59B9" w:rsidSect="001E325F">
          <w:footerReference w:type="default" r:id="rId11"/>
          <w:type w:val="continuous"/>
          <w:pgSz w:w="11906" w:h="16838"/>
          <w:pgMar w:top="1134" w:right="1134" w:bottom="1134" w:left="1134" w:header="709" w:footer="709" w:gutter="0"/>
          <w:cols w:space="708"/>
          <w:docGrid w:linePitch="360"/>
        </w:sect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B59B9">
        <w:rPr>
          <w:rFonts w:ascii="Times New Roman" w:eastAsia="Calibri" w:hAnsi="Times New Roman" w:cs="Times New Roman"/>
          <w:b/>
          <w:bCs/>
        </w:rPr>
        <w:lastRenderedPageBreak/>
        <w:t>INTRODUCTION</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education stands as a cornerstone in preparing individuals for the complexities and challenges of the maritime industry. With the maritime sector serving as a vital artery of global trade and commerce, the demand for well-trained professionals equipped with requisite skills and competencies remains paramount. Central to the preparation of these individuals is the cultivation of literacy skills, particularly in the domain of language proficiency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2712-0554","author":[{"dropping-particle":"","family":"Saray","given":"Sercan","non-dropping-particle":"","parse-names":false,"suffix":""},{"dropping-particle":"","family":"Satır","given":"Tanzer","non-dropping-particle":"","parse-names":false,"suffix":""},{"dropping-particle":"","family":"Dogan-Saglamtimur","given":"Neslihan","non-dropping-particle":"","parse-names":false,"suffix":""}],"container-title":"Heritage and Sustainable Development","id":"ITEM-1","issue":"1","issued":{"date-parts":[["2021"]]},"page":"6-15","title":"Proficiency of Maritime English course: An investigation in Istanbul, Turkey","type":"article-journal","volume":"3"},"uris":["http://www.mendeley.com/documents/?uuid=21341cbe-fb74-4e00-9e75-3cae1170d5f3"]},{"id":"ITEM-2","itemData":{"DOI":"10.3233/isu-230199","ISBN":"0167-5265","abstract":"Cultivating the digital literacy of all citizens, especially for college students, would contribute to the construction of a ‘Learning Society’ where everybody loves learning and would offer a powerful impetus for building a modern country. First, this paper reviews the origins and general definitions of computer literacy, network literacy, media literacy, information literacy and digital literacy. Compared with similar terminologies, digital literacy features the subjective initiatives to actively improve one’s and others’ skills, competence, awareness and thinking mode for adapting to, qualifying for and creating a new digital age and society. Second, the internal logic in the Digital Literacy Framework of College Students (DLFCS) can be summarized as ‘Skills-Competencies-Awareness’ attributing to the evolution progress of ‘digital technologies utilization, actual problems solving, and digital awareness cultivation’. Following this logic, this paper develops the DLFCS through scene-based requirements analysis and professional consultations, including three areas (i.e. operational skills, applied competencies, thinking &amp; awareness), identifying fifteen descriptors and their examples with key performances. Third, it measures the self-perception and actual performance of college students digital literacy by questionnaire, Q&amp;A tests and task evaluation, and validates the completeness and validity of the DLFCS by Pearson correlation analysis of datasets collected in three modes. The results indicate that (a) the fifteen descriptors in DLFCS basically cover the essential areas of digital literacy with extremely weak correlations among them, (b) the relationships of progressive and intertwined ‘Skills-Competencies-Awareness’ demonstrate the validity of the internal logic and DLFCS itself, (c) to be digitally literate requires long-term and gradually-progressed cultivation and improvement, as achieving one descriptor of digital literacy proficiently does not guarantee good performance on the other descriptors.","author":[{"dropping-particle":"","family":"Wu","given":"Danning","non-dropping-particle":"","parse-names":false,"suffix":""}],"container-title":"Information Services &amp;amp; Use","id":"ITEM-2","issued":{"date-parts":[["2023"]]},"page":"1-23","publisher":"IOS Press","title":"Exploring digital literacy in the era of digital civilization: A framework for college students in China","type":"article"},"uris":["http://www.mendeley.com/documents/?uuid=5db9d96d-d55a-4776-9741-79c8e8ffbde1"]}],"mendeley":{"formattedCitation":"(Saray et al., 2021; Wu, 2023)","plainTextFormattedCitation":"(Saray et al., 2021; Wu, 2023)","previouslyFormattedCitation":"(Saray et al., 2021; Wu, 2023)"},"properties":{"noteIndex":0},"schema":"https://github.com/citation-style-language/schema/raw/master/csl-citation.json"}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(Saray et al., 2021; Wu, 2023)</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Effective language instruction not only facilitates communication but also underpins critical aspects of maritime operations, safety, and regulatory compliance. This introduction sets the stage for an in-depth exploration into the realm of empowering literacy in maritime education, elucidating the significance of effective language instruction strategies within the context of international standardized programs.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The maritime industry operates within a multicultural and multilingual milieu, characterized by diverse crews hailing from various linguistic backgrounds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{"citationItems":[{"id":"ITEM-1","itemData":{"author":[{"dropping-particle":"","family":"Vivanet","given":"Giuliano","non-dropping-particle":"","parse-names":false,"suffix":""}],"container-title":"CONSULTING EDITORS","id":"ITEM-1","issued":{"date-parts":[["0"]]},"page":"183","publisher":"Citeseer","title":"The Routledge Handbook of Corpus Linguistics","type":"article-journal"},"uris":["http://www.mendeley.com/documents/?uuid=3a5d6049-d6e1-4294-94e4-d55a2c13a624"]}],"mendeley":{"formattedCitation":"(Vivanet, n.d.)","plainTextFormattedCitation":"(Vivanet, n.d.)","previouslyFormattedCitation":"(Vivanet, n.d.)"},"properties":{"noteIndex":0},"schema":"https://github.com/citation-style-language/schema/raw/master/csl-citation.json"}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(Vivanet, n.d.)</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In this interconnected landscape, effective communication serves as the bedrock of safe and efficient maritime operations. However, despite its paramount importance, language barriers persist as formidable obstacles, impeding effective communication and posing inherent risks to maritime safety and security. Recognizing the pivotal role of language proficiency in mitigating these challenges, maritime education institutions have increasingly prioritized the integration of language instruction programs into their curricula</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{"citationItems":[{"id":"ITEM-1","itemData":{"ISSN":"0039-8322","author":[{"dropping-particle":"","family":"Norton","given":"Bonny","non-dropping-particle":"","parse-names":false,"suffix":""}],"container-title":"TESOL quarterly","id":"ITEM-1","issue":"3","issued":{"date-parts":[["1997"]]},"page":"409-429","publisher":"Wiley Online Library","title":"Language, identity, and the ownership of English","type":"article-journal","volume":"31"},"uris":["http://www.mendeley.com/documents/?uuid=32771d3c-f2be-4dc3-87f2-9d86978bdcb0"]}],"mendeley":{"formattedCitation":"(Norton, 1997)","plainTextFormattedCitation":"(Norton, 1997)","previouslyFormattedCitation":"(Norton, 1997)"},"properties":{"noteIndex":0},"schema":"https://github.com/citation-style-language/schema/raw/master/csl-citation.json"}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(Norton, 1997)</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This trend reflects a broader acknowledgment of the imperative need to empower cadets with the linguistic competencies requisite for seamless interaction within the maritime domain.</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Against this backdrop, the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delve into the intricacies of language instruction within the realm of maritime education, with a specific focus on the strategies employed to enhance literacy skills among cadets. The study is situated within the context of a Maritime Institute, Marine School, and Vocational Schools, institutions that epitomize the convergence of theoretical knowledge and practical skills necessary for success in the maritime profession. By examining the effectiveness of language instruction strategies within these educational settings, the research seeks to elucidate the nuances of linguistic empowerment in maritime </w:t>
      </w:r>
      <w:r w:rsidRPr="00BB59B9">
        <w:rPr>
          <w:rFonts w:ascii="Times New Roman" w:eastAsia="Calibri" w:hAnsi="Times New Roman" w:cs="Times New Roman"/>
          <w:bCs/>
          <w:lang w:val="en-ID"/>
        </w:rPr>
        <w:lastRenderedPageBreak/>
        <w:t>education, thereby contributing to the broader discourse surrounding language proficiency enhancement in professional contexts.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Aligned with international standards set forth by the International Maritime Organization (IMO), notably the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the research underscores the imperative of adhering to globally recognized benchmarks in maritime education</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examinations","type":"book"},"uris":["http://www.mendeley.com/documents/?uuid=df3436ef-f62f-472e-9711-aa0119512366"]}],"mendeley":{"formattedCitation":"(House &amp; Saeed, 2016; IMO, 2018)","plainTextFormattedCitation":"(House &amp; Saeed, 2016; IMO, 2018)","previouslyFormattedCitation":"(House &amp; Saeed, 2016; IMO, 2018)"},"properties":{"noteIndex":0},"schema":"https://github.com/citation-style-language/schema/raw/master/csl-citation.json"}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(House &amp; Saeed, 2016; IMO, 2018)</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These standards serve as guiding principles, delineating the competencies and qualifications requisite for maritime professionals worldwide. Within this framework, language proficiency emerges as a fundamental component, encompassing both technical jargon and communicative proficiency necessary for effective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communication, documentation, and compliance with international regulations.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purpose of this research, therefore, is twofold. Firstly, it aims to critically examine the efficacy of existing language instruction strategies employed within maritime education institutions, elucidating their strengths, weaknesses, and potential areas for improvement. Through qualitative research methodologies, including descriptive analysis, the study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provide nuanced insights into the pedagogical practices prevalent within these institutions, shedding light on their alignment with international standards and their efficacy in fostering linguistic empowerment among cadets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Philippines.","type":"article"},"uris":["http://www.mendeley.com/documents/?uuid=b8aabb5b-7ac1-4525-a3b4-23bd221ad97d"]}],"mendeley":{"formattedCitation":"(Abila, 2016)","plainTextFormattedCitation":"(Abila, 2016)","previouslyFormattedCitation":"(Abila, 2016)"},"properties":{"noteIndex":0},"schema":"https://github.com/citation-style-language/schema/raw/master/csl-citation.json"}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(Abila, 2016)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Secondly, the research seeks to contribute to the body of knowledge surrounding language proficiency enhancement in maritime education, offering practical recommendations and insights gleaned from empirical data. By synthesizing theoretical frameworks from literacy studies, language acquisition theories, and maritime education paradigms, the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inform pedagogical practices and policy frameworks conducive to fostering linguistic proficiency among maritime cadets. Ultimately, the overarching goal is to cultivate a conducive educational environment that equips cadets with the requisite language skills to navigate the complexities of the maritime profession effectively.</w:t>
      </w:r>
    </w:p>
    <w:p w:rsidR="00DA1E36"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T</w:t>
      </w:r>
      <w:r w:rsidRPr="00BB59B9">
        <w:rPr>
          <w:rFonts w:ascii="Times New Roman" w:eastAsia="Calibri" w:hAnsi="Times New Roman" w:cs="Times New Roman"/>
          <w:bCs/>
          <w:lang w:val="en-ID"/>
        </w:rPr>
        <w:t xml:space="preserve">his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illuminate the critical nexus between language proficiency and maritime education, with a particular emphasis on the efficacy of language instruction strategies within international standardized programs. By delving into the nuances of linguistic empowerment in maritime contexts, the study aspires to inform pedagogical practices, policy frameworks, and educational initiatives aimed at nurturing the next generation of competent and proficient maritime professionals.</w:t>
      </w:r>
    </w:p>
    <w:p w:rsidR="00B4144E"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BB59B9"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lang w:val="en-US"/>
        </w:rPr>
        <w:t>MET</w:t>
      </w:r>
      <w:r w:rsidR="001E325F" w:rsidRPr="00BB59B9">
        <w:rPr>
          <w:rFonts w:ascii="Times New Roman" w:eastAsia="Calibri" w:hAnsi="Times New Roman" w:cs="Times New Roman"/>
          <w:b/>
          <w:bCs/>
        </w:rPr>
        <w:t>HOD</w:t>
      </w:r>
      <w:r w:rsidR="00762A79" w:rsidRPr="00BB59B9">
        <w:rPr>
          <w:rFonts w:ascii="Times New Roman" w:eastAsia="Calibri" w:hAnsi="Times New Roman" w:cs="Times New Roman"/>
          <w:b/>
          <w:bCs/>
        </w:rPr>
        <w:tab/>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research employs a qualitative methodology to investigate the effectiveness of language instruction strategies in empowering literacy within maritime education, with a specific focus on 45 junior cadets. Qualitative research is well-suited to exploring complex phenomena in-depth, capturing the nuances of participants' experiences, perspectives, and </w:t>
      </w:r>
      <w:proofErr w:type="spellStart"/>
      <w:r w:rsidRPr="00BB59B9">
        <w:rPr>
          <w:rFonts w:ascii="Times New Roman" w:eastAsia="Calibri" w:hAnsi="Times New Roman" w:cs="Times New Roman"/>
          <w:bCs/>
          <w:lang w:val="en-ID"/>
        </w:rPr>
        <w:t>behaviors</w:t>
      </w:r>
      <w:proofErr w:type="spellEnd"/>
      <w:r w:rsidRPr="00BB59B9">
        <w:rPr>
          <w:rFonts w:ascii="Times New Roman" w:eastAsia="Calibri" w:hAnsi="Times New Roman" w:cs="Times New Roman"/>
          <w:bCs/>
          <w:lang w:val="en-ID"/>
        </w:rPr>
        <w:t xml:space="preserve"> within naturalistic settings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design","type":"chapter"},"uris":["http://www.mendeley.com/documents/?uuid=11bd684d-4994-4ef4-8f86-6b412f8a34ef"]}],"mendeley":{"formattedCitation":"(Creswell &amp; Clark, 2011; Padgett, 2016)","plainTextFormattedCitation":"(Creswell &amp; Clark, 2011; Padgett, 2016)","previouslyFormattedCitation":"(Creswell &amp; Clark, 2011; Padgett, 2016)"},"properties":{"noteIndex":0},"schema":"https://github.com/citation-style-language/schema/raw/master/csl-citation.json"}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(Creswell &amp; Clark, 2011; Padgett, 2016)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Given the multifaceted nature of language proficiency enhancement in the maritime context, a qualitative approach enables a comprehensive exploration of the various factors influencing language instruction outcomes and cadets' proficiency levels.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The research participants consist of 45 junior cadets enrolled in maritime education programs at a Maritime Institute, Marine School, and Vocational Schools. These participants are selected purposively based on their </w:t>
      </w:r>
      <w:proofErr w:type="spellStart"/>
      <w:r w:rsidRPr="00BB59B9">
        <w:rPr>
          <w:rFonts w:ascii="Times New Roman" w:eastAsia="Calibri" w:hAnsi="Times New Roman" w:cs="Times New Roman"/>
          <w:bCs/>
          <w:lang w:val="en-ID"/>
        </w:rPr>
        <w:t>enrollment</w:t>
      </w:r>
      <w:proofErr w:type="spellEnd"/>
      <w:r w:rsidRPr="00BB59B9">
        <w:rPr>
          <w:rFonts w:ascii="Times New Roman" w:eastAsia="Calibri" w:hAnsi="Times New Roman" w:cs="Times New Roman"/>
          <w:bCs/>
          <w:lang w:val="en-ID"/>
        </w:rPr>
        <w:t xml:space="preserve"> in programs aligned with international standardized curricula, particularly those adhering to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Junior cadets are chosen as the focal demographic due to their status as emerging professionals within the maritime industry, making them particularly relevant for assessing the efficacy of language instruction strategies in preparing future maritime professionals.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collection methods encompass semi-structured interviews, focus group discussions, and document analysis, thereby facilitating a multifaceted examination of language instruction practices and outcomes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{"citationItems":[{"id":"ITEM-1","itemData":{"ISBN":"9792171312","author":[{"dropping-particle":"","family":"Sarosa","given":"Samiaji","non-dropping-particle":"","parse-names":false,"suffix":""}],"id":"ITEM-1","issued":{"date-parts":[["2021"]]},"publisher":"Pt Kanisius","title":"Analisis Data Penelitian Kualitatif","type":"book"},"uris":["http://www.mendeley.com/documents/?uuid=c6cebd80-945a-40ea-9a5f-5940ad1d213b"]},{"id":"ITEM-2","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change","id":"ITEM-2","issued":{"date-parts":[["2018"]]},"page":"3-13","publisher":"Elsevier","title":"Big data analytics: Understanding its capabilities and potential benefits for healthcare organizations","type":"article-journal","volume":"126"},"uris":["http://www.mendeley.com/documents/?uuid=1020976a-c216-4839-8940-1478152e8eeb"]}],"mendeley":{"formattedCitation":"(Sarosa, 2021; Wang et al., 2018)","plainTextFormattedCitation":"(Sarosa, 2021; Wang et al., 2018)","previouslyFormattedCitation":"(Sarosa, 2021; Wang et al., 2018)"},"properties":{"noteIndex":0},"schema":"https://github.com/citation-style-language/schema/raw/master/csl-citation.json"}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(Sarosa, 2021; Wang et al., 2018)</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Semi-structured interviews afford researchers the flexibility to probe participants' perspectives, experiences, and attitudes towards language instruction, allowing for the exploration of both individual and collective viewpoints. Focus group discussions complement the interview data by fostering interactive dialogue among participants, thereby elucidating shared experiences, perceptions, and challenges related to language proficiency enhancement.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In addition to qualitative interviews and focus group discussions, document analysis is employed to supplement the empirical data gathered from participants. Documents such as course syllabi, instructional materials, and assessment rubrics are scrutinized to discern patterns, trends, and disparities in language instruction methodologies and pedagogical approaches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fieldwork","type":"article-journal","volume":"1"},"uris":["http://www.mendeley.com/documents/?uuid=8d5db346-d67f-40fc-a644-736d6c8884fd"]}],"mendeley":{"formattedCitation":"(Katz, 2015)","plainTextFormattedCitation":"(Katz, 2015)","previouslyFormattedCitation":"(Katz, 2015)"},"properties":{"noteIndex":0},"schema":"https://github.com/citation-style-language/schema/raw/master/csl-citation.json"}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(Katz, 2015)</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Document analysis offers valuable insights into the formalized aspects of language instruction within maritime education programs, providing context for interpreting participants' perceptions and experiences.</w:t>
      </w:r>
    </w:p>
    <w:p w:rsidR="00190277" w:rsidRPr="00BB59B9" w:rsidRDefault="00B4144E" w:rsidP="00A20815">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Data analysis is conducted iteratively and thematically, guided by principles of grounded theory and constant comparative analysis. Initially, data from interviews, focus group discussions, and document analysis </w:t>
      </w:r>
      <w:r w:rsidRPr="00BB59B9">
        <w:rPr>
          <w:rFonts w:ascii="Times New Roman" w:eastAsia="Calibri" w:hAnsi="Times New Roman" w:cs="Times New Roman"/>
          <w:bCs/>
          <w:lang w:val="en-ID"/>
        </w:rPr>
        <w:lastRenderedPageBreak/>
        <w:t>are transcribed and coded to identify emergent themes, patterns, and categories relevant to the research objectives. These initial codes are refined and organized into thematic frameworks, allowing for the systematic exploration of key concepts such as language proficiency levels, instructional methodologies, challenges, and best practices in language instruction within maritime education settings.</w:t>
      </w:r>
      <w:r w:rsidRPr="00BB59B9">
        <w:rPr>
          <w:rFonts w:ascii="Times New Roman" w:eastAsia="Calibri" w:hAnsi="Times New Roman" w:cs="Times New Roman"/>
          <w:bCs/>
        </w:rPr>
        <w:t xml:space="preserve"> </w:t>
      </w:r>
    </w:p>
    <w:p w:rsidR="00B53B02" w:rsidRPr="00BB59B9"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RESULT AND DISCUSSION</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3.1. Result</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3.1.1. </w:t>
      </w:r>
      <w:r w:rsidR="00BB59B9" w:rsidRPr="00BB59B9">
        <w:rPr>
          <w:rFonts w:ascii="Times New Roman" w:eastAsia="Calibri" w:hAnsi="Times New Roman" w:cs="Times New Roman"/>
          <w:b/>
          <w:bCs/>
        </w:rPr>
        <w:t>Insights into the effectiveness of language instruction strategies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findings of the research offer valuable insights into the effectiveness of language instruction strategies in empowering literacy within maritime education, as perceived by 45 junior cadets enrolled in international standardized programs aligned with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Through qualitative analysis of semi-structured interviews, focus group discussions, and document analysis, key themes emerged regarding language proficiency levels, instructional methodologies, challenges, and best practices in language instruction within maritime education settings.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research revealed a spectrum of language proficiency levels among junior cadets, ranging from basic to advanced proficiency. Table 1 provides an overview of cadets' self-assessed 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Cadets' Self-Assessed Language Proficiency Levels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69"/>
        <w:gridCol w:w="4371"/>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Language Proficiency Level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Basic</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Intermediate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45%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Advanced</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self-identified as having intermediate language proficiency, indicating a moderate level of competence in maritime communication. However, a notable proportion reported basic proficiency levels, underscoring the need for targeted language instruction interventions to address gaps in linguistic competencies among certain cadets.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Cadets' perceptions of instructional methodologies varied, with preferences for experiential learning approaches such as shipboard training and maritime simulations. Table 2 outlines cadets' preferences for 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Cadets' Preferences for Instructional Methodologies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6"/>
        <w:gridCol w:w="4444"/>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Instructional Methodology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Shipboard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60%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Classroom-based Instruction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15%</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majority of cadets expressed a preference for shipboard training, citing its effectiveness in contextualizing language instruction within real-world maritime scenarios. Maritime simulations were also </w:t>
      </w:r>
      <w:proofErr w:type="spellStart"/>
      <w:r w:rsidRPr="00BB59B9">
        <w:rPr>
          <w:rFonts w:ascii="Times New Roman" w:eastAsia="Calibri" w:hAnsi="Times New Roman" w:cs="Times New Roman"/>
          <w:bCs/>
          <w:lang w:val="en-ID"/>
        </w:rPr>
        <w:t>favored</w:t>
      </w:r>
      <w:proofErr w:type="spellEnd"/>
      <w:r w:rsidRPr="00BB59B9">
        <w:rPr>
          <w:rFonts w:ascii="Times New Roman" w:eastAsia="Calibri" w:hAnsi="Times New Roman" w:cs="Times New Roman"/>
          <w:bCs/>
          <w:lang w:val="en-ID"/>
        </w:rPr>
        <w:t xml:space="preserve"> for their immersive and interactive nature, providing opportunities for practical application of language skills in simulated maritime environments.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Despite the perceived benefits of language instruction strategies, cadets identified several challenges hindering their language proficiency development. Table 3 highlights the most commonly cited 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Challenges in Language Proficiency Development</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77"/>
        <w:gridCol w:w="3563"/>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Limited Language Immersion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Diverse Linguistic Backgrounds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Insufficient Time for Language Instruction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Lack of Specialized Language Resources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lack of language immersion opportunities emerged as a predominant challenge, with cadets expressing a desire for more immersive learning experiences to enhance their language skills. Additionally, </w:t>
      </w:r>
      <w:r w:rsidRPr="00BB59B9">
        <w:rPr>
          <w:rFonts w:ascii="Times New Roman" w:eastAsia="Calibri" w:hAnsi="Times New Roman" w:cs="Times New Roman"/>
          <w:bCs/>
          <w:lang w:val="en-ID"/>
        </w:rPr>
        <w:lastRenderedPageBreak/>
        <w:t>the diverse linguistic backgrounds of cadets posed challenges in standardizing language instruction programs, necessitating tailored approaches to accommodate varying proficiency levels and language preferences.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Best Practices: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 identifying best practices for language instruction, cadets emphasized the importance of interactive and contextualized learning experiences. Table 4 highlights cadets' recommendations for effective language instruction:</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4: Recommendations for Effective Language Instruction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4"/>
        <w:gridCol w:w="3916"/>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Recommendations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Incorporation of Role-Play Exercises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50%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Integration of Multimedia Resources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Emphasis on Practical Application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integration of role-play exercises was identified as a particularly effective pedagogical strategy for enhancing language proficiency, enabling cadets to simulate real-life communication scenarios and practice maritime terminology in context. Additionally, the integration of multimedia resources such as videos and interactive tutorials was deemed beneficial for engaging visual and auditory learners and reinforcing language concepts through diverse modalities.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Overall, the findings of the research underscore the importance of tailored and immersive language instruction strategies in empowering literacy within maritime education. By understanding cadets' language proficiency levels, preferences for instructional methodologies, challenges, and best practices, maritime education institutions can design targeted interventions to enhance language proficiency and prepare cadets for success in the maritime industry.</w:t>
      </w:r>
    </w:p>
    <w:p w:rsidR="00BB59B9" w:rsidRPr="00BB59B9"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3.1.2. </w:t>
      </w:r>
      <w:r w:rsidR="00BB59B9" w:rsidRPr="00BB59B9">
        <w:rPr>
          <w:rFonts w:ascii="Times New Roman" w:eastAsia="Calibri" w:hAnsi="Times New Roman" w:cs="Times New Roman"/>
          <w:b/>
          <w:bCs/>
        </w:rPr>
        <w:t>Analysis of Language Instruction Needs and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second phase of the research delved deeper into the specific language instruction needs and professionalism requirements within the maritime education domain, aligning with the standards set forth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By scrutinizing the intersection of language proficiency enhancement and professional development within maritime education, the research aimed to provide nuanced insights into the alignment between instructional practices and international standards, thereby bolstering the efficacy and relevance of language instruction programs.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An analysis of language instruction needs revealed a pressing demand for targeted interventions aimed at enhancing both technical and communicative language proficiency among maritime cadets. Table 1 provides an overview of cadets' perceived 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Language Instruction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61"/>
        <w:gridCol w:w="4079"/>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Language Instruction Needs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Technical Terminology Proficiency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Communicative Competence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35%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Documentation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identified technical terminology proficiency as a priority area for language instruction, highlighting the need to master specialized vocabulary and jargon specific to the maritime industry. Additionally, communicative competence emerged as a key focus, underscoring the importance of interpersonal communication skills, effective teamwork, and cultural sensitivity in maritime contexts. Furthermore, cadets expressed a need to develop proficiency in maritime documentation skills, including the accurate completion of logbooks, reports, and regulatory forms in compliance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 critical aspect of language instruction in maritime education revolves around cultivating professionalism and ethical conduct among cadets, in accordance with the standards outlined by IMO-STCW. Table 2 outlines cadets' perceptions of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Perceptions of Professionalism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20"/>
        <w:gridCol w:w="4120"/>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Aspects of Professionalism</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Safety Awareness and Compliance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Ethical Conduct and Integrity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Leadership and Teamwork</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 xml:space="preserve">Cadets emphasized the importance of safety awareness and compliance with maritime regulations as fundamental pillars of professionalism within the industry. Ethical conduct and integrity were also highlighted as essential attributes, reflecting the adherence to ethical standards, honesty, and transparency in maritime operations. Moreover, leadership and teamwork skills were deemed integral to fostering a culture of collaboration, accountability, and effective decision-making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analysis further explored the alignment between language instruction practices and the standards prescribed by IMO-STCW, encompassing International Maritime education, Marine Engineering, Applied and Equipped Vocational programs. Table 3 provides an overview of the perceived alignment between language instruction practices and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Alignment between Language Instruction Practices and IMO-STCW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6"/>
        <w:gridCol w:w="3724"/>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Alignment with International Standards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Adequate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50%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Partial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Limited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10%</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perceived a degree of alignment between language instruction practices and IMO-STCW standards, albeit with varying levels of comprehensiveness. While some cadets acknowledged the adequacy of language instruction programs in addressing the linguistic requirements outlined by international standards, others highlighted areas of partial alignment, suggesting opportunities for refinement and enhancement in certain aspects of language instruction.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Analysis and Implications: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findings underscore the multifaceted nature of language instruction needs and professionalism requirements within maritime education, emphasizing the interplay between technical proficiency, communicative competence, and ethical conduct in preparing cadets for success in the maritime industry. By aligning language instruction practices with international standards such as IMO-STCW, maritime education institutions can ensure the relevance, effectiveness, and professionalism of their educational programs, thereby equipping cadets with the requisite skills and competencies to navigate the complexities of the maritime profession.</w:t>
      </w:r>
      <w:r w:rsidRPr="00BB59B9">
        <w:rPr>
          <w:rFonts w:ascii="Times New Roman" w:eastAsia="Calibri" w:hAnsi="Times New Roman" w:cs="Times New Roman"/>
          <w:bCs/>
        </w:rPr>
        <w:t xml:space="preserve"> T</w:t>
      </w:r>
      <w:r w:rsidRPr="00BB59B9">
        <w:rPr>
          <w:rFonts w:ascii="Times New Roman" w:eastAsia="Calibri" w:hAnsi="Times New Roman" w:cs="Times New Roman"/>
          <w:bCs/>
          <w:lang w:val="en-ID"/>
        </w:rPr>
        <w:t>he analysis of language instruction needs and professionalism in maritime education provides valuable insights into the alignment between instructional practices and international standards, thereby informing pedagogical approaches, curriculum development, and policy frameworks aimed at fostering linguistic proficiency and professionalism among maritime cadets.</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3.2. Discussion</w:t>
      </w:r>
    </w:p>
    <w:p w:rsidR="00BB59B9" w:rsidRPr="00BB59B9" w:rsidRDefault="00190277" w:rsidP="00BB59B9">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rPr>
        <w:tab/>
      </w:r>
      <w:r w:rsidR="00BB59B9" w:rsidRPr="00BB59B9">
        <w:rPr>
          <w:rFonts w:ascii="Times New Roman" w:eastAsia="Calibri" w:hAnsi="Times New Roman" w:cs="Times New Roman"/>
          <w:bCs/>
          <w:lang w:val="en-ID"/>
        </w:rPr>
        <w:t>The discussion of the research findings sheds light on the nuanced interplay between language instruction strategies, professionalism requirements, and international standards within the maritime education domain. By synthesizing the two sets of findings regarding language instruction needs and professionalism in maritime education, this discussion aims to elucidate key insights, implications, and recommendations for enhancing language proficiency and professionalism among maritime cadets.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One of the central themes that emerged from the findings is the alignment between language instruction practices and the standards prescribed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The majority of cadets perceived a degree of alignment between language instruction practices and IMO-STCW standards, underscoring the efforts of maritime education institutions to adhere to internationally recognized benchmarks in preparing cadets for professional deployment within the maritime industry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industry","type":"paper-conference"},"uris":["http://www.mendeley.com/documents/?uuid=d9db06d6-f094-44a3-9b38-0b2cfd91e9e3"]}],"mendeley":{"formattedCitation":"(Gavalas et al., 2022; Plaza-Hernández et al., 2021)","plainTextFormattedCitation":"(Gavalas et al., 2022; Plaza-Hernández et al., 2021)","previouslyFormattedCitation":"(Gavalas et al., 2022; Plaza-Hernández et al., 2021)"},"properties":{"noteIndex":0},"schema":"https://github.com/citation-style-language/schema/raw/master/csl-citation.json"}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(Gavalas et al., 2022; Plaza-Hernández et al., 2021)</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However, it is noteworthy that some cadets highlighted areas of partial alignment, suggesting the need for further refinement and enhancement in certain aspects of language instruction to ensure comprehensive compliance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alignment with international standards has significant implications for the effectiveness and relevance of language instruction programs within maritime education. By adhering to IMO-STCW guidelines, maritime education institutions can ensure that their instructional practices are in sync with the linguistic requirements and professionalism standards expected of maritime professionals worldwide. Moreover, alignment with international standards enhances the portability of cadets' skills and certifications across different maritime jurisdictions, thereby facilitating global mobility and career advancement opportunities within the maritime industry.</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Another key finding of the research pertains to the language instruction needs identified by maritime cadets, encompassing technical terminology proficiency, communicative </w:t>
      </w:r>
      <w:r w:rsidRPr="00BB59B9">
        <w:rPr>
          <w:rFonts w:ascii="Times New Roman" w:eastAsia="Calibri" w:hAnsi="Times New Roman" w:cs="Times New Roman"/>
          <w:bCs/>
          <w:lang w:val="en-ID"/>
        </w:rPr>
        <w:lastRenderedPageBreak/>
        <w:t>competence, and maritime documentation skills. The research revealed a pressing demand for targeted interventions aimed at enhancing both technical and communicative language proficiency among cadets, reflecting the diverse linguistic and communicative challenges inherent in maritime contexts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Cooperation.","type":"article-journal"},"uris":["http://www.mendeley.com/documents/?uuid=39d85b0e-ad29-4b6f-8979-217fb76d6d26"]}],"mendeley":{"formattedCitation":"(Thiel, 1996)","plainTextFormattedCitation":"(Thiel, 1996)"},"properties":{"noteIndex":0},"schema":"https://github.com/citation-style-language/schema/raw/master/csl-citation.json"}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(Thiel, 1996)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The emphasis on technical terminology proficiency underscores the importance of mastering specialized vocabulary and jargon specific to the maritime industry, which is essential for effective communication, safety compliance, and regulatory adherence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communicative competence highlights the importance of interpersonal communication skills, effective teamwork, and cultural sensitivity in fostering collaborative and cohesive work environments within maritime settings. Additionally, the need to develop proficiency in maritime documentation skills reflects the importance of accurate and standardized documentation practices in ensuring regulatory compliance, operational efficiency, and risk management in maritime operations.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Implications for Professionalism in Maritime Education:</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The analysis of professionalism requirements within maritime education revealed several key attributes deemed essential for cultivating professionalism among cadets, including safety awareness and compliance, ethical conduct and integrity, and leadership and teamwork skills. These attributes are integral to fostering a culture of safety, responsibility, and professionalism within the maritime industry, reflecting the broader objectives of IMO-STCW guidelines in promoting safe, secure, and environmentally sustainable maritime operations.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emphasis on safety awareness and compliance underscores the paramount importance of adhering to safety protocols, regulations, and best practices to mitigate risks and ensure the well-being of crew members, passengers, and cargo. Moreover, the emphasis on ethical conduct and integrity highlights the significance of upholding ethical standards, honesty, and transparency in all aspects of maritime operations, including decision-making, resource management, and interactions with stakeholders.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leadership and teamwork skills reflects the evolving nature of the maritime profession, which increasingly demands collaborative, adaptive, and solution-oriented approaches to addressing complex challenges and navigating dynamic operating environments. By cultivating leadership and teamwork skills among cadets, maritime education institutions can empower future maritime professionals to effectively lead and collaborate with diverse teams, drive innovation, and promote continuous improvement in maritime operations.</w:t>
      </w:r>
    </w:p>
    <w:p w:rsidR="00BB59B9" w:rsidRDefault="00BB59B9" w:rsidP="00BB59B9">
      <w:pPr>
        <w:autoSpaceDE w:val="0"/>
        <w:autoSpaceDN w:val="0"/>
        <w:adjustRightInd w:val="0"/>
        <w:spacing w:after="0" w:line="240" w:lineRule="auto"/>
        <w:jc w:val="both"/>
        <w:rPr>
          <w:rFonts w:ascii="Times New Roman" w:eastAsia="Calibri" w:hAnsi="Times New Roman" w:cs="Times New Roman"/>
          <w:bCs/>
          <w:lang w:val="en-ID"/>
        </w:rPr>
      </w:pP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Based on the research findings, several recommendations can be proposed for enhancing language instruction and professionalism within maritime education:</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Integration of Practical and Experiential Learning:</w:t>
      </w:r>
      <w:r w:rsidRPr="00BB59B9">
        <w:rPr>
          <w:rFonts w:ascii="Times New Roman" w:eastAsia="Calibri" w:hAnsi="Times New Roman" w:cs="Times New Roman"/>
          <w:bCs/>
          <w:lang w:val="en-ID"/>
        </w:rPr>
        <w:t xml:space="preserve"> Maritime education institutions should prioritize the integration of practical and experiential learning opportunities, such as shipboard training, maritime simulations, and role-play exercises, to contextualize language instruction within real-world maritime scenarios and enhance cadets' technical and communicative proficiency.</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Development of Specialized Language Resources:</w:t>
      </w:r>
      <w:r w:rsidRPr="00BB59B9">
        <w:rPr>
          <w:rFonts w:ascii="Times New Roman" w:eastAsia="Calibri" w:hAnsi="Times New Roman" w:cs="Times New Roman"/>
          <w:bCs/>
          <w:lang w:val="en-ID"/>
        </w:rPr>
        <w:t xml:space="preserve"> Maritime education institutions should invest in the development of specialized language resources, including glossaries, manuals, and multimedia materials, tailored to the specific linguistic and communicative needs of maritime cadets, to support their language learning and proficiency development.</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Incorporation of Cross-Cultural Competence Training:</w:t>
      </w:r>
      <w:r w:rsidRPr="00BB59B9">
        <w:rPr>
          <w:rFonts w:ascii="Times New Roman" w:eastAsia="Calibri" w:hAnsi="Times New Roman" w:cs="Times New Roman"/>
          <w:bCs/>
          <w:lang w:val="en-ID"/>
        </w:rPr>
        <w:t xml:space="preserve"> Maritime education institutions should incorporate cross-cultural competence training into their language instruction programs to foster cultural sensitivity, intercultural communication skills, and effective collaboration among cadets from diverse linguistic and cultural backgrounds.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Promotion of Ethical Leadership:</w:t>
      </w:r>
      <w:r w:rsidRPr="00BB59B9">
        <w:rPr>
          <w:rFonts w:ascii="Times New Roman" w:eastAsia="Calibri" w:hAnsi="Times New Roman" w:cs="Times New Roman"/>
          <w:bCs/>
          <w:lang w:val="en-ID"/>
        </w:rPr>
        <w:t xml:space="preserve"> Maritime education institutions should promote the development of ethical leadership skills among cadets through experiential learning opportunities, case studies, and mentorship programs, to </w:t>
      </w:r>
      <w:proofErr w:type="spellStart"/>
      <w:r w:rsidRPr="00BB59B9">
        <w:rPr>
          <w:rFonts w:ascii="Times New Roman" w:eastAsia="Calibri" w:hAnsi="Times New Roman" w:cs="Times New Roman"/>
          <w:bCs/>
          <w:lang w:val="en-ID"/>
        </w:rPr>
        <w:t>instill</w:t>
      </w:r>
      <w:proofErr w:type="spellEnd"/>
      <w:r w:rsidRPr="00BB59B9">
        <w:rPr>
          <w:rFonts w:ascii="Times New Roman" w:eastAsia="Calibri" w:hAnsi="Times New Roman" w:cs="Times New Roman"/>
          <w:bCs/>
          <w:lang w:val="en-ID"/>
        </w:rPr>
        <w:t xml:space="preserve"> a culture of ethical conduct, integrity, and responsibility in maritime operations.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Continuous Evaluation and Improvement:</w:t>
      </w:r>
      <w:r w:rsidRPr="00BB59B9">
        <w:rPr>
          <w:rFonts w:ascii="Times New Roman" w:eastAsia="Calibri" w:hAnsi="Times New Roman" w:cs="Times New Roman"/>
          <w:bCs/>
          <w:lang w:val="en-ID"/>
        </w:rPr>
        <w:t xml:space="preserve"> Maritime education institutions should adopt a continuous evaluation and improvement approach to language instruction and professionalism development, leveraging feedback from cadets, industry stakeholders, and regulatory bodies to refine and enhance instructional practices, curriculum content, and assessment methods.</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B59B9">
        <w:rPr>
          <w:rFonts w:ascii="Times New Roman" w:eastAsia="Calibri" w:hAnsi="Times New Roman" w:cs="Times New Roman"/>
          <w:bCs/>
          <w:lang w:val="en-ID"/>
        </w:rPr>
        <w:t>he discussion of the research findings underscores the critical importance of aligning language instruction practices and professionalism requirements with international standards within maritime education. By addressing the identified language instruction needs and professionalism requirements, maritime education institutions can enhance the linguistic proficiency, professionalism, and readiness of cadets for successful careers in the maritime industry, thereby contributing to the safety, efficiency, and sustainability of maritime operations on a global scale.</w:t>
      </w:r>
    </w:p>
    <w:p w:rsidR="00190277" w:rsidRPr="00BB59B9"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lastRenderedPageBreak/>
        <w:t>CONCLUSION</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BB59B9">
        <w:rPr>
          <w:rFonts w:ascii="Times New Roman" w:eastAsia="Calibri" w:hAnsi="Times New Roman" w:cs="Times New Roman"/>
          <w:bCs/>
        </w:rPr>
        <w:t>his research has provided valuable insights into the complexities and challenges inherent in empowering literacy and professionalism within maritime education. Through a qualitative examination of language instruction strategies, professionalism requirements, and their alignment with international standards, key findings have emerged regarding language proficiency levels, instructional methodologies, professionalism attributes, and the implications for maritime education.</w:t>
      </w:r>
      <w:r>
        <w:rPr>
          <w:rFonts w:ascii="Times New Roman" w:eastAsia="Calibri" w:hAnsi="Times New Roman" w:cs="Times New Roman"/>
          <w:bCs/>
        </w:rPr>
        <w:t xml:space="preserve"> </w:t>
      </w:r>
      <w:r w:rsidRPr="00BB59B9">
        <w:rPr>
          <w:rFonts w:ascii="Times New Roman" w:eastAsia="Calibri" w:hAnsi="Times New Roman" w:cs="Times New Roman"/>
          <w:bCs/>
        </w:rPr>
        <w:t>The research findings highlight the significance of language proficiency enhancement in preparing maritime cadets for the demands of the industry. It is evident that maritime education institutions play a pivotal role in equipping cadets with the linguistic competencies necessary for effective communication, safety compliance, and regulatory adherence onboard vessels. By prioritizing targeted interventions aimed at addressing language instruction needs, such as technical terminology proficiency, communicative competence, and maritime documentation skills, institutions can enhance the readiness and professionalism of cadets for successful careers in the maritime industry.</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sidRPr="00BB59B9">
        <w:rPr>
          <w:rFonts w:ascii="Times New Roman" w:eastAsia="Calibri" w:hAnsi="Times New Roman" w:cs="Times New Roman"/>
          <w:bCs/>
        </w:rPr>
        <w:t>Moreover, the alignment between language instruction practices and international standards, notably the International Maritime Organization's (IMO) Standards of Training, Certification, and Watchkeeping (STCW) convention, underscores the importance of adhering to globally recognized benchmarks in maritime education. By ensuring comprehensive compliance with IMO-STCW guidelines, maritime education institutions can enhance the relevance, effectiveness, and portability of cadets' skills and certifications across different maritime jurisdictions, thereby facilitating global mobility and career advancement opportunities within the industry.</w:t>
      </w:r>
      <w:r>
        <w:rPr>
          <w:rFonts w:ascii="Times New Roman" w:eastAsia="Calibri" w:hAnsi="Times New Roman" w:cs="Times New Roman"/>
          <w:bCs/>
        </w:rPr>
        <w:t xml:space="preserve"> </w:t>
      </w:r>
      <w:r w:rsidRPr="00BB59B9">
        <w:rPr>
          <w:rFonts w:ascii="Times New Roman" w:eastAsia="Calibri" w:hAnsi="Times New Roman" w:cs="Times New Roman"/>
          <w:bCs/>
        </w:rPr>
        <w:t>Furthermore, the emphasis on professionalism attributes, including safety awareness and compliance, ethical conduct and integrity, and leadership and teamwork skills, reflects the broader objectives of IMO-STCW guidelines in promoting safe, secure, and environmentally sustainable maritime operations. By cultivating professionalism among cadets, maritime education institutions can foster a culture of responsibility, accountability, and excellence within the maritime industry, thereby contributing to the safety, efficiency, and sustainability of maritime operations on a global scale.</w:t>
      </w:r>
    </w:p>
    <w:p w:rsidR="00F5577B"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In light of the research findings, it is imperative for maritime education institutions to prioritize continuous evaluation and improvement of language instruction practices, professionalism development initiatives, and curriculum content to ensure the readiness and competitiveness of cadets in the evolving maritime landscape. By embracing evidence-based approaches, leveraging feedback from stakeholders, and remaining adaptive to industry trends and regulatory changes, maritime education institutions can fulfill their mandate of preparing cadets for successful and impactful careers in the maritime industry. Ultimately, the collective efforts of maritime education stakeholders, including educators, administrators, industry partners, and regulatory bodies, are essential in shaping the future of maritime education and ensuring the continued excellence and professionalism of maritime professionals worldwide.</w:t>
      </w:r>
    </w:p>
    <w:p w:rsidR="00A20815" w:rsidRPr="00BB59B9"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BB59B9"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BB59B9">
        <w:rPr>
          <w:rFonts w:ascii="Times New Roman" w:eastAsia="Calibri" w:hAnsi="Times New Roman" w:cs="Times New Roman"/>
          <w:b/>
          <w:bCs/>
        </w:rPr>
        <w:t>REFERENCES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584A8C">
        <w:rPr>
          <w:rFonts w:ascii="Times New Roman" w:hAnsi="Times New Roman" w:cs="Times New Roman"/>
          <w:noProof/>
          <w:szCs w:val="24"/>
        </w:rPr>
        <w:t xml:space="preserve">Abila, S. S. (2016). </w:t>
      </w:r>
      <w:r w:rsidRPr="00584A8C">
        <w:rPr>
          <w:rFonts w:ascii="Times New Roman" w:hAnsi="Times New Roman" w:cs="Times New Roman"/>
          <w:i/>
          <w:iCs/>
          <w:noProof/>
          <w:szCs w:val="24"/>
        </w:rPr>
        <w:t>The occupational socialisation of merchant marine cadets in the Philippines.</w:t>
      </w:r>
      <w:r w:rsidRPr="00584A8C">
        <w:rPr>
          <w:rFonts w:ascii="Times New Roman" w:hAnsi="Times New Roman" w:cs="Times New Roman"/>
          <w:noProof/>
          <w:szCs w:val="24"/>
        </w:rPr>
        <w:t xml:space="preserve"> Cardiff University.</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Creswell, J. W., &amp; Clark, V. L. P. (2011). Choosing a mixed methods design. In </w:t>
      </w:r>
      <w:r w:rsidRPr="00584A8C">
        <w:rPr>
          <w:rFonts w:ascii="Times New Roman" w:hAnsi="Times New Roman" w:cs="Times New Roman"/>
          <w:i/>
          <w:iCs/>
          <w:noProof/>
          <w:szCs w:val="24"/>
        </w:rPr>
        <w:t>Designing and Conducting Mixed Methods Research</w:t>
      </w:r>
      <w:r w:rsidRPr="00584A8C">
        <w:rPr>
          <w:rFonts w:ascii="Times New Roman" w:hAnsi="Times New Roman" w:cs="Times New Roman"/>
          <w:noProof/>
          <w:szCs w:val="24"/>
        </w:rPr>
        <w:t xml:space="preserve"> (pp. 53–106). Sage Publications, Inc.</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Gavalas, D., Syriopoulos, T., &amp; Roumpis, E. (2022). Digital adoption and efficiency in the maritime industry. </w:t>
      </w:r>
      <w:r w:rsidRPr="00584A8C">
        <w:rPr>
          <w:rFonts w:ascii="Times New Roman" w:hAnsi="Times New Roman" w:cs="Times New Roman"/>
          <w:i/>
          <w:iCs/>
          <w:noProof/>
          <w:szCs w:val="24"/>
        </w:rPr>
        <w:t>Journal of Shipping and Trade</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7</w:t>
      </w:r>
      <w:r w:rsidRPr="00584A8C">
        <w:rPr>
          <w:rFonts w:ascii="Times New Roman" w:hAnsi="Times New Roman" w:cs="Times New Roman"/>
          <w:noProof/>
          <w:szCs w:val="24"/>
        </w:rPr>
        <w:t>(1), 11.</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House, D., &amp; Saeed, F. (2016). </w:t>
      </w:r>
      <w:r w:rsidRPr="00584A8C">
        <w:rPr>
          <w:rFonts w:ascii="Times New Roman" w:hAnsi="Times New Roman" w:cs="Times New Roman"/>
          <w:i/>
          <w:iCs/>
          <w:noProof/>
          <w:szCs w:val="24"/>
        </w:rPr>
        <w:t>The seamanship examiner: for STCW certification examinations</w:t>
      </w:r>
      <w:r w:rsidRPr="00584A8C">
        <w:rPr>
          <w:rFonts w:ascii="Times New Roman" w:hAnsi="Times New Roman" w:cs="Times New Roman"/>
          <w:noProof/>
          <w:szCs w:val="24"/>
        </w:rPr>
        <w:t>. Taylor &amp; Francis.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IMO, S. C. E. (2018). </w:t>
      </w:r>
      <w:r w:rsidRPr="00584A8C">
        <w:rPr>
          <w:rFonts w:ascii="Times New Roman" w:hAnsi="Times New Roman" w:cs="Times New Roman"/>
          <w:i/>
          <w:iCs/>
          <w:noProof/>
          <w:szCs w:val="24"/>
        </w:rPr>
        <w:t>IMO</w:t>
      </w:r>
      <w:r w:rsidRPr="00584A8C">
        <w:rPr>
          <w:rFonts w:ascii="Times New Roman" w:hAnsi="Times New Roman" w:cs="Times New Roman"/>
          <w:noProof/>
          <w:szCs w:val="24"/>
        </w:rPr>
        <w:t>. London.</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Katz, J. (2015). A theory of qualitative methodology: The social system of analytic fieldwork. </w:t>
      </w:r>
      <w:r w:rsidRPr="00584A8C">
        <w:rPr>
          <w:rFonts w:ascii="Times New Roman" w:hAnsi="Times New Roman" w:cs="Times New Roman"/>
          <w:i/>
          <w:iCs/>
          <w:noProof/>
          <w:szCs w:val="24"/>
        </w:rPr>
        <w:t>Méthod (e) s: African Review of Social Sciences Methodology</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1</w:t>
      </w:r>
      <w:r w:rsidRPr="00584A8C">
        <w:rPr>
          <w:rFonts w:ascii="Times New Roman" w:hAnsi="Times New Roman" w:cs="Times New Roman"/>
          <w:noProof/>
          <w:szCs w:val="24"/>
        </w:rPr>
        <w:t>(1–2), 131–146.</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Norton, B. (1997). Language, identity, and the ownership of English. </w:t>
      </w:r>
      <w:r w:rsidRPr="00584A8C">
        <w:rPr>
          <w:rFonts w:ascii="Times New Roman" w:hAnsi="Times New Roman" w:cs="Times New Roman"/>
          <w:i/>
          <w:iCs/>
          <w:noProof/>
          <w:szCs w:val="24"/>
        </w:rPr>
        <w:t>TESOL Quarterly</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31</w:t>
      </w:r>
      <w:r w:rsidRPr="00584A8C">
        <w:rPr>
          <w:rFonts w:ascii="Times New Roman" w:hAnsi="Times New Roman" w:cs="Times New Roman"/>
          <w:noProof/>
          <w:szCs w:val="24"/>
        </w:rPr>
        <w:t>(3), 409–429.</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Padgett, D. K. (2016). </w:t>
      </w:r>
      <w:r w:rsidRPr="00584A8C">
        <w:rPr>
          <w:rFonts w:ascii="Times New Roman" w:hAnsi="Times New Roman" w:cs="Times New Roman"/>
          <w:i/>
          <w:iCs/>
          <w:noProof/>
          <w:szCs w:val="24"/>
        </w:rPr>
        <w:t>Qualitative methods in social work research</w:t>
      </w:r>
      <w:r w:rsidRPr="00584A8C">
        <w:rPr>
          <w:rFonts w:ascii="Times New Roman" w:hAnsi="Times New Roman" w:cs="Times New Roman"/>
          <w:noProof/>
          <w:szCs w:val="24"/>
        </w:rPr>
        <w:t xml:space="preserve"> (Vol. 36). Sage publications.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584A8C">
        <w:rPr>
          <w:rFonts w:ascii="Times New Roman" w:hAnsi="Times New Roman" w:cs="Times New Roman"/>
          <w:i/>
          <w:iCs/>
          <w:noProof/>
          <w:szCs w:val="24"/>
        </w:rPr>
        <w:t>Distributed Computing and Artificial Intelligence, Special Sessions, 17th International Conference</w:t>
      </w:r>
      <w:r w:rsidRPr="00584A8C">
        <w:rPr>
          <w:rFonts w:ascii="Times New Roman" w:hAnsi="Times New Roman" w:cs="Times New Roman"/>
          <w:noProof/>
          <w:szCs w:val="24"/>
        </w:rPr>
        <w:t>, 107–115.</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Saray, S., Satır, T., &amp; Dogan-Saglamtimur, N. (2021). Proficiency of Maritime English course: An investigation in Istanbul, Turkey. </w:t>
      </w:r>
      <w:r w:rsidRPr="00584A8C">
        <w:rPr>
          <w:rFonts w:ascii="Times New Roman" w:hAnsi="Times New Roman" w:cs="Times New Roman"/>
          <w:i/>
          <w:iCs/>
          <w:noProof/>
          <w:szCs w:val="24"/>
        </w:rPr>
        <w:t>Heritage and Sustainable Development</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3</w:t>
      </w:r>
      <w:r w:rsidRPr="00584A8C">
        <w:rPr>
          <w:rFonts w:ascii="Times New Roman" w:hAnsi="Times New Roman" w:cs="Times New Roman"/>
          <w:noProof/>
          <w:szCs w:val="24"/>
        </w:rPr>
        <w:t>(1), 6–15.</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Sarosa, S. (2021). </w:t>
      </w:r>
      <w:r w:rsidRPr="00584A8C">
        <w:rPr>
          <w:rFonts w:ascii="Times New Roman" w:hAnsi="Times New Roman" w:cs="Times New Roman"/>
          <w:i/>
          <w:iCs/>
          <w:noProof/>
          <w:szCs w:val="24"/>
        </w:rPr>
        <w:t>Analisis Data Penelitian Kualitatif</w:t>
      </w:r>
      <w:r w:rsidRPr="00584A8C">
        <w:rPr>
          <w:rFonts w:ascii="Times New Roman" w:hAnsi="Times New Roman" w:cs="Times New Roman"/>
          <w:noProof/>
          <w:szCs w:val="24"/>
        </w:rPr>
        <w:t>. Pt Kanisius.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Thiel, T. A. (1996). </w:t>
      </w:r>
      <w:r w:rsidRPr="00584A8C">
        <w:rPr>
          <w:rFonts w:ascii="Times New Roman" w:hAnsi="Times New Roman" w:cs="Times New Roman"/>
          <w:i/>
          <w:iCs/>
          <w:noProof/>
          <w:szCs w:val="24"/>
        </w:rPr>
        <w:t>Maritime English for Communication and Cooperation.</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Vivanet, G. (n.d.). The Routledge Handbook of Corpus Linguistics. </w:t>
      </w:r>
      <w:r w:rsidRPr="00584A8C">
        <w:rPr>
          <w:rFonts w:ascii="Times New Roman" w:hAnsi="Times New Roman" w:cs="Times New Roman"/>
          <w:i/>
          <w:iCs/>
          <w:noProof/>
          <w:szCs w:val="24"/>
        </w:rPr>
        <w:t>CONSULTING EDITORS</w:t>
      </w:r>
      <w:r w:rsidRPr="00584A8C">
        <w:rPr>
          <w:rFonts w:ascii="Times New Roman" w:hAnsi="Times New Roman" w:cs="Times New Roman"/>
          <w:noProof/>
          <w:szCs w:val="24"/>
        </w:rPr>
        <w:t>, 183.</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Wang, Y., Kung, L., &amp; Byrd, T. A. (2018). Big data analytics: Understanding its capabilities and potential </w:t>
      </w:r>
      <w:r w:rsidRPr="00584A8C">
        <w:rPr>
          <w:rFonts w:ascii="Times New Roman" w:hAnsi="Times New Roman" w:cs="Times New Roman"/>
          <w:noProof/>
          <w:szCs w:val="24"/>
        </w:rPr>
        <w:lastRenderedPageBreak/>
        <w:t xml:space="preserve">benefits for healthcare organizations. </w:t>
      </w:r>
      <w:r w:rsidRPr="00584A8C">
        <w:rPr>
          <w:rFonts w:ascii="Times New Roman" w:hAnsi="Times New Roman" w:cs="Times New Roman"/>
          <w:i/>
          <w:iCs/>
          <w:noProof/>
          <w:szCs w:val="24"/>
        </w:rPr>
        <w:t>Technological Forecasting and Social Change</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126</w:t>
      </w:r>
      <w:r w:rsidRPr="00584A8C">
        <w:rPr>
          <w:rFonts w:ascii="Times New Roman" w:hAnsi="Times New Roman" w:cs="Times New Roman"/>
          <w:noProof/>
          <w:szCs w:val="24"/>
        </w:rPr>
        <w:t>, 3–13.</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rPr>
      </w:pPr>
      <w:r w:rsidRPr="00584A8C">
        <w:rPr>
          <w:rFonts w:ascii="Times New Roman" w:hAnsi="Times New Roman" w:cs="Times New Roman"/>
          <w:noProof/>
          <w:szCs w:val="24"/>
        </w:rPr>
        <w:t xml:space="preserve">Wu, D. (2023). Exploring digital literacy in the era of digital civilization: A framework for college students in China. In </w:t>
      </w:r>
      <w:r w:rsidRPr="00584A8C">
        <w:rPr>
          <w:rFonts w:ascii="Times New Roman" w:hAnsi="Times New Roman" w:cs="Times New Roman"/>
          <w:i/>
          <w:iCs/>
          <w:noProof/>
          <w:szCs w:val="24"/>
        </w:rPr>
        <w:t>Information Services &amp;amp; Use</w:t>
      </w:r>
      <w:r w:rsidRPr="00584A8C">
        <w:rPr>
          <w:rFonts w:ascii="Times New Roman" w:hAnsi="Times New Roman" w:cs="Times New Roman"/>
          <w:noProof/>
          <w:szCs w:val="24"/>
        </w:rPr>
        <w:t xml:space="preserve"> (pp. 1–23). IOS Press. https://doi.org/10.3233/isu-230199</w:t>
      </w:r>
    </w:p>
    <w:p w:rsidR="00A20815" w:rsidRPr="00BB59B9" w:rsidRDefault="00584A8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BB59B9"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D7" w:rsidRDefault="00B91CD7" w:rsidP="00BD3DF2">
      <w:pPr>
        <w:spacing w:after="0" w:line="240" w:lineRule="auto"/>
      </w:pPr>
      <w:r>
        <w:separator/>
      </w:r>
    </w:p>
  </w:endnote>
  <w:endnote w:type="continuationSeparator" w:id="0">
    <w:p w:rsidR="00B91CD7" w:rsidRDefault="00B91CD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C12FC6">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D7" w:rsidRDefault="00B91CD7" w:rsidP="00BD3DF2">
      <w:pPr>
        <w:spacing w:after="0" w:line="240" w:lineRule="auto"/>
      </w:pPr>
      <w:r>
        <w:separator/>
      </w:r>
    </w:p>
  </w:footnote>
  <w:footnote w:type="continuationSeparator" w:id="0">
    <w:p w:rsidR="00B91CD7" w:rsidRDefault="00B91CD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84A8C"/>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91CD7"/>
    <w:rsid w:val="00BA1FD2"/>
    <w:rsid w:val="00BB59B9"/>
    <w:rsid w:val="00BC2F62"/>
    <w:rsid w:val="00BC75CA"/>
    <w:rsid w:val="00BD3DF2"/>
    <w:rsid w:val="00C050E6"/>
    <w:rsid w:val="00C05853"/>
    <w:rsid w:val="00C12717"/>
    <w:rsid w:val="00C12FC6"/>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521D4"/>
    <w:rsid w:val="00D816C8"/>
    <w:rsid w:val="00D934D6"/>
    <w:rsid w:val="00DA1E36"/>
    <w:rsid w:val="00DB194B"/>
    <w:rsid w:val="00DB5E65"/>
    <w:rsid w:val="00DB79BF"/>
    <w:rsid w:val="00DC624E"/>
    <w:rsid w:val="00DD1383"/>
    <w:rsid w:val="00DF36B0"/>
    <w:rsid w:val="00E0457A"/>
    <w:rsid w:val="00E07381"/>
    <w:rsid w:val="00E20CEC"/>
    <w:rsid w:val="00E2165D"/>
    <w:rsid w:val="00E26505"/>
    <w:rsid w:val="00E75F8F"/>
    <w:rsid w:val="00E80032"/>
    <w:rsid w:val="00E82193"/>
    <w:rsid w:val="00EA1BDE"/>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2429046-0F68-4007-A806-2738E5B8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7028</Words>
  <Characters>40061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2024-02-12T07:57:00Z</dcterms:created>
  <dcterms:modified xsi:type="dcterms:W3CDTF">2024-02-12T08:59:00Z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