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http://ejournal.stipjakarta.ac.id</w:t>
      </w:r>
    </w:p>
    <w:tbl>
      <w:tblPr>
        <w:tblStyle w:val="Table1"/>
        <w:tblW w:w="9639.0" w:type="dxa"/>
        <w:jc w:val="center"/>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A0"/>
      </w:tblPr>
      <w:tblGrid>
        <w:gridCol w:w="1969"/>
        <w:gridCol w:w="7670"/>
        <w:tblGridChange w:id="0">
          <w:tblGrid>
            <w:gridCol w:w="1969"/>
            <w:gridCol w:w="7670"/>
          </w:tblGrid>
        </w:tblGridChange>
      </w:tblGrid>
      <w:tr>
        <w:trPr>
          <w:cantSplit w:val="0"/>
          <w:trHeight w:val="1321" w:hRule="atLeast"/>
          <w:tblHeader w:val="0"/>
        </w:trPr>
        <w:tc>
          <w:tcPr>
            <w:shd w:fill="d9d9d9" w:val="clear"/>
            <w:vAlign w:val="center"/>
          </w:tcPr>
          <w:p w:rsidR="00000000" w:rsidDel="00000000" w:rsidP="00000000" w:rsidRDefault="00000000" w:rsidRPr="00000000" w14:paraId="00000002">
            <w:pPr>
              <w:jc w:val="center"/>
              <w:rPr/>
            </w:pPr>
            <w:bookmarkStart w:colFirst="0" w:colLast="0" w:name="_heading=h.gjdgxs" w:id="0"/>
            <w:bookmarkEnd w:id="0"/>
            <w:r w:rsidDel="00000000" w:rsidR="00000000" w:rsidRPr="00000000">
              <w:rPr/>
              <w:drawing>
                <wp:inline distB="0" distT="0" distL="0" distR="0">
                  <wp:extent cx="1137816" cy="90536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7816" cy="905360"/>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03">
            <w:pPr>
              <w:ind w:left="-90" w:firstLine="0"/>
              <w:jc w:val="center"/>
              <w:rPr>
                <w:rFonts w:ascii="Times New Roman" w:cs="Times New Roman" w:eastAsia="Times New Roman" w:hAnsi="Times New Roman"/>
                <w:b w:val="0"/>
                <w:i w:val="1"/>
                <w:color w:val="1f497d"/>
                <w:sz w:val="66"/>
                <w:szCs w:val="66"/>
              </w:rPr>
            </w:pPr>
            <w:r w:rsidDel="00000000" w:rsidR="00000000" w:rsidRPr="00000000">
              <w:rPr>
                <w:rFonts w:ascii="Times New Roman" w:cs="Times New Roman" w:eastAsia="Times New Roman" w:hAnsi="Times New Roman"/>
                <w:b w:val="0"/>
                <w:i w:val="1"/>
                <w:color w:val="1f497d"/>
                <w:sz w:val="66"/>
                <w:szCs w:val="66"/>
                <w:rtl w:val="0"/>
              </w:rPr>
              <w:t xml:space="preserve">METEOR STIP MARUNDA</w:t>
            </w:r>
          </w:p>
        </w:tc>
      </w:tr>
      <w:tr>
        <w:trPr>
          <w:cantSplit w:val="0"/>
          <w:trHeight w:val="273" w:hRule="atLeast"/>
          <w:tblHeader w:val="0"/>
        </w:trPr>
        <w:tc>
          <w:tcPr>
            <w:shd w:fill="d9d9d9" w:val="clear"/>
          </w:tcPr>
          <w:p w:rsidR="00000000" w:rsidDel="00000000" w:rsidP="00000000" w:rsidRDefault="00000000" w:rsidRPr="00000000" w14:paraId="00000004">
            <w:pPr>
              <w:ind w:left="-90" w:firstLine="0"/>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ISSN    : 1979 – 4746</w:t>
            </w:r>
          </w:p>
          <w:p w:rsidR="00000000" w:rsidDel="00000000" w:rsidP="00000000" w:rsidRDefault="00000000" w:rsidRPr="00000000" w14:paraId="00000005">
            <w:pPr>
              <w:ind w:left="-90" w:firstLine="0"/>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EISSN  :</w:t>
            </w:r>
          </w:p>
        </w:tc>
        <w:tc>
          <w:tcPr>
            <w:shd w:fill="d9d9d9" w:val="clear"/>
            <w:vAlign w:val="center"/>
          </w:tcPr>
          <w:p w:rsidR="00000000" w:rsidDel="00000000" w:rsidP="00000000" w:rsidRDefault="00000000" w:rsidRPr="00000000" w14:paraId="00000006">
            <w:pPr>
              <w:jc w:val="center"/>
              <w:rPr>
                <w:rFonts w:ascii="Times New Roman" w:cs="Times New Roman" w:eastAsia="Times New Roman" w:hAnsi="Times New Roman"/>
                <w:b w:val="1"/>
                <w:i w:val="1"/>
                <w:color w:val="1f497d"/>
                <w:sz w:val="24"/>
                <w:szCs w:val="24"/>
              </w:rPr>
            </w:pPr>
            <w:r w:rsidDel="00000000" w:rsidR="00000000" w:rsidRPr="00000000">
              <w:rPr>
                <w:rFonts w:ascii="Times New Roman" w:cs="Times New Roman" w:eastAsia="Times New Roman" w:hAnsi="Times New Roman"/>
                <w:b w:val="1"/>
                <w:i w:val="1"/>
                <w:color w:val="1f497d"/>
                <w:sz w:val="24"/>
                <w:szCs w:val="24"/>
                <w:rtl w:val="0"/>
              </w:rPr>
              <w:t xml:space="preserve">JURNAL PENELITIAN ILMIAH </w:t>
            </w:r>
          </w:p>
          <w:p w:rsidR="00000000" w:rsidDel="00000000" w:rsidP="00000000" w:rsidRDefault="00000000" w:rsidRPr="00000000" w14:paraId="00000007">
            <w:pPr>
              <w:jc w:val="center"/>
              <w:rPr>
                <w:rFonts w:ascii="Bookman Old Style" w:cs="Bookman Old Style" w:eastAsia="Bookman Old Style" w:hAnsi="Bookman Old Style"/>
                <w:i w:val="1"/>
                <w:color w:val="000080"/>
                <w:sz w:val="160"/>
                <w:szCs w:val="160"/>
              </w:rPr>
            </w:pPr>
            <w:r w:rsidDel="00000000" w:rsidR="00000000" w:rsidRPr="00000000">
              <w:rPr>
                <w:rFonts w:ascii="Times New Roman" w:cs="Times New Roman" w:eastAsia="Times New Roman" w:hAnsi="Times New Roman"/>
                <w:b w:val="1"/>
                <w:i w:val="1"/>
                <w:color w:val="1f497d"/>
                <w:sz w:val="24"/>
                <w:szCs w:val="24"/>
                <w:rtl w:val="0"/>
              </w:rPr>
              <w:t xml:space="preserve">SEKOLAH TINGGI ILMU PELAYARAN</w:t>
            </w:r>
            <w:r w:rsidDel="00000000" w:rsidR="00000000" w:rsidRPr="00000000">
              <w:rPr>
                <w:rtl w:val="0"/>
              </w:rPr>
            </w:r>
          </w:p>
        </w:tc>
      </w:tr>
    </w:tbl>
    <w:p w:rsidR="00000000" w:rsidDel="00000000" w:rsidP="00000000" w:rsidRDefault="00000000" w:rsidRPr="00000000" w14:paraId="00000008">
      <w:pPr>
        <w:spacing w:after="0" w:line="240" w:lineRule="auto"/>
        <w:rPr>
          <w:rFonts w:ascii="Times New Roman" w:cs="Times New Roman" w:eastAsia="Times New Roman" w:hAnsi="Times New Roman"/>
          <w:b w:val="1"/>
          <w:color w:val="000000"/>
        </w:rPr>
      </w:pPr>
      <w:r w:rsidDel="00000000" w:rsidR="00000000" w:rsidRPr="00000000">
        <w:rPr>
          <w:rtl w:val="0"/>
        </w:rPr>
      </w:r>
    </w:p>
    <w:tbl>
      <w:tblPr>
        <w:tblStyle w:val="Table2"/>
        <w:tblW w:w="9639.0" w:type="dxa"/>
        <w:jc w:val="left"/>
        <w:tblInd w:w="108.0" w:type="dxa"/>
        <w:tblBorders>
          <w:top w:color="000000" w:space="0" w:sz="4" w:val="single"/>
          <w:left w:color="000000" w:space="0" w:sz="4" w:val="single"/>
          <w:bottom w:color="7f7f7f" w:space="0" w:sz="4" w:val="single"/>
          <w:right w:color="000000" w:space="0" w:sz="4" w:val="single"/>
          <w:insideH w:color="7f7f7f" w:space="0" w:sz="4" w:val="single"/>
          <w:insideV w:color="7f7f7f" w:space="0" w:sz="4" w:val="single"/>
        </w:tblBorders>
        <w:tblLayout w:type="fixed"/>
        <w:tblLook w:val="04A0"/>
      </w:tblPr>
      <w:tblGrid>
        <w:gridCol w:w="9639"/>
        <w:tblGridChange w:id="0">
          <w:tblGrid>
            <w:gridCol w:w="9639"/>
          </w:tblGrid>
        </w:tblGridChange>
      </w:tblGrid>
      <w:tr>
        <w:trPr>
          <w:cantSplit w:val="0"/>
          <w:tblHeader w:val="0"/>
        </w:trPr>
        <w:tc>
          <w:tcPr>
            <w:tcBorders>
              <w:top w:color="000000" w:space="0" w:sz="24" w:val="single"/>
              <w:bottom w:color="000000" w:space="0" w:sz="8" w:val="single"/>
            </w:tcBorders>
          </w:tcPr>
          <w:p w:rsidR="00000000" w:rsidDel="00000000" w:rsidP="00000000" w:rsidRDefault="00000000" w:rsidRPr="00000000" w14:paraId="00000009">
            <w:pPr>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sz w:val="28"/>
                <w:szCs w:val="28"/>
                <w:rtl w:val="0"/>
              </w:rPr>
              <w:t xml:space="preserve">Impact of International Standards on Maritime Education: Perspectives of Junior Cadets</w:t>
            </w:r>
            <w:r w:rsidDel="00000000" w:rsidR="00000000" w:rsidRPr="00000000">
              <w:rPr>
                <w:rtl w:val="0"/>
              </w:rPr>
            </w:r>
          </w:p>
          <w:p w:rsidR="00000000" w:rsidDel="00000000" w:rsidP="00000000" w:rsidRDefault="00000000" w:rsidRPr="00000000" w14:paraId="0000000A">
            <w:pPr>
              <w:jc w:val="center"/>
              <w:rPr>
                <w:rFonts w:ascii="Times" w:cs="Times" w:eastAsia="Times" w:hAnsi="Times"/>
                <w:b w:val="0"/>
                <w:i w:val="1"/>
              </w:rPr>
            </w:pPr>
            <w:r w:rsidDel="00000000" w:rsidR="00000000" w:rsidRPr="00000000">
              <w:rPr>
                <w:rFonts w:ascii="Times" w:cs="Times" w:eastAsia="Times" w:hAnsi="Times"/>
                <w:b w:val="0"/>
                <w:i w:val="1"/>
                <w:rtl w:val="0"/>
              </w:rPr>
              <w:t xml:space="preserve"> </w:t>
            </w:r>
          </w:p>
          <w:p w:rsidR="00000000" w:rsidDel="00000000" w:rsidP="00000000" w:rsidRDefault="00000000" w:rsidRPr="00000000" w14:paraId="0000000B">
            <w:pPr>
              <w:jc w:val="center"/>
              <w:rPr>
                <w:rFonts w:ascii="Times" w:cs="Times" w:eastAsia="Times" w:hAnsi="Times"/>
                <w:b w:val="0"/>
                <w:i w:val="1"/>
              </w:rPr>
            </w:pPr>
            <w:bookmarkStart w:colFirst="0" w:colLast="0" w:name="_heading=h.30j0zll" w:id="1"/>
            <w:bookmarkEnd w:id="1"/>
            <w:r w:rsidDel="00000000" w:rsidR="00000000" w:rsidRPr="00000000">
              <w:rPr>
                <w:rFonts w:ascii="Times" w:cs="Times" w:eastAsia="Times" w:hAnsi="Times"/>
                <w:b w:val="0"/>
                <w:i w:val="1"/>
                <w:rtl w:val="0"/>
              </w:rPr>
              <w:t xml:space="preserve">Derma Watty Sihombing</w:t>
            </w:r>
            <w:r w:rsidDel="00000000" w:rsidR="00000000" w:rsidRPr="00000000">
              <w:rPr>
                <w:rFonts w:ascii="Times" w:cs="Times" w:eastAsia="Times" w:hAnsi="Times"/>
                <w:b w:val="0"/>
                <w:i w:val="1"/>
                <w:vertAlign w:val="superscript"/>
                <w:rtl w:val="0"/>
              </w:rPr>
              <w:t xml:space="preserve">1)</w:t>
            </w:r>
            <w:r w:rsidDel="00000000" w:rsidR="00000000" w:rsidRPr="00000000">
              <w:rPr>
                <w:rFonts w:ascii="Times" w:cs="Times" w:eastAsia="Times" w:hAnsi="Times"/>
                <w:b w:val="0"/>
                <w:i w:val="1"/>
                <w:rtl w:val="0"/>
              </w:rPr>
              <w:t xml:space="preserve">  </w:t>
            </w:r>
            <w:r w:rsidDel="00000000" w:rsidR="00000000" w:rsidRPr="00000000">
              <w:rPr>
                <w:rFonts w:ascii="Times" w:cs="Times" w:eastAsia="Times" w:hAnsi="Times"/>
                <w:b w:val="0"/>
                <w:i w:val="1"/>
                <w:color w:val="0000ff"/>
                <w:u w:val="single"/>
                <w:rtl w:val="0"/>
              </w:rPr>
              <w:t xml:space="preserve">dermawatysihombing@gmail.com</w:t>
            </w:r>
            <w:r w:rsidDel="00000000" w:rsidR="00000000" w:rsidRPr="00000000">
              <w:rPr>
                <w:rtl w:val="0"/>
              </w:rPr>
            </w:r>
          </w:p>
          <w:p w:rsidR="00000000" w:rsidDel="00000000" w:rsidP="00000000" w:rsidRDefault="00000000" w:rsidRPr="00000000" w14:paraId="0000000C">
            <w:pPr>
              <w:jc w:val="center"/>
              <w:rPr>
                <w:rFonts w:ascii="Times" w:cs="Times" w:eastAsia="Times" w:hAnsi="Times"/>
                <w:b w:val="0"/>
                <w:i w:val="1"/>
              </w:rPr>
            </w:pPr>
            <w:r w:rsidDel="00000000" w:rsidR="00000000" w:rsidRPr="00000000">
              <w:rPr>
                <w:rFonts w:ascii="Times" w:cs="Times" w:eastAsia="Times" w:hAnsi="Times"/>
                <w:b w:val="0"/>
                <w:i w:val="1"/>
                <w:rtl w:val="0"/>
              </w:rPr>
              <w:t xml:space="preserve">Nurindah Dwiyani </w:t>
            </w:r>
            <w:r w:rsidDel="00000000" w:rsidR="00000000" w:rsidRPr="00000000">
              <w:rPr>
                <w:rFonts w:ascii="Times" w:cs="Times" w:eastAsia="Times" w:hAnsi="Times"/>
                <w:b w:val="0"/>
                <w:i w:val="1"/>
                <w:vertAlign w:val="superscript"/>
                <w:rtl w:val="0"/>
              </w:rPr>
              <w:t xml:space="preserve">2)</w:t>
            </w:r>
            <w:r w:rsidDel="00000000" w:rsidR="00000000" w:rsidRPr="00000000">
              <w:rPr>
                <w:rFonts w:ascii="Times" w:cs="Times" w:eastAsia="Times" w:hAnsi="Times"/>
                <w:b w:val="0"/>
                <w:i w:val="1"/>
                <w:rtl w:val="0"/>
              </w:rPr>
              <w:t xml:space="preserve">  </w:t>
            </w:r>
            <w:r w:rsidDel="00000000" w:rsidR="00000000" w:rsidRPr="00000000">
              <w:rPr>
                <w:rFonts w:ascii="Times" w:cs="Times" w:eastAsia="Times" w:hAnsi="Times"/>
                <w:b w:val="0"/>
                <w:i w:val="1"/>
                <w:color w:val="0000ff"/>
                <w:u w:val="single"/>
                <w:rtl w:val="0"/>
              </w:rPr>
              <w:t xml:space="preserve">nurindah05kammar@gmail.com</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rtl w:val="0"/>
              </w:rPr>
              <w:t xml:space="preserve">Marudut Bernadtua Simanjuntak</w:t>
            </w:r>
            <w:r w:rsidDel="00000000" w:rsidR="00000000" w:rsidRPr="00000000">
              <w:rPr>
                <w:rFonts w:ascii="Times New Roman" w:cs="Times New Roman" w:eastAsia="Times New Roman" w:hAnsi="Times New Roman"/>
                <w:b w:val="0"/>
                <w:i w:val="1"/>
                <w:vertAlign w:val="superscript"/>
                <w:rtl w:val="0"/>
              </w:rPr>
              <w:t xml:space="preserve">3)</w:t>
            </w:r>
            <w:r w:rsidDel="00000000" w:rsidR="00000000" w:rsidRPr="00000000">
              <w:rPr>
                <w:rFonts w:ascii="Times New Roman" w:cs="Times New Roman" w:eastAsia="Times New Roman" w:hAnsi="Times New Roman"/>
                <w:b w:val="0"/>
                <w:i w:val="1"/>
                <w:rtl w:val="0"/>
              </w:rPr>
              <w:t xml:space="preserve">  </w:t>
            </w:r>
            <w:hyperlink r:id="rId8">
              <w:r w:rsidDel="00000000" w:rsidR="00000000" w:rsidRPr="00000000">
                <w:rPr>
                  <w:rFonts w:ascii="Times New Roman" w:cs="Times New Roman" w:eastAsia="Times New Roman" w:hAnsi="Times New Roman"/>
                  <w:b w:val="0"/>
                  <w:i w:val="1"/>
                  <w:color w:val="0000ff"/>
                  <w:u w:val="single"/>
                  <w:rtl w:val="0"/>
                </w:rPr>
                <w:t xml:space="preserve">bernadmarudut@gmail.com</w:t>
              </w:r>
            </w:hyperlink>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rtl w:val="0"/>
              </w:rPr>
              <w:t xml:space="preserve">Christiani Hutabarat</w:t>
            </w:r>
            <w:r w:rsidDel="00000000" w:rsidR="00000000" w:rsidRPr="00000000">
              <w:rPr>
                <w:rFonts w:ascii="Times New Roman" w:cs="Times New Roman" w:eastAsia="Times New Roman" w:hAnsi="Times New Roman"/>
                <w:b w:val="0"/>
                <w:i w:val="1"/>
                <w:vertAlign w:val="superscript"/>
                <w:rtl w:val="0"/>
              </w:rPr>
              <w:t xml:space="preserve">4)</w:t>
            </w:r>
            <w:r w:rsidDel="00000000" w:rsidR="00000000" w:rsidRPr="00000000">
              <w:rPr>
                <w:rFonts w:ascii="Times New Roman" w:cs="Times New Roman" w:eastAsia="Times New Roman" w:hAnsi="Times New Roman"/>
                <w:b w:val="0"/>
                <w:i w:val="1"/>
                <w:rtl w:val="0"/>
              </w:rPr>
              <w:t xml:space="preserve"> </w:t>
            </w:r>
            <w:hyperlink r:id="rId9">
              <w:r w:rsidDel="00000000" w:rsidR="00000000" w:rsidRPr="00000000">
                <w:rPr>
                  <w:rFonts w:ascii="Times New Roman" w:cs="Times New Roman" w:eastAsia="Times New Roman" w:hAnsi="Times New Roman"/>
                  <w:b w:val="0"/>
                  <w:i w:val="1"/>
                  <w:color w:val="0000ff"/>
                  <w:u w:val="single"/>
                  <w:rtl w:val="0"/>
                </w:rPr>
                <w:t xml:space="preserve">hutabaratchristine@gmail.com</w:t>
              </w:r>
            </w:hyperlink>
            <w:r w:rsidDel="00000000" w:rsidR="00000000" w:rsidRPr="00000000">
              <w:rPr>
                <w:rFonts w:ascii="Times New Roman" w:cs="Times New Roman" w:eastAsia="Times New Roman" w:hAnsi="Times New Roman"/>
                <w:b w:val="0"/>
                <w:i w:val="1"/>
                <w:rtl w:val="0"/>
              </w:rPr>
              <w:t xml:space="preserve">   </w:t>
            </w:r>
          </w:p>
          <w:p w:rsidR="00000000" w:rsidDel="00000000" w:rsidP="00000000" w:rsidRDefault="00000000" w:rsidRPr="00000000" w14:paraId="0000000F">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rtl w:val="0"/>
              </w:rPr>
              <w:t xml:space="preserve">Sutrisno Sutrisno</w:t>
            </w:r>
            <w:r w:rsidDel="00000000" w:rsidR="00000000" w:rsidRPr="00000000">
              <w:rPr>
                <w:rFonts w:ascii="Times New Roman" w:cs="Times New Roman" w:eastAsia="Times New Roman" w:hAnsi="Times New Roman"/>
                <w:b w:val="0"/>
                <w:i w:val="1"/>
                <w:vertAlign w:val="superscript"/>
                <w:rtl w:val="0"/>
              </w:rPr>
              <w:t xml:space="preserve">5)</w:t>
            </w:r>
            <w:r w:rsidDel="00000000" w:rsidR="00000000" w:rsidRPr="00000000">
              <w:rPr>
                <w:rFonts w:ascii="Times New Roman" w:cs="Times New Roman" w:eastAsia="Times New Roman" w:hAnsi="Times New Roman"/>
                <w:b w:val="0"/>
                <w:i w:val="1"/>
                <w:rtl w:val="0"/>
              </w:rPr>
              <w:t xml:space="preserve"> </w:t>
            </w:r>
            <w:hyperlink r:id="rId10">
              <w:r w:rsidDel="00000000" w:rsidR="00000000" w:rsidRPr="00000000">
                <w:rPr>
                  <w:rFonts w:ascii="Times New Roman" w:cs="Times New Roman" w:eastAsia="Times New Roman" w:hAnsi="Times New Roman"/>
                  <w:b w:val="0"/>
                  <w:i w:val="1"/>
                  <w:color w:val="0000ff"/>
                  <w:u w:val="single"/>
                  <w:rtl w:val="0"/>
                </w:rPr>
                <w:t xml:space="preserve">christdeon@gmail.com</w:t>
              </w:r>
            </w:hyperlink>
            <w:r w:rsidDel="00000000" w:rsidR="00000000" w:rsidRPr="00000000">
              <w:rPr>
                <w:rFonts w:ascii="Times New Roman" w:cs="Times New Roman" w:eastAsia="Times New Roman" w:hAnsi="Times New Roman"/>
                <w:b w:val="0"/>
                <w:i w:val="1"/>
                <w:rtl w:val="0"/>
              </w:rPr>
              <w:t xml:space="preserve"> </w:t>
            </w:r>
          </w:p>
          <w:p w:rsidR="00000000" w:rsidDel="00000000" w:rsidP="00000000" w:rsidRDefault="00000000" w:rsidRPr="00000000" w14:paraId="00000010">
            <w:pPr>
              <w:jc w:val="center"/>
              <w:rPr>
                <w:rFonts w:ascii="Times" w:cs="Times" w:eastAsia="Times" w:hAnsi="Times"/>
                <w:b w:val="0"/>
                <w:i w:val="1"/>
              </w:rPr>
            </w:pPr>
            <w:r w:rsidDel="00000000" w:rsidR="00000000" w:rsidRPr="00000000">
              <w:rPr>
                <w:rtl w:val="0"/>
              </w:rPr>
            </w:r>
          </w:p>
          <w:p w:rsidR="00000000" w:rsidDel="00000000" w:rsidP="00000000" w:rsidRDefault="00000000" w:rsidRPr="00000000" w14:paraId="00000011">
            <w:pPr>
              <w:jc w:val="center"/>
              <w:rPr>
                <w:rFonts w:ascii="Times" w:cs="Times" w:eastAsia="Times" w:hAnsi="Times"/>
                <w:b w:val="0"/>
                <w:i w:val="1"/>
              </w:rPr>
            </w:pPr>
            <w:r w:rsidDel="00000000" w:rsidR="00000000" w:rsidRPr="00000000">
              <w:rPr>
                <w:rFonts w:ascii="Times" w:cs="Times" w:eastAsia="Times" w:hAnsi="Times"/>
                <w:b w:val="0"/>
                <w:i w:val="1"/>
                <w:vertAlign w:val="superscript"/>
                <w:rtl w:val="0"/>
              </w:rPr>
              <w:t xml:space="preserve">1,2,3</w:t>
            </w:r>
            <w:r w:rsidDel="00000000" w:rsidR="00000000" w:rsidRPr="00000000">
              <w:rPr>
                <w:rFonts w:ascii="Times" w:cs="Times" w:eastAsia="Times" w:hAnsi="Times"/>
                <w:b w:val="0"/>
                <w:i w:val="1"/>
                <w:rtl w:val="0"/>
              </w:rPr>
              <w:t xml:space="preserve"> Maritime Institute of Jakarta (Sekolah Tinggi Ilmu Pelayaran -  Jakarta)</w:t>
            </w:r>
          </w:p>
          <w:p w:rsidR="00000000" w:rsidDel="00000000" w:rsidP="00000000" w:rsidRDefault="00000000" w:rsidRPr="00000000" w14:paraId="00000012">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vertAlign w:val="superscript"/>
                <w:rtl w:val="0"/>
              </w:rPr>
              <w:t xml:space="preserve">4</w:t>
            </w:r>
            <w:r w:rsidDel="00000000" w:rsidR="00000000" w:rsidRPr="00000000">
              <w:rPr>
                <w:rFonts w:ascii="Times New Roman" w:cs="Times New Roman" w:eastAsia="Times New Roman" w:hAnsi="Times New Roman"/>
                <w:b w:val="0"/>
                <w:i w:val="1"/>
                <w:rtl w:val="0"/>
              </w:rPr>
              <w:t xml:space="preserve">Misi William Carey Theological School (STT William Carey - Medan)</w:t>
            </w:r>
          </w:p>
          <w:p w:rsidR="00000000" w:rsidDel="00000000" w:rsidP="00000000" w:rsidRDefault="00000000" w:rsidRPr="00000000" w14:paraId="00000013">
            <w:pPr>
              <w:jc w:val="center"/>
              <w:rPr>
                <w:rFonts w:ascii="Times" w:cs="Times" w:eastAsia="Times" w:hAnsi="Times"/>
                <w:b w:val="0"/>
                <w:i w:val="1"/>
              </w:rPr>
            </w:pPr>
            <w:r w:rsidDel="00000000" w:rsidR="00000000" w:rsidRPr="00000000">
              <w:rPr>
                <w:rFonts w:ascii="Times New Roman" w:cs="Times New Roman" w:eastAsia="Times New Roman" w:hAnsi="Times New Roman"/>
                <w:b w:val="0"/>
                <w:i w:val="1"/>
                <w:vertAlign w:val="superscript"/>
                <w:rtl w:val="0"/>
              </w:rPr>
              <w:t xml:space="preserve">5</w:t>
            </w:r>
            <w:r w:rsidDel="00000000" w:rsidR="00000000" w:rsidRPr="00000000">
              <w:rPr>
                <w:rFonts w:ascii="Times New Roman" w:cs="Times New Roman" w:eastAsia="Times New Roman" w:hAnsi="Times New Roman"/>
                <w:b w:val="0"/>
                <w:i w:val="1"/>
                <w:rtl w:val="0"/>
              </w:rPr>
              <w:t xml:space="preserve">Moriah Theological Seminary (STT Moriah - Tangerang)</w:t>
            </w: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0"/>
                <w:color w:val="000000"/>
                <w:sz w:val="20"/>
                <w:szCs w:val="20"/>
              </w:rPr>
            </w:pPr>
            <w:r w:rsidDel="00000000" w:rsidR="00000000" w:rsidRPr="00000000">
              <w:rPr>
                <w:rtl w:val="0"/>
              </w:rPr>
            </w:r>
          </w:p>
        </w:tc>
      </w:tr>
    </w:tbl>
    <w:p w:rsidR="00000000" w:rsidDel="00000000" w:rsidP="00000000" w:rsidRDefault="00000000" w:rsidRPr="00000000" w14:paraId="00000015">
      <w:pPr>
        <w:spacing w:after="0" w:line="240" w:lineRule="auto"/>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Abstract</w:t>
      </w:r>
    </w:p>
    <w:p w:rsidR="00000000" w:rsidDel="00000000" w:rsidP="00000000" w:rsidRDefault="00000000" w:rsidRPr="00000000" w14:paraId="00000016">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research explores the impact of international standards on maritime education through the perspectives of 45 junior cadets. Utilizing qualitative methods, including interviews and observations, the study investigates the alignment of educational programs with standards set by the International Maritime Organization (IMO) and the Standards of Training, Certification, and Watchkeeping for Seafarers (STCW). Findings reveal a strong perception of alignment with international standards among participants, emphasizing the importance of consistency and global recognition in maritime education. Additionally, the analysis highlights the relevance of curriculum content to professional needs, the significance of continuous professional development, and the availability of opportunities for career advancement within educational institutions. The research contributes to discussions surrounding the optimization of maritime education and underscores the importance of lifelong learning and professionalism in preparing junior cadets for successful careers in the maritime industry.</w:t>
      </w:r>
    </w:p>
    <w:p w:rsidR="00000000" w:rsidDel="00000000" w:rsidP="00000000" w:rsidRDefault="00000000" w:rsidRPr="00000000" w14:paraId="00000017">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bl>
      <w:tblPr>
        <w:tblStyle w:val="Table3"/>
        <w:tblW w:w="9639.0" w:type="dxa"/>
        <w:jc w:val="left"/>
        <w:tblInd w:w="108.0" w:type="dxa"/>
        <w:tblBorders>
          <w:top w:color="000000" w:space="0" w:sz="4" w:val="single"/>
          <w:left w:color="000000" w:space="0" w:sz="4" w:val="single"/>
          <w:bottom w:color="7f7f7f" w:space="0" w:sz="4" w:val="single"/>
          <w:right w:color="000000" w:space="0" w:sz="4" w:val="single"/>
          <w:insideH w:color="7f7f7f" w:space="0" w:sz="4" w:val="single"/>
          <w:insideV w:color="7f7f7f" w:space="0" w:sz="4" w:val="single"/>
        </w:tblBorders>
        <w:tblLayout w:type="fixed"/>
        <w:tblLook w:val="04A0"/>
      </w:tblPr>
      <w:tblGrid>
        <w:gridCol w:w="9639"/>
        <w:tblGridChange w:id="0">
          <w:tblGrid>
            <w:gridCol w:w="9639"/>
          </w:tblGrid>
        </w:tblGridChange>
      </w:tblGrid>
      <w:tr>
        <w:trPr>
          <w:cantSplit w:val="0"/>
          <w:tblHeader w:val="0"/>
        </w:trPr>
        <w:tc>
          <w:tcPr>
            <w:tcBorders>
              <w:top w:color="000000" w:space="0" w:sz="8" w:val="single"/>
              <w:bottom w:color="000000" w:space="0" w:sz="8" w:val="single"/>
            </w:tcBorders>
          </w:tcPr>
          <w:p w:rsidR="00000000" w:rsidDel="00000000" w:rsidP="00000000" w:rsidRDefault="00000000" w:rsidRPr="00000000" w14:paraId="00000018">
            <w:pPr>
              <w:ind w:left="-105" w:firstLine="0"/>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i w:val="1"/>
                <w:sz w:val="20"/>
                <w:szCs w:val="20"/>
                <w:rtl w:val="0"/>
              </w:rPr>
              <w:t xml:space="preserve">Keywords : Maritime education, International standards, Junior cadets, Qualitative analysis, STCW</w:t>
            </w:r>
            <w:r w:rsidDel="00000000" w:rsidR="00000000" w:rsidRPr="00000000">
              <w:rPr>
                <w:rtl w:val="0"/>
              </w:rPr>
            </w:r>
          </w:p>
        </w:tc>
      </w:tr>
    </w:tbl>
    <w:p w:rsidR="00000000" w:rsidDel="00000000" w:rsidP="00000000" w:rsidRDefault="00000000" w:rsidRPr="00000000" w14:paraId="00000019">
      <w:pPr>
        <w:spacing w:after="0" w:line="240" w:lineRule="auto"/>
        <w:rPr>
          <w:rFonts w:ascii="Times New Roman" w:cs="Times New Roman" w:eastAsia="Times New Roman" w:hAnsi="Times New Roman"/>
          <w:sz w:val="20"/>
          <w:szCs w:val="20"/>
        </w:rPr>
        <w:sectPr>
          <w:footerReference r:id="rId11" w:type="default"/>
          <w:pgSz w:h="16838" w:w="11906" w:orient="portrait"/>
          <w:pgMar w:bottom="1134" w:top="1134" w:left="1134" w:right="1134" w:header="709" w:footer="709"/>
          <w:pgNumType w:start="1"/>
        </w:sect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1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Maritime education stands as a cornerstone in the development of competent seafarers who are equipped with the necessary knowledge and skills to navigate the complexities of the maritime industry (de la Peña Zarzuelo et al., 2020; Neilson &amp; Rossiter, 2013). Rooted in international standards set forth by esteemed organizations such as the International Maritime Organization (IMO) and the Standards of Training, Certification, and Watchkeeping for Seafarers (STCW), maritime education serves as a conduit for ensuring safety, efficiency, and compliance within the maritime domain (House &amp; Saeed, 2016). As a researcher and lecturer immersed in the realm of maritime education, </w:t>
      </w:r>
      <w:r w:rsidDel="00000000" w:rsidR="00000000" w:rsidRPr="00000000">
        <w:rPr>
          <w:rFonts w:ascii="Times New Roman" w:cs="Times New Roman" w:eastAsia="Times New Roman" w:hAnsi="Times New Roman"/>
          <w:highlight w:val="yellow"/>
          <w:rtl w:val="0"/>
        </w:rPr>
        <w:t xml:space="preserve">my </w:t>
      </w:r>
      <w:r w:rsidDel="00000000" w:rsidR="00000000" w:rsidRPr="00000000">
        <w:rPr>
          <w:rFonts w:ascii="Times New Roman" w:cs="Times New Roman" w:eastAsia="Times New Roman" w:hAnsi="Times New Roman"/>
          <w:rtl w:val="0"/>
        </w:rPr>
        <w:t xml:space="preserve">academic pursuits are dedicated to unraveling the intricate dynamics between international standards and their impact on the educational landscape, particularly focusing on the perspectives of junior cadets undergoing training in maritime institutes, marine schools, and vocational institutions. The backdrop of this research is set against the backdrop of a rapidly evolving maritime industry, characterized by technological advancements, regulatory reforms, and globalized trade networks. In this context, the significance of adhering to international standards in maritime education cannot be overstated. These standards serve as guiding principles, dictating the curriculum, training methodologies, and competency frameworks implemented within educational institutions catering to aspiring seafarers (Mori &amp; Manuel, 2023). At the forefront of these standards lie the mandates outlined by the IMO and STCW, which seek to harmonize maritime practices, enhance safety protocols, and ensure the proficiency of seafaring professionals on a global scale.</w:t>
      </w:r>
    </w:p>
    <w:p w:rsidR="00000000" w:rsidDel="00000000" w:rsidP="00000000" w:rsidRDefault="00000000" w:rsidRPr="00000000" w14:paraId="0000001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Aligned with the overarching objective of enhancing maritime safety and efficiency, the purpose of this research is multifaceted. Firstly, it aims to delve into the nuanced perspectives of 45 junior cadets undergoing maritime training, elucidating their perceptions, experiences, and challenges concerning the implementation of international standards within their educational milieu. Through qualitative inquiry, this study seeks to unravel the intricate interplay between standardized curricula and the practical realities encountered by junior cadets as they navigate through their educational journey (Abila, 2016). By adopting a descriptive analysis approach, this research endeavors to provide a comprehensive understanding of the efficacy of international standards in maritime education, shedding light on both the successes and shortcomings inherent in their implementation. Furthermore, this research aspires to contribute to the broader discourse surrounding the optimization of maritime education in alignment with international standards. By offering insights gleaned from the firsthand experiences of junior cadets, this study aims to inform educational institutions, policymakers, and industry stakeholders about the pragmatic implications of adhering to international standards. Through critical reflection and academic inquiry, this research seeks to identify areas for improvement, propose innovative pedagogical approaches, and advocate for continuous refinement of maritime education frameworks to meet the evolving demands of the industry (Bergheim et al., 2015; Tseng et al., 2021).</w:t>
      </w:r>
    </w:p>
    <w:p w:rsidR="00000000" w:rsidDel="00000000" w:rsidP="00000000" w:rsidRDefault="00000000" w:rsidRPr="00000000" w14:paraId="0000001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this research holds implications for the professional development and career trajectories of junior cadets aspiring to embark on seafaring professions. By examining the nexus between international standards and educational outcomes, this study aims to empower junior cadets with the requisite knowledge and awareness to navigate the complexities of the maritime industry with confidence and competence (Sharma, 2023). By fostering a deeper understanding of the rationale behind international standards, this research endeavors to instill a sense of accountability, professionalism, and commitment to lifelong learning among aspiring seafarers, thereby contributing to the cultivation of a skilled and resilient maritime workforce capable of addressing the challenges and opportunities of the 21st-century maritime landscape. This research embarks on a journey to explore the impact of international standards on maritime education through the lens of junior cadets, with the overarching goal of fostering safety, efficiency, and excellence within the maritime domain. By delving into the intricacies of standardized curricula, this study endeavors to unravel the complexities inherent in maritime education, offering insights that resonate with educators, policymakers, industry stakeholders, and aspiring seafarers alike (Mori &amp; Manuel, 2023). Through rigorous academic inquiry and qualitative analysis, this research aspires to catalyze meaningful dialogue, drive informed decision-making, and propel the maritime education landscape towards continuous improvement and innovation.</w:t>
      </w:r>
    </w:p>
    <w:p w:rsidR="00000000" w:rsidDel="00000000" w:rsidP="00000000" w:rsidRDefault="00000000" w:rsidRPr="00000000" w14:paraId="0000001E">
      <w:pPr>
        <w:spacing w:after="0" w:line="240" w:lineRule="auto"/>
        <w:ind w:firstLine="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w:t>
        <w:tab/>
      </w:r>
    </w:p>
    <w:p w:rsidR="00000000" w:rsidDel="00000000" w:rsidP="00000000" w:rsidRDefault="00000000" w:rsidRPr="00000000" w14:paraId="0000002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qualitative research methodology employed in this study seeks to explore the impact of international standards on maritime education through in-depth inquiry and analysis of the perspectives of 45 junior cadets undergoing training in maritime institutes, marine schools, and vocational institutions. By adopting a qualitative approach, this research aims to uncover the nuanced insights, experiences, and perceptions of junior cadets regarding the implementation of international standards within their educational milieu, thereby offering rich, contextualized data that transcend mere numerical metrics. Central to the qualitative research design is the utilization of semi-structured interviews as the primary data collection method (Creswell &amp; Clark, 2011; Yilmaz, 2013). Semi-structured interviews provide a flexible yet systematic framework for engaging participants in open-ended dialogue, allowing for the exploration of diverse viewpoints, narratives, and experiences related to the research topic. The interview protocol is designed to elicit responses pertaining to various dimensions of maritime education, including the alignment with international standards, curriculum content, instructional methodologies, practical training experiences, and perceived challenges and opportunities.</w:t>
      </w:r>
    </w:p>
    <w:p w:rsidR="00000000" w:rsidDel="00000000" w:rsidP="00000000" w:rsidRDefault="00000000" w:rsidRPr="00000000" w14:paraId="0000002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selection of participants for the study involves purposive sampling, whereby junior cadets currently enrolled in maritime education programs are invited to participate based on their willingness and availability (Chilisa, 2019). Given the specific focus of the research on international standards in maritime education, participants are recruited from diverse educational institutions that adhere to recognized international frameworks such as the IMO and STCW (Balkin, 2006; House &amp; Saeed, 2016; Schriever, 2008). This ensures a heterogeneous sample that encompasses a range of perspectives, backgrounds, and experiences, thereby enriching the depth and breadth of the data collected. Data collection is conducted through face-to-face interviews conducted either in person or via digital platforms, depending on logistical constraints and participant preferences. Each interview session is guided by a semi-structured interview guide developed in advance by the researcher, comprising a series of open-ended questions designed to probe participants' perceptions, experiences, and reflections on the impact of international standards on their maritime education journey. The interview process is characterized by active listening, probing, and rapport-building techniques aimed at fostering a conducive environment for candid and reflective discourse.</w:t>
      </w:r>
    </w:p>
    <w:p w:rsidR="00000000" w:rsidDel="00000000" w:rsidP="00000000" w:rsidRDefault="00000000" w:rsidRPr="00000000" w14:paraId="0000002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semi-structured interviews, supplementary data collection methods such as participant observation and document analysis may be employed to triangulate and contextualize the findings. Participant observation involves the researcher immersing themselves in the educational environment, attending classes, practical training sessions, and other activities alongside the junior cadets to gain firsthand insights into the dynamics of maritime education. Document analysis, on the other hand, entails the review and examination of relevant educational materials, curricula, policies, and institutional documents to provide additional context and corroborate the interview data (Lo Iacono et al., 2016). Data analysis is conducted iteratively and thematically, following the principles of grounded theory to identify patterns, themes, and categories emerging from the qualitative data. The process begins with transcription and coding of the interview transcripts, wherein significant phrases, concepts, and ideas are systematically identified and categorized into overarching themes and subthemes. Through constant comparison and refinement, these themes are iteratively developed and validated to capture the breadth and depth of the participants' perspectives on the research topic. </w:t>
      </w:r>
    </w:p>
    <w:p w:rsidR="00000000" w:rsidDel="00000000" w:rsidP="00000000" w:rsidRDefault="00000000" w:rsidRPr="00000000" w14:paraId="0000002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 AND DISCUSSION</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Result</w:t>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3.1.1. Comprehensive exploration of the impact of international standards on maritime education</w:t>
      </w:r>
    </w:p>
    <w:p w:rsidR="00000000" w:rsidDel="00000000" w:rsidP="00000000" w:rsidRDefault="00000000" w:rsidRPr="00000000" w14:paraId="0000002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findings of the research offer a comprehensive exploration of the impact of international standards on maritime education, as perceived by 45 junior cadets undergoing training in maritime institutes, marine schools, and vocational institutions. Through qualitative analysis of semi-structured interviews, participant observation, and document analysis, several key themes and insights emerged, shedding light on the complexities, challenges, and opportunities inherent in the implementation of international standards within the educational milieu of aspiring seafarers.</w:t>
      </w:r>
    </w:p>
    <w:p w:rsidR="00000000" w:rsidDel="00000000" w:rsidP="00000000" w:rsidRDefault="00000000" w:rsidRPr="00000000" w14:paraId="0000002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1: Distribution of Participants by Educational Institution</w:t>
      </w:r>
      <w:r w:rsidDel="00000000" w:rsidR="00000000" w:rsidRPr="00000000">
        <w:rPr>
          <w:rtl w:val="0"/>
        </w:rPr>
      </w:r>
    </w:p>
    <w:tbl>
      <w:tblPr>
        <w:tblStyle w:val="Table4"/>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3799"/>
        <w:gridCol w:w="3843"/>
        <w:gridCol w:w="2198"/>
        <w:tblGridChange w:id="0">
          <w:tblGrid>
            <w:gridCol w:w="3799"/>
            <w:gridCol w:w="3843"/>
            <w:gridCol w:w="2198"/>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29">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Institution</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2A">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Participants</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2B">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Percentage</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2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Maritime Institute</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2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2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44.4%</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2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Marine School</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3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Vocational Institution</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3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3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3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1 provides an overview of the distribution of participants by educational institution. The majority of participants (44.4%) were enrolled in maritime institutes, followed by marine schools (33.3%) and vocational institutions (22.2%).</w:t>
      </w:r>
    </w:p>
    <w:p w:rsidR="00000000" w:rsidDel="00000000" w:rsidP="00000000" w:rsidRDefault="00000000" w:rsidRPr="00000000" w14:paraId="0000003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Theme 1: Alignment with International Standards</w:t>
      </w:r>
      <w:r w:rsidDel="00000000" w:rsidR="00000000" w:rsidRPr="00000000">
        <w:rPr>
          <w:rtl w:val="0"/>
        </w:rPr>
      </w:r>
    </w:p>
    <w:p w:rsidR="00000000" w:rsidDel="00000000" w:rsidP="00000000" w:rsidRDefault="00000000" w:rsidRPr="00000000" w14:paraId="0000003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theme that emerged from the findings pertains to the alignment of maritime education programs with international standards, particularly those outlined by the International Maritime Organization (IMO) and the Standards of Training, Certification, and Watchkeeping for Seafarers (STCW). Across all educational institutions, there was a consensus among participants regarding the importance of adhering to international standards to ensure consistency, interoperability, and global recognition of qualifications.</w:t>
      </w:r>
    </w:p>
    <w:p w:rsidR="00000000" w:rsidDel="00000000" w:rsidP="00000000" w:rsidRDefault="00000000" w:rsidRPr="00000000" w14:paraId="0000003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2: Participants' Perception of Alignment with International Standards</w:t>
      </w:r>
    </w:p>
    <w:tbl>
      <w:tblPr>
        <w:tblStyle w:val="Table5"/>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2283"/>
        <w:gridCol w:w="2529"/>
        <w:gridCol w:w="2115"/>
        <w:gridCol w:w="2913"/>
        <w:tblGridChange w:id="0">
          <w:tblGrid>
            <w:gridCol w:w="2283"/>
            <w:gridCol w:w="2529"/>
            <w:gridCol w:w="2115"/>
            <w:gridCol w:w="2913"/>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C">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Perception</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D">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Maritime Institute</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E">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Marine School</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3F">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Vocational Institution</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Fully Aligned</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4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Partially Aligned</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4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Aligned</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4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bl>
    <w:p w:rsidR="00000000" w:rsidDel="00000000" w:rsidP="00000000" w:rsidRDefault="00000000" w:rsidRPr="00000000" w14:paraId="0000004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2 illustrates participants' perceptions of the alignment of their maritime education programs with international standards. The majority of participants across all educational institutions perceived their programs to be fully aligned with international standards, although there were variations observed, with some indicating partial alignment or non-alignment in certain aspects.</w:t>
      </w:r>
    </w:p>
    <w:p w:rsidR="00000000" w:rsidDel="00000000" w:rsidP="00000000" w:rsidRDefault="00000000" w:rsidRPr="00000000" w14:paraId="0000004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Theme 2: Curriculum Content and Practical Training</w:t>
      </w:r>
      <w:r w:rsidDel="00000000" w:rsidR="00000000" w:rsidRPr="00000000">
        <w:rPr>
          <w:rtl w:val="0"/>
        </w:rPr>
      </w:r>
    </w:p>
    <w:p w:rsidR="00000000" w:rsidDel="00000000" w:rsidP="00000000" w:rsidRDefault="00000000" w:rsidRPr="00000000" w14:paraId="0000004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theme revolves around the curriculum content and practical training experiences within maritime education programs. Participants highlighted the importance of a balanced curriculum that integrates theoretical knowledge with hands-on practical training to foster competency and readiness for real-world challenges at sea.</w:t>
      </w:r>
    </w:p>
    <w:p w:rsidR="00000000" w:rsidDel="00000000" w:rsidP="00000000" w:rsidRDefault="00000000" w:rsidRPr="00000000" w14:paraId="0000004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3: Participants' Satisfaction with Curriculum Content and Practical Training</w:t>
      </w:r>
    </w:p>
    <w:tbl>
      <w:tblPr>
        <w:tblStyle w:val="Table6"/>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4546"/>
        <w:gridCol w:w="1677"/>
        <w:gridCol w:w="1567"/>
        <w:gridCol w:w="2050"/>
        <w:tblGridChange w:id="0">
          <w:tblGrid>
            <w:gridCol w:w="4546"/>
            <w:gridCol w:w="1677"/>
            <w:gridCol w:w="1567"/>
            <w:gridCol w:w="2050"/>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0">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Aspect</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1">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Satisfied</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2">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Neutral</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53">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Dissatisfied</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Theoretical Knowledge</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5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Practical Training</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5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Integration of Theory and Practice</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5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bl>
    <w:p w:rsidR="00000000" w:rsidDel="00000000" w:rsidP="00000000" w:rsidRDefault="00000000" w:rsidRPr="00000000" w14:paraId="0000006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3 presents participants' satisfaction levels with various aspects of the curriculum content and practical training. The majority of participants expressed satisfaction with the theoretical knowledge imparted in their programs, although there were some concerns regarding the integration of theory and practice, indicating room for improvement in bridging the gap between classroom learning and real-world application.</w:t>
      </w:r>
    </w:p>
    <w:p w:rsidR="00000000" w:rsidDel="00000000" w:rsidP="00000000" w:rsidRDefault="00000000" w:rsidRPr="00000000" w14:paraId="0000006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Theme 3: Challenges and Opportunities</w:t>
      </w:r>
      <w:r w:rsidDel="00000000" w:rsidR="00000000" w:rsidRPr="00000000">
        <w:rPr>
          <w:rtl w:val="0"/>
        </w:rPr>
      </w:r>
    </w:p>
    <w:p w:rsidR="00000000" w:rsidDel="00000000" w:rsidP="00000000" w:rsidRDefault="00000000" w:rsidRPr="00000000" w14:paraId="0000006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third theme centers on the challenges and opportunities encountered by junior cadets in navigating the complexities of maritime education in line with international standards. Participants highlighted various challenges, including limited access to modern training facilities and equipment, language barriers, and the need for continuous professional development to keep pace with technological advancements in the maritime industry.</w:t>
      </w:r>
    </w:p>
    <w:p w:rsidR="00000000" w:rsidDel="00000000" w:rsidP="00000000" w:rsidRDefault="00000000" w:rsidRPr="00000000" w14:paraId="0000006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4: Challenges and Opportunities Identified by Participants</w:t>
      </w:r>
    </w:p>
    <w:tbl>
      <w:tblPr>
        <w:tblStyle w:val="Table7"/>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5120"/>
        <w:gridCol w:w="4720"/>
        <w:tblGridChange w:id="0">
          <w:tblGrid>
            <w:gridCol w:w="5120"/>
            <w:gridCol w:w="4720"/>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4">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Challenges</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65">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Opportunities</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Access to Training Facilities</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6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Emphasis on Lifelong Learning</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 Barriers</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6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Technological Advancements</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Regulatory Compliance</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6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 Networking Opportunities</w:t>
            </w:r>
          </w:p>
        </w:tc>
      </w:tr>
    </w:tbl>
    <w:p w:rsidR="00000000" w:rsidDel="00000000" w:rsidP="00000000" w:rsidRDefault="00000000" w:rsidRPr="00000000" w14:paraId="0000006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4 summarizes the challenges and opportunities identified by participants in the realm of maritime education. While challenges such as limited access to training facilities and language barriers were prevalent, participants also recognized opportunities for continuous professional development, technological advancements, and global networking that could enhance their educational experience and career prospects in the maritime industry.</w:t>
      </w:r>
    </w:p>
    <w:p w:rsidR="00000000" w:rsidDel="00000000" w:rsidP="00000000" w:rsidRDefault="00000000" w:rsidRPr="00000000" w14:paraId="0000006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the findings of the research offer valuable insights into the impact of international standards on maritime education from the perspectives of junior cadets. By elucidating themes related to alignment with international standards, curriculum content and practical training, as well as challenges and opportunities, this research contributes to the ongoing discourse surrounding the optimization of maritime education in alignment with global standards. The data presented in tables provide a comprehensive overview of participants' perceptions, experiences, and recommendations, thereby informing educators, policymakers, industry stakeholders, and aspiring seafarers about the complexities and nuances inherent in maritime education within the context of international standards.</w:t>
      </w:r>
    </w:p>
    <w:p w:rsidR="00000000" w:rsidDel="00000000" w:rsidP="00000000" w:rsidRDefault="00000000" w:rsidRPr="00000000" w14:paraId="0000006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3.1.2. Analysis of Research, Needs, and Professionalism in Maritime Education</w:t>
      </w:r>
    </w:p>
    <w:p w:rsidR="00000000" w:rsidDel="00000000" w:rsidP="00000000" w:rsidRDefault="00000000" w:rsidRPr="00000000" w14:paraId="0000007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delves deeper into the analysis of the data collected from junior cadets regarding their perceptions, needs, and professionalism in maritime education within the context of international standards. The findings presented here complement and support the first set of findings, providing a more nuanced understanding of the challenges and opportunities inherent in the pursuit of standardized international maritime education.</w:t>
      </w:r>
    </w:p>
    <w:p w:rsidR="00000000" w:rsidDel="00000000" w:rsidP="00000000" w:rsidRDefault="00000000" w:rsidRPr="00000000" w14:paraId="0000007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5: Junior Cadets' Perception of the Relevance of Curriculum to Professional Needs</w:t>
      </w:r>
      <w:r w:rsidDel="00000000" w:rsidR="00000000" w:rsidRPr="00000000">
        <w:rPr>
          <w:rtl w:val="0"/>
        </w:rPr>
      </w:r>
    </w:p>
    <w:tbl>
      <w:tblPr>
        <w:tblStyle w:val="Table8"/>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2715"/>
        <w:gridCol w:w="1789"/>
        <w:gridCol w:w="1337"/>
        <w:gridCol w:w="2302"/>
        <w:gridCol w:w="1697"/>
        <w:tblGridChange w:id="0">
          <w:tblGrid>
            <w:gridCol w:w="2715"/>
            <w:gridCol w:w="1789"/>
            <w:gridCol w:w="1337"/>
            <w:gridCol w:w="2302"/>
            <w:gridCol w:w="1697"/>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2">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Aspect</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3">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Very Relevant</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4">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Relevant</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5">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Somewhat Relevant</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76">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 Relevant</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Theoretical Knowledge</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7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Practical Skills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8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Regulations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8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Protection</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8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bl>
    <w:p w:rsidR="00000000" w:rsidDel="00000000" w:rsidP="00000000" w:rsidRDefault="00000000" w:rsidRPr="00000000" w14:paraId="0000008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5 presents junior cadets' perception of the relevance of the curriculum to their professional needs. The majority of participants indicated that theoretical knowledge, practical skills, safety regulations, and environmental protection components of the curriculum were either very relevant or relevant to their future roles as maritime professionals. This underscores the importance of aligning educational content with the practical demands of the industry, as mandated by international standards such as those outlined by the International Maritime Organization (IMO) and the Standards of Training, Certification, and Watchkeeping for Seafarers (STCW).</w:t>
      </w:r>
    </w:p>
    <w:p w:rsidR="00000000" w:rsidDel="00000000" w:rsidP="00000000" w:rsidRDefault="00000000" w:rsidRPr="00000000" w14:paraId="0000008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analysis reveals a strong correlation between the perceived relevance of the curriculum and participants' satisfaction levels, as depicted in Table 6.</w:t>
      </w:r>
    </w:p>
    <w:p w:rsidR="00000000" w:rsidDel="00000000" w:rsidP="00000000" w:rsidRDefault="00000000" w:rsidRPr="00000000" w14:paraId="0000008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6: Correlation between Curriculum Relevance and Participant Satisfaction</w:t>
      </w:r>
      <w:r w:rsidDel="00000000" w:rsidR="00000000" w:rsidRPr="00000000">
        <w:rPr>
          <w:rtl w:val="0"/>
        </w:rPr>
      </w:r>
    </w:p>
    <w:tbl>
      <w:tblPr>
        <w:tblStyle w:val="Table9"/>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3346"/>
        <w:gridCol w:w="2082"/>
        <w:gridCol w:w="1979"/>
        <w:gridCol w:w="2433"/>
        <w:tblGridChange w:id="0">
          <w:tblGrid>
            <w:gridCol w:w="3346"/>
            <w:gridCol w:w="2082"/>
            <w:gridCol w:w="1979"/>
            <w:gridCol w:w="2433"/>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E">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Curriculum Aspect</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F">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Satisfied (%)</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0">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Neutral (%)</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91">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Dissatisfied (%)</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Theoretical Knowledge</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9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Practical Skills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9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Regulations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9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Protection</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A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bl>
    <w:p w:rsidR="00000000" w:rsidDel="00000000" w:rsidP="00000000" w:rsidRDefault="00000000" w:rsidRPr="00000000" w14:paraId="000000A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6 illustrates the correlation between participants' perception of curriculum relevance and their satisfaction levels. Participants who perceived the curriculum components as very relevant or relevant tended to express higher levels of satisfaction, whereas those who found certain aspects less relevant reported higher levels of dissatisfaction. This underscores the importance of aligning educational content with industry needs to enhance student engagement, motivation, and learning outcomes.</w:t>
      </w:r>
    </w:p>
    <w:p w:rsidR="00000000" w:rsidDel="00000000" w:rsidP="00000000" w:rsidRDefault="00000000" w:rsidRPr="00000000" w14:paraId="000000A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the analysis highlights the need for continuous professional development and lifelong learning among junior cadets to keep pace with the evolving demands of the maritime industry. Table 7 presents participants' attitudes towards professional development opportunities provided within their educational institutions.</w:t>
      </w:r>
    </w:p>
    <w:p w:rsidR="00000000" w:rsidDel="00000000" w:rsidP="00000000" w:rsidRDefault="00000000" w:rsidRPr="00000000" w14:paraId="000000A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7: Junior Cadets' Attitudes towards Professional Development Opportunities</w:t>
      </w:r>
      <w:r w:rsidDel="00000000" w:rsidR="00000000" w:rsidRPr="00000000">
        <w:rPr>
          <w:rtl w:val="0"/>
        </w:rPr>
      </w:r>
    </w:p>
    <w:tbl>
      <w:tblPr>
        <w:tblStyle w:val="Table10"/>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3030"/>
        <w:gridCol w:w="1536"/>
        <w:gridCol w:w="1068"/>
        <w:gridCol w:w="1227"/>
        <w:gridCol w:w="1325"/>
        <w:gridCol w:w="1654"/>
        <w:tblGridChange w:id="0">
          <w:tblGrid>
            <w:gridCol w:w="3030"/>
            <w:gridCol w:w="1536"/>
            <w:gridCol w:w="1068"/>
            <w:gridCol w:w="1227"/>
            <w:gridCol w:w="1325"/>
            <w:gridCol w:w="1654"/>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5">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Aspect</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6">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Strongly Agree</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7">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Agree</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8">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Neutral</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9">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Disagree</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AA">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Strongly Disagree</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Availability of Professional Workshops/Seminars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A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B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Industry Internships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B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for Certification Exams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B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B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bl>
    <w:p w:rsidR="00000000" w:rsidDel="00000000" w:rsidP="00000000" w:rsidRDefault="00000000" w:rsidRPr="00000000" w14:paraId="000000B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7 outlines junior cadets' attitudes towards professional development opportunities provided within their educational institutions. The majority of participants expressed agreement or strong agreement regarding the availability of professional workshops/seminars, access to industry internships, and support for certification exams, indicating a positive institutional climate conducive to fostering lifelong learning and career advancement among aspiring seafarers.</w:t>
      </w:r>
    </w:p>
    <w:p w:rsidR="00000000" w:rsidDel="00000000" w:rsidP="00000000" w:rsidRDefault="00000000" w:rsidRPr="00000000" w14:paraId="000000B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set of findings offers a deeper analysis of the research, needs, and professionalism in maritime education, providing valuable insights into the alignment between educational content and industry demands, as well as the importance of continuous professional development and lifelong learning in preparing junior cadets for successful careers in the maritime industry. The data presented in tables support and reinforce the first findings, highlighting the critical role of international standards in shaping maritime education programs that meet the evolving needs and expectations of the industry.</w:t>
      </w:r>
    </w:p>
    <w:p w:rsidR="00000000" w:rsidDel="00000000" w:rsidP="00000000" w:rsidRDefault="00000000" w:rsidRPr="00000000" w14:paraId="000000BF">
      <w:pPr>
        <w:spacing w:after="0" w:line="240" w:lineRule="auto"/>
        <w:ind w:firstLine="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Discussion</w:t>
      </w:r>
    </w:p>
    <w:p w:rsidR="00000000" w:rsidDel="00000000" w:rsidP="00000000" w:rsidRDefault="00000000" w:rsidRPr="00000000" w14:paraId="000000C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findings presented above offer valuable insights into the impact of international standards on maritime education and shed light on the challenges, opportunities, and professionalism within the maritime industry. In this discussion, we delve deeper into the implications of these findings and explore their significance for educators, policymakers, industry stakeholders, and aspiring seafarers.</w:t>
      </w:r>
    </w:p>
    <w:p w:rsidR="00000000" w:rsidDel="00000000" w:rsidP="00000000" w:rsidRDefault="00000000" w:rsidRPr="00000000" w14:paraId="000000C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3.2.1. Alignment with International Standards</w:t>
      </w:r>
      <w:r w:rsidDel="00000000" w:rsidR="00000000" w:rsidRPr="00000000">
        <w:rPr>
          <w:rtl w:val="0"/>
        </w:rPr>
      </w:r>
    </w:p>
    <w:p w:rsidR="00000000" w:rsidDel="00000000" w:rsidP="00000000" w:rsidRDefault="00000000" w:rsidRPr="00000000" w14:paraId="000000C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set of findings revealed a strong perception among junior cadets regarding the alignment of their maritime education programs with international standards, particularly those outlined by the International Maritime Organization (IMO) and the Standards of Training, Certification, and Watchkeeping for Seafarers (STCW). The majority of participants perceived their programs to be fully aligned or partially aligned with international standards, indicating a high degree of confidence in the quality and relevance of their educational experiences.</w:t>
      </w:r>
    </w:p>
    <w:p w:rsidR="00000000" w:rsidDel="00000000" w:rsidP="00000000" w:rsidRDefault="00000000" w:rsidRPr="00000000" w14:paraId="000000C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finding underscores the pivotal role of international standards in shaping maritime education programs and ensuring consistency, interoperability, and global recognition of qualifications. By adhering to internationally recognized frameworks such as the STCW Convention, educational institutions can provide students with a solid foundation of knowledge, skills, and competencies that are transferable across national borders and compliant with industry best practices.</w:t>
      </w:r>
    </w:p>
    <w:p w:rsidR="00000000" w:rsidDel="00000000" w:rsidP="00000000" w:rsidRDefault="00000000" w:rsidRPr="00000000" w14:paraId="000000C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perception of alignment with international standards was closely associated with participants' satisfaction levels with various aspects of the curriculum content and practical training. Participants who perceived the curriculum components as very relevant or relevant tended to express higher levels of satisfaction, highlighting the importance of aligning educational content with industry needs to enhance student engagement, motivation, and learning outcomes.</w:t>
      </w:r>
    </w:p>
    <w:p w:rsidR="00000000" w:rsidDel="00000000" w:rsidP="00000000" w:rsidRDefault="00000000" w:rsidRPr="00000000" w14:paraId="000000C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3.2.2. Analysis of Research, Needs, and Professionalism in Maritime Education</w:t>
      </w:r>
      <w:r w:rsidDel="00000000" w:rsidR="00000000" w:rsidRPr="00000000">
        <w:rPr>
          <w:rtl w:val="0"/>
        </w:rPr>
      </w:r>
    </w:p>
    <w:p w:rsidR="00000000" w:rsidDel="00000000" w:rsidP="00000000" w:rsidRDefault="00000000" w:rsidRPr="00000000" w14:paraId="000000C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set of findings delved deeper into the analysis of research, needs, and professionalism in maritime education, providing insights into the relevance of the curriculum to professional needs, the importance of continuous professional development, and the availability of opportunities for career advancement within educational institutions.</w:t>
      </w:r>
    </w:p>
    <w:p w:rsidR="00000000" w:rsidDel="00000000" w:rsidP="00000000" w:rsidRDefault="00000000" w:rsidRPr="00000000" w14:paraId="000000C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findings highlighted a strong correlation between the perceived relevance of the curriculum and participants' satisfaction levels, with those who found the curriculum components very relevant or relevant expressing higher levels of satisfaction. This underscores the importance of designing curriculum content that not only meets academic requirements but also addresses the practical demands and challenges encountered in real-world maritime operations.</w:t>
      </w:r>
    </w:p>
    <w:p w:rsidR="00000000" w:rsidDel="00000000" w:rsidP="00000000" w:rsidRDefault="00000000" w:rsidRPr="00000000" w14:paraId="000000C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the findings underscored the importance of continuous professional development and lifelong learning among junior cadets to keep pace with the evolving demands of the maritime industry. Participants expressed positive attitudes towards professional development opportunities provided within their educational institutions, including access to industry internships, support for certification exams, and availability of professional workshops/seminars. This reflects a proactive institutional approach towards fostering a culture of lifelong learning and career advancement among aspiring seafarers.</w:t>
      </w:r>
    </w:p>
    <w:p w:rsidR="00000000" w:rsidDel="00000000" w:rsidP="00000000" w:rsidRDefault="00000000" w:rsidRPr="00000000" w14:paraId="000000C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3.2.3. Implications for Maritime Education and Industry</w:t>
      </w:r>
      <w:r w:rsidDel="00000000" w:rsidR="00000000" w:rsidRPr="00000000">
        <w:rPr>
          <w:rtl w:val="0"/>
        </w:rPr>
      </w:r>
    </w:p>
    <w:p w:rsidR="00000000" w:rsidDel="00000000" w:rsidP="00000000" w:rsidRDefault="00000000" w:rsidRPr="00000000" w14:paraId="000000C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findings of this research have several implications for maritime education and the industry at large. Firstly, they underscore the importance of aligning educational content with international standards to ensure the relevance, consistency, and global recognition of qualifications. By adhering to internationally recognized frameworks such as the STCW Convention, educational institutions can better prepare students for successful careers in the maritime industry and facilitate seamless mobility across national borders.</w:t>
      </w:r>
    </w:p>
    <w:p w:rsidR="00000000" w:rsidDel="00000000" w:rsidP="00000000" w:rsidRDefault="00000000" w:rsidRPr="00000000" w14:paraId="000000C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Secondly, the findings highlight the need for continuous professional development and lifelong learning among maritime professionals to keep pace with technological advancements, regulatory changes, and emerging trends in the industry. Educational institutions play a critical role in providing access to professional development opportunities, industry internships, and certification support to equip junior cadets with the requisite knowledge, skills, and competencies needed to thrive in a dynamic and competitive maritime landscape.</w:t>
      </w:r>
    </w:p>
    <w:p w:rsidR="00000000" w:rsidDel="00000000" w:rsidP="00000000" w:rsidRDefault="00000000" w:rsidRPr="00000000" w14:paraId="000000C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findings underscore the importance of fostering a culture of professionalism, safety consciousness, and environmental stewardship within the maritime industry. By instilling these values early on in their educational journey, junior cadets can contribute to a culture of excellence, integrity, and accountability in their future roles as seafaring professionals, thereby enhancing safety, efficiency, and sustainability within the maritime domain.</w:t>
      </w:r>
    </w:p>
    <w:p w:rsidR="00000000" w:rsidDel="00000000" w:rsidP="00000000" w:rsidRDefault="00000000" w:rsidRPr="00000000" w14:paraId="000000C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3.2.4. Limitations and Future Research Directions</w:t>
      </w:r>
      <w:r w:rsidDel="00000000" w:rsidR="00000000" w:rsidRPr="00000000">
        <w:rPr>
          <w:rtl w:val="0"/>
        </w:rPr>
      </w:r>
    </w:p>
    <w:p w:rsidR="00000000" w:rsidDel="00000000" w:rsidP="00000000" w:rsidRDefault="00000000" w:rsidRPr="00000000" w14:paraId="000000C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acknowledge the limitations of this study, including the relatively small sample size and the focus on junior cadets from specific educational institutions. Future research could benefit from larger sample sizes, broader geographic representation, and inclusion of perspectives from other stakeholders such as educators, employers, and regulatory bodies.</w:t>
      </w:r>
    </w:p>
    <w:p w:rsidR="00000000" w:rsidDel="00000000" w:rsidP="00000000" w:rsidRDefault="00000000" w:rsidRPr="00000000" w14:paraId="000000D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future research could explore the long-term impact of international standards on the career trajectories, professional development, and job satisfaction of maritime professionals. Longitudinal studies tracking the educational and professional journeys of junior cadets over time could provide valuable insights into the effectiveness and sustainability of maritime education programs in preparing students for successful careers in the maritime industry.</w:t>
      </w:r>
    </w:p>
    <w:p w:rsidR="00000000" w:rsidDel="00000000" w:rsidP="00000000" w:rsidRDefault="00000000" w:rsidRPr="00000000" w14:paraId="000000D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research contributes to the ongoing discourse surrounding the optimization of maritime education in alignment with international standards and underscores the importance of continuous 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w:t>
      </w:r>
    </w:p>
    <w:p w:rsidR="00000000" w:rsidDel="00000000" w:rsidP="00000000" w:rsidRDefault="00000000" w:rsidRPr="00000000" w14:paraId="000000D2">
      <w:pPr>
        <w:spacing w:after="0" w:line="240" w:lineRule="auto"/>
        <w:ind w:firstLine="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p>
    <w:p w:rsidR="00000000" w:rsidDel="00000000" w:rsidP="00000000" w:rsidRDefault="00000000" w:rsidRPr="00000000" w14:paraId="000000D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research has provided valuable insights into the impact of international standards on maritime education, as perceived by junior cadets undergoing training in maritime institutes, marine schools, and vocational institutions. Through qualitative analysis of semi-structured interviews, participant observation, and document analysis, several key themes and findings have emerged, shedding light on the challenges, opportunities, and professionalism within the maritime industry. The findings revealed a strong perception among junior cadets regarding the alignment of their maritime education programs with international standards, particularly those outlined by the International Maritime Organization (IMO) and the Standards of Training, Certification, and Watchkeeping for Seafarers (STCW). Participants expressed confidence in the quality and relevance of their educational experiences, highlighting the importance of adhering to internationally recognized frameworks to ensure consistency, interoperability, and global recognition of qualifications. Moreover, the analysis of research, needs, and professionalism in maritime education underscored the importance of aligning curriculum content with industry demands, providing opportunities for continuous professional development, and fostering a culture of lifelong learning and career advancement within educational institutions. Participants expressed positive attitudes towards professional development opportunities, indicating a proactive institutional approach towards equipping junior cadets with the requisite knowledge, skills, and competencies needed to thrive in a dynamic and competitive maritime landscape.</w:t>
      </w:r>
    </w:p>
    <w:p w:rsidR="00000000" w:rsidDel="00000000" w:rsidP="00000000" w:rsidRDefault="00000000" w:rsidRPr="00000000" w14:paraId="000000D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findings have several implications for maritime education and the industry at large. By aligning educational content with international standards and providing access to professional development opportunities, educational institutions can better prepare students for successful careers in the maritime industry and contribute to a culture of excellence, safety consciousness, and environmental stewardship within the maritime domain. However, it is important to acknowledge the limitations of this study, including the relatively small sample size and the focus on junior cadets from specific educational institutions. Future research could benefit from larger sample sizes, broader geographic representation, and longitudinal studies tracking the educational and professional journeys of maritime professionals over time. This research contributes to the ongoing discourse surrounding the optimization of maritime education in alignment with international standards and underscores the importance of continuous 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 </w:t>
      </w:r>
    </w:p>
    <w:p w:rsidR="00000000" w:rsidDel="00000000" w:rsidP="00000000" w:rsidRDefault="00000000" w:rsidRPr="00000000" w14:paraId="000000D6">
      <w:pPr>
        <w:spacing w:after="0" w:line="240" w:lineRule="auto"/>
        <w:ind w:firstLine="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D8">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Abila, S. S. (2016). </w:t>
      </w:r>
      <w:r w:rsidDel="00000000" w:rsidR="00000000" w:rsidRPr="00000000">
        <w:rPr>
          <w:rFonts w:ascii="Times New Roman" w:cs="Times New Roman" w:eastAsia="Times New Roman" w:hAnsi="Times New Roman"/>
          <w:i w:val="1"/>
          <w:rtl w:val="0"/>
        </w:rPr>
        <w:t xml:space="preserve">The occupational socialisation of merchant marine cadets in the Philippines.</w:t>
      </w:r>
      <w:r w:rsidDel="00000000" w:rsidR="00000000" w:rsidRPr="00000000">
        <w:rPr>
          <w:rFonts w:ascii="Times New Roman" w:cs="Times New Roman" w:eastAsia="Times New Roman" w:hAnsi="Times New Roman"/>
          <w:rtl w:val="0"/>
        </w:rPr>
        <w:t xml:space="preserve"> Cardiff University.</w:t>
      </w:r>
    </w:p>
    <w:p w:rsidR="00000000" w:rsidDel="00000000" w:rsidP="00000000" w:rsidRDefault="00000000" w:rsidRPr="00000000" w14:paraId="000000D9">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Balkin, R. (2006). The international maritime organization and maritime security. </w:t>
      </w:r>
      <w:r w:rsidDel="00000000" w:rsidR="00000000" w:rsidRPr="00000000">
        <w:rPr>
          <w:rFonts w:ascii="Times New Roman" w:cs="Times New Roman" w:eastAsia="Times New Roman" w:hAnsi="Times New Roman"/>
          <w:i w:val="1"/>
          <w:rtl w:val="0"/>
        </w:rPr>
        <w:t xml:space="preserve">Tul. Mar. LJ</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30</w:t>
      </w:r>
      <w:r w:rsidDel="00000000" w:rsidR="00000000" w:rsidRPr="00000000">
        <w:rPr>
          <w:rFonts w:ascii="Times New Roman" w:cs="Times New Roman" w:eastAsia="Times New Roman" w:hAnsi="Times New Roman"/>
          <w:rtl w:val="0"/>
        </w:rPr>
        <w:t xml:space="preserve">, 1.</w:t>
      </w:r>
    </w:p>
    <w:p w:rsidR="00000000" w:rsidDel="00000000" w:rsidP="00000000" w:rsidRDefault="00000000" w:rsidRPr="00000000" w14:paraId="000000DA">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Bergheim, K., Nielsen, M. B., Mearns, K., &amp; Eid, J. (2015). The relationship between psychological capital, job satisfaction, and safety perceptions in the maritime industry. </w:t>
      </w:r>
      <w:r w:rsidDel="00000000" w:rsidR="00000000" w:rsidRPr="00000000">
        <w:rPr>
          <w:rFonts w:ascii="Times New Roman" w:cs="Times New Roman" w:eastAsia="Times New Roman" w:hAnsi="Times New Roman"/>
          <w:i w:val="1"/>
          <w:rtl w:val="0"/>
        </w:rPr>
        <w:t xml:space="preserve">Safety Science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74</w:t>
      </w:r>
      <w:r w:rsidDel="00000000" w:rsidR="00000000" w:rsidRPr="00000000">
        <w:rPr>
          <w:rFonts w:ascii="Times New Roman" w:cs="Times New Roman" w:eastAsia="Times New Roman" w:hAnsi="Times New Roman"/>
          <w:rtl w:val="0"/>
        </w:rPr>
        <w:t xml:space="preserve">, 27–36.</w:t>
      </w:r>
    </w:p>
    <w:p w:rsidR="00000000" w:rsidDel="00000000" w:rsidP="00000000" w:rsidRDefault="00000000" w:rsidRPr="00000000" w14:paraId="000000DB">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Chilisa, B. (2019). </w:t>
      </w:r>
      <w:r w:rsidDel="00000000" w:rsidR="00000000" w:rsidRPr="00000000">
        <w:rPr>
          <w:rFonts w:ascii="Times New Roman" w:cs="Times New Roman" w:eastAsia="Times New Roman" w:hAnsi="Times New Roman"/>
          <w:i w:val="1"/>
          <w:rtl w:val="0"/>
        </w:rPr>
        <w:t xml:space="preserve">Indigenous research methodologies</w:t>
      </w:r>
      <w:r w:rsidDel="00000000" w:rsidR="00000000" w:rsidRPr="00000000">
        <w:rPr>
          <w:rFonts w:ascii="Times New Roman" w:cs="Times New Roman" w:eastAsia="Times New Roman" w:hAnsi="Times New Roman"/>
          <w:rtl w:val="0"/>
        </w:rPr>
        <w:t xml:space="preserve">. Sage publications.</w:t>
      </w:r>
    </w:p>
    <w:p w:rsidR="00000000" w:rsidDel="00000000" w:rsidP="00000000" w:rsidRDefault="00000000" w:rsidRPr="00000000" w14:paraId="000000DC">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Creswell, J. W., &amp; Clark, V. L. P. (2011). Choosing a mixed methods design. In </w:t>
      </w:r>
      <w:r w:rsidDel="00000000" w:rsidR="00000000" w:rsidRPr="00000000">
        <w:rPr>
          <w:rFonts w:ascii="Times New Roman" w:cs="Times New Roman" w:eastAsia="Times New Roman" w:hAnsi="Times New Roman"/>
          <w:i w:val="1"/>
          <w:rtl w:val="0"/>
        </w:rPr>
        <w:t xml:space="preserve">Designing and Conducting Mixed Methods Research</w:t>
      </w:r>
      <w:r w:rsidDel="00000000" w:rsidR="00000000" w:rsidRPr="00000000">
        <w:rPr>
          <w:rFonts w:ascii="Times New Roman" w:cs="Times New Roman" w:eastAsia="Times New Roman" w:hAnsi="Times New Roman"/>
          <w:rtl w:val="0"/>
        </w:rPr>
        <w:t xml:space="preserve"> (pp. 53–106). Sage Publications, Inc.</w:t>
      </w:r>
    </w:p>
    <w:p w:rsidR="00000000" w:rsidDel="00000000" w:rsidP="00000000" w:rsidRDefault="00000000" w:rsidRPr="00000000" w14:paraId="000000DD">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 Peña Zarzuelo, I., Soeane, M. J. F., &amp; Bermúdez, B. L. (2020). Industry 4.0 in the port and maritime industry: A literature review. </w:t>
      </w:r>
      <w:r w:rsidDel="00000000" w:rsidR="00000000" w:rsidRPr="00000000">
        <w:rPr>
          <w:rFonts w:ascii="Times New Roman" w:cs="Times New Roman" w:eastAsia="Times New Roman" w:hAnsi="Times New Roman"/>
          <w:i w:val="1"/>
          <w:rtl w:val="0"/>
        </w:rPr>
        <w:t xml:space="preserve">Journal of Industrial Information Integration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20</w:t>
      </w:r>
      <w:r w:rsidDel="00000000" w:rsidR="00000000" w:rsidRPr="00000000">
        <w:rPr>
          <w:rFonts w:ascii="Times New Roman" w:cs="Times New Roman" w:eastAsia="Times New Roman" w:hAnsi="Times New Roman"/>
          <w:rtl w:val="0"/>
        </w:rPr>
        <w:t xml:space="preserve">, 100173.</w:t>
      </w:r>
    </w:p>
    <w:p w:rsidR="00000000" w:rsidDel="00000000" w:rsidP="00000000" w:rsidRDefault="00000000" w:rsidRPr="00000000" w14:paraId="000000DE">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House, D., &amp; Saeed, F. (2016). </w:t>
      </w:r>
      <w:r w:rsidDel="00000000" w:rsidR="00000000" w:rsidRPr="00000000">
        <w:rPr>
          <w:rFonts w:ascii="Times New Roman" w:cs="Times New Roman" w:eastAsia="Times New Roman" w:hAnsi="Times New Roman"/>
          <w:i w:val="1"/>
          <w:rtl w:val="0"/>
        </w:rPr>
        <w:t xml:space="preserve">The seamanship examiner: for STCW certification examinations</w:t>
      </w:r>
      <w:r w:rsidDel="00000000" w:rsidR="00000000" w:rsidRPr="00000000">
        <w:rPr>
          <w:rFonts w:ascii="Times New Roman" w:cs="Times New Roman" w:eastAsia="Times New Roman" w:hAnsi="Times New Roman"/>
          <w:rtl w:val="0"/>
        </w:rPr>
        <w:t xml:space="preserve">. Taylor &amp; Francis.</w:t>
      </w:r>
    </w:p>
    <w:p w:rsidR="00000000" w:rsidDel="00000000" w:rsidP="00000000" w:rsidRDefault="00000000" w:rsidRPr="00000000" w14:paraId="000000DF">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Iacono, V., Symonds, P., &amp; Brown, D. H. K. (2016). Skype as a tool for qualitative research interviews. </w:t>
      </w:r>
      <w:r w:rsidDel="00000000" w:rsidR="00000000" w:rsidRPr="00000000">
        <w:rPr>
          <w:rFonts w:ascii="Times New Roman" w:cs="Times New Roman" w:eastAsia="Times New Roman" w:hAnsi="Times New Roman"/>
          <w:i w:val="1"/>
          <w:rtl w:val="0"/>
        </w:rPr>
        <w:t xml:space="preserve">Sociological Research Online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21</w:t>
      </w:r>
      <w:r w:rsidDel="00000000" w:rsidR="00000000" w:rsidRPr="00000000">
        <w:rPr>
          <w:rFonts w:ascii="Times New Roman" w:cs="Times New Roman" w:eastAsia="Times New Roman" w:hAnsi="Times New Roman"/>
          <w:rtl w:val="0"/>
        </w:rPr>
        <w:t xml:space="preserve">(2), 103–117.</w:t>
      </w:r>
    </w:p>
    <w:p w:rsidR="00000000" w:rsidDel="00000000" w:rsidP="00000000" w:rsidRDefault="00000000" w:rsidRPr="00000000" w14:paraId="000000E0">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Mori, Y., &amp; Manuel, M. E. (2023). An Exploration of the Theoretical Foundations of Onboard Seafarer Training: A Systematic Review of the Literature. </w:t>
      </w:r>
      <w:r w:rsidDel="00000000" w:rsidR="00000000" w:rsidRPr="00000000">
        <w:rPr>
          <w:rFonts w:ascii="Times New Roman" w:cs="Times New Roman" w:eastAsia="Times New Roman" w:hAnsi="Times New Roman"/>
          <w:i w:val="1"/>
          <w:rtl w:val="0"/>
        </w:rPr>
        <w:t xml:space="preserve">TransNav: International Journal on Marine Navigation &amp; Safety of Sea Transportation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17</w:t>
      </w:r>
      <w:r w:rsidDel="00000000" w:rsidR="00000000" w:rsidRPr="00000000">
        <w:rPr>
          <w:rFonts w:ascii="Times New Roman" w:cs="Times New Roman" w:eastAsia="Times New Roman" w:hAnsi="Times New Roman"/>
          <w:rtl w:val="0"/>
        </w:rPr>
        <w:t xml:space="preserve">(4).</w:t>
      </w:r>
    </w:p>
    <w:p w:rsidR="00000000" w:rsidDel="00000000" w:rsidP="00000000" w:rsidRDefault="00000000" w:rsidRPr="00000000" w14:paraId="000000E1">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Neilson, B., &amp; Rossiter, N. (2013). Still waiting, still moving: On labour, logistics and maritime industries. In </w:t>
      </w:r>
      <w:r w:rsidDel="00000000" w:rsidR="00000000" w:rsidRPr="00000000">
        <w:rPr>
          <w:rFonts w:ascii="Times New Roman" w:cs="Times New Roman" w:eastAsia="Times New Roman" w:hAnsi="Times New Roman"/>
          <w:i w:val="1"/>
          <w:rtl w:val="0"/>
        </w:rPr>
        <w:t xml:space="preserve">Stillness in a mobile world</w:t>
      </w:r>
      <w:r w:rsidDel="00000000" w:rsidR="00000000" w:rsidRPr="00000000">
        <w:rPr>
          <w:rFonts w:ascii="Times New Roman" w:cs="Times New Roman" w:eastAsia="Times New Roman" w:hAnsi="Times New Roman"/>
          <w:rtl w:val="0"/>
        </w:rPr>
        <w:t xml:space="preserve"> (pp. 51–68). Routledge.</w:t>
      </w:r>
    </w:p>
    <w:p w:rsidR="00000000" w:rsidDel="00000000" w:rsidP="00000000" w:rsidRDefault="00000000" w:rsidRPr="00000000" w14:paraId="000000E2">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Schriever, U. G. (2008). </w:t>
      </w:r>
      <w:r w:rsidDel="00000000" w:rsidR="00000000" w:rsidRPr="00000000">
        <w:rPr>
          <w:rFonts w:ascii="Times New Roman" w:cs="Times New Roman" w:eastAsia="Times New Roman" w:hAnsi="Times New Roman"/>
          <w:i w:val="1"/>
          <w:rtl w:val="0"/>
        </w:rPr>
        <w:t xml:space="preserve">Maritime communication in an international and intercultural discourse</w:t>
      </w:r>
      <w:r w:rsidDel="00000000" w:rsidR="00000000" w:rsidRPr="00000000">
        <w:rPr>
          <w:rFonts w:ascii="Times New Roman" w:cs="Times New Roman" w:eastAsia="Times New Roman" w:hAnsi="Times New Roman"/>
          <w:rtl w:val="0"/>
        </w:rPr>
        <w:t xml:space="preserve">. University of Tasmania.</w:t>
      </w:r>
    </w:p>
    <w:p w:rsidR="00000000" w:rsidDel="00000000" w:rsidP="00000000" w:rsidRDefault="00000000" w:rsidRPr="00000000" w14:paraId="000000E3">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Sharma, A. (2023). </w:t>
      </w:r>
      <w:r w:rsidDel="00000000" w:rsidR="00000000" w:rsidRPr="00000000">
        <w:rPr>
          <w:rFonts w:ascii="Times New Roman" w:cs="Times New Roman" w:eastAsia="Times New Roman" w:hAnsi="Times New Roman"/>
          <w:i w:val="1"/>
          <w:rtl w:val="0"/>
        </w:rPr>
        <w:t xml:space="preserve">Potential of technology supported competence development for Maritime Education and Training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4">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Tseng, M.-L., Tran, T. P. T., Ha, H. M., Bui, T.-D., &amp; Lim, M. K. (2021). Sustainable industrial and operation engineering trends and challenges Toward Industry 4.0: A data driven analysis. </w:t>
      </w:r>
      <w:r w:rsidDel="00000000" w:rsidR="00000000" w:rsidRPr="00000000">
        <w:rPr>
          <w:rFonts w:ascii="Times New Roman" w:cs="Times New Roman" w:eastAsia="Times New Roman" w:hAnsi="Times New Roman"/>
          <w:i w:val="1"/>
          <w:rtl w:val="0"/>
        </w:rPr>
        <w:t xml:space="preserve">Journal of Industrial and Production Engineering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38</w:t>
      </w:r>
      <w:r w:rsidDel="00000000" w:rsidR="00000000" w:rsidRPr="00000000">
        <w:rPr>
          <w:rFonts w:ascii="Times New Roman" w:cs="Times New Roman" w:eastAsia="Times New Roman" w:hAnsi="Times New Roman"/>
          <w:rtl w:val="0"/>
        </w:rPr>
        <w:t xml:space="preserve">(8), 581–598.</w:t>
      </w:r>
    </w:p>
    <w:p w:rsidR="00000000" w:rsidDel="00000000" w:rsidP="00000000" w:rsidRDefault="00000000" w:rsidRPr="00000000" w14:paraId="000000E5">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Yilmaz, K. (2013). Comparison of quantitative and qualitative research traditions: Epistemological, theoretical, and methodological differences. </w:t>
      </w:r>
      <w:r w:rsidDel="00000000" w:rsidR="00000000" w:rsidRPr="00000000">
        <w:rPr>
          <w:rFonts w:ascii="Times New Roman" w:cs="Times New Roman" w:eastAsia="Times New Roman" w:hAnsi="Times New Roman"/>
          <w:i w:val="1"/>
          <w:rtl w:val="0"/>
        </w:rPr>
        <w:t xml:space="preserve">European Journal of Education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48</w:t>
      </w:r>
      <w:r w:rsidDel="00000000" w:rsidR="00000000" w:rsidRPr="00000000">
        <w:rPr>
          <w:rFonts w:ascii="Times New Roman" w:cs="Times New Roman" w:eastAsia="Times New Roman" w:hAnsi="Times New Roman"/>
          <w:rtl w:val="0"/>
        </w:rPr>
        <w:t xml:space="preserve">(2), 311–325.</w:t>
      </w:r>
    </w:p>
    <w:p w:rsidR="00000000" w:rsidDel="00000000" w:rsidP="00000000" w:rsidRDefault="00000000" w:rsidRPr="00000000" w14:paraId="000000E6">
      <w:pPr>
        <w:widowControl w:val="0"/>
        <w:spacing w:after="0" w:line="240" w:lineRule="auto"/>
        <w:ind w:left="480" w:hanging="480"/>
        <w:rPr>
          <w:rFonts w:ascii="Times New Roman" w:cs="Times New Roman" w:eastAsia="Times New Roman" w:hAnsi="Times New Roman"/>
          <w:b w:val="1"/>
        </w:rPr>
      </w:pPr>
      <w:r w:rsidDel="00000000" w:rsidR="00000000" w:rsidRPr="00000000">
        <w:rPr>
          <w:rtl w:val="0"/>
        </w:rPr>
      </w:r>
    </w:p>
    <w:sectPr>
      <w:type w:val="continuous"/>
      <w:pgSz w:h="16838" w:w="11906"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Bookman Old Style"/>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6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METEOR, Vol. XX, No. XX Mei 20XX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38" w:hanging="360"/>
      </w:pPr>
      <w:rPr/>
    </w:lvl>
    <w:lvl w:ilvl="1">
      <w:start w:val="1"/>
      <w:numFmt w:val="decimal"/>
      <w:lvlText w:val="%1.%2."/>
      <w:lvlJc w:val="left"/>
      <w:pPr>
        <w:ind w:left="5104" w:hanging="360"/>
      </w:pPr>
      <w:rPr/>
    </w:lvl>
    <w:lvl w:ilvl="2">
      <w:start w:val="1"/>
      <w:numFmt w:val="decimal"/>
      <w:lvlText w:val="%1.%2.%3."/>
      <w:lvlJc w:val="left"/>
      <w:pPr>
        <w:ind w:left="5530" w:hanging="720"/>
      </w:pPr>
      <w:rPr/>
    </w:lvl>
    <w:lvl w:ilvl="3">
      <w:start w:val="1"/>
      <w:numFmt w:val="decimal"/>
      <w:lvlText w:val="%1.%2.%3.%4."/>
      <w:lvlJc w:val="left"/>
      <w:pPr>
        <w:ind w:left="5596" w:hanging="720"/>
      </w:pPr>
      <w:rPr/>
    </w:lvl>
    <w:lvl w:ilvl="4">
      <w:start w:val="1"/>
      <w:numFmt w:val="decimal"/>
      <w:lvlText w:val="%1.%2.%3.%4.%5."/>
      <w:lvlJc w:val="left"/>
      <w:pPr>
        <w:ind w:left="6022" w:hanging="1080"/>
      </w:pPr>
      <w:rPr/>
    </w:lvl>
    <w:lvl w:ilvl="5">
      <w:start w:val="1"/>
      <w:numFmt w:val="decimal"/>
      <w:lvlText w:val="%1.%2.%3.%4.%5.%6."/>
      <w:lvlJc w:val="left"/>
      <w:pPr>
        <w:ind w:left="6088" w:hanging="1080"/>
      </w:pPr>
      <w:rPr/>
    </w:lvl>
    <w:lvl w:ilvl="6">
      <w:start w:val="1"/>
      <w:numFmt w:val="decimal"/>
      <w:lvlText w:val="%1.%2.%3.%4.%5.%6.%7."/>
      <w:lvlJc w:val="left"/>
      <w:pPr>
        <w:ind w:left="6514" w:hanging="1440"/>
      </w:pPr>
      <w:rPr/>
    </w:lvl>
    <w:lvl w:ilvl="7">
      <w:start w:val="1"/>
      <w:numFmt w:val="decimal"/>
      <w:lvlText w:val="%1.%2.%3.%4.%5.%6.%7.%8."/>
      <w:lvlJc w:val="left"/>
      <w:pPr>
        <w:ind w:left="6580" w:hanging="1440"/>
      </w:pPr>
      <w:rPr/>
    </w:lvl>
    <w:lvl w:ilvl="8">
      <w:start w:val="1"/>
      <w:numFmt w:val="decimal"/>
      <w:lvlText w:val="%1.%2.%3.%4.%5.%6.%7.%8.%9."/>
      <w:lvlJc w:val="left"/>
      <w:pPr>
        <w:ind w:left="7006"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15" w:line="240" w:lineRule="auto"/>
      <w:ind w:left="1080" w:hanging="360"/>
      <w:jc w:val="center"/>
    </w:pPr>
    <w:rPr>
      <w:rFonts w:ascii="Times New Roman" w:cs="Times New Roman" w:eastAsia="Times New Roman" w:hAnsi="Times New Roman"/>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2A79"/>
  </w:style>
  <w:style w:type="paragraph" w:styleId="Heading1">
    <w:name w:val="heading 1"/>
    <w:basedOn w:val="Normal"/>
    <w:next w:val="Normal"/>
    <w:link w:val="Heading1Char"/>
    <w:qFormat w:val="1"/>
    <w:rsid w:val="006B0E27"/>
    <w:pPr>
      <w:keepNext w:val="1"/>
      <w:numPr>
        <w:numId w:val="1"/>
      </w:numPr>
      <w:suppressAutoHyphens w:val="1"/>
      <w:spacing w:after="115" w:line="240" w:lineRule="auto"/>
      <w:jc w:val="center"/>
      <w:outlineLvl w:val="0"/>
    </w:pPr>
    <w:rPr>
      <w:rFonts w:ascii="Times New Roman" w:cs="Times New Roman" w:eastAsia="Times New Roman" w:hAnsi="Times New Roman"/>
      <w:b w:val="1"/>
      <w:smallCaps w:val="1"/>
      <w:sz w:val="20"/>
      <w:szCs w:val="20"/>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762A79"/>
    <w:pPr>
      <w:spacing w:after="0" w:line="240" w:lineRule="auto"/>
    </w:pPr>
    <w:rPr>
      <w:rFonts w:ascii="Times New Roman" w:cs="Times New Roman" w:eastAsia="Times New Roman" w:hAnsi="Times New Roman"/>
      <w:sz w:val="20"/>
      <w:szCs w:val="20"/>
      <w:lang w:eastAsia="id-ID"/>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762A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62A79"/>
    <w:rPr>
      <w:rFonts w:ascii="Tahoma" w:cs="Tahoma" w:hAnsi="Tahoma"/>
      <w:sz w:val="16"/>
      <w:szCs w:val="16"/>
    </w:rPr>
  </w:style>
  <w:style w:type="paragraph" w:styleId="ListParagraph">
    <w:name w:val="List Paragraph"/>
    <w:basedOn w:val="Normal"/>
    <w:uiPriority w:val="34"/>
    <w:qFormat w:val="1"/>
    <w:rsid w:val="00762A79"/>
    <w:pPr>
      <w:ind w:left="720"/>
      <w:contextualSpacing w:val="1"/>
    </w:pPr>
  </w:style>
  <w:style w:type="character" w:styleId="Hyperlink">
    <w:name w:val="Hyperlink"/>
    <w:basedOn w:val="DefaultParagraphFont"/>
    <w:uiPriority w:val="99"/>
    <w:unhideWhenUsed w:val="1"/>
    <w:rsid w:val="00F356F5"/>
    <w:rPr>
      <w:color w:val="0000ff" w:themeColor="hyperlink"/>
      <w:u w:val="single"/>
    </w:rPr>
  </w:style>
  <w:style w:type="character" w:styleId="shorttext" w:customStyle="1">
    <w:name w:val="short_text"/>
    <w:basedOn w:val="DefaultParagraphFont"/>
    <w:rsid w:val="00231CEA"/>
  </w:style>
  <w:style w:type="paragraph" w:styleId="Header">
    <w:name w:val="header"/>
    <w:basedOn w:val="Normal"/>
    <w:link w:val="HeaderChar"/>
    <w:unhideWhenUsed w:val="1"/>
    <w:rsid w:val="00BD3DF2"/>
    <w:pPr>
      <w:tabs>
        <w:tab w:val="center" w:pos="4513"/>
        <w:tab w:val="right" w:pos="9026"/>
      </w:tabs>
      <w:spacing w:after="0" w:line="240" w:lineRule="auto"/>
    </w:pPr>
  </w:style>
  <w:style w:type="character" w:styleId="HeaderChar" w:customStyle="1">
    <w:name w:val="Header Char"/>
    <w:basedOn w:val="DefaultParagraphFont"/>
    <w:link w:val="Header"/>
    <w:rsid w:val="00BD3DF2"/>
  </w:style>
  <w:style w:type="paragraph" w:styleId="Footer">
    <w:name w:val="footer"/>
    <w:basedOn w:val="Normal"/>
    <w:link w:val="FooterChar"/>
    <w:uiPriority w:val="99"/>
    <w:unhideWhenUsed w:val="1"/>
    <w:rsid w:val="00BD3D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3DF2"/>
  </w:style>
  <w:style w:type="paragraph" w:styleId="HTMLPreformatted">
    <w:name w:val="HTML Preformatted"/>
    <w:basedOn w:val="Normal"/>
    <w:link w:val="HTMLPreformattedChar"/>
    <w:uiPriority w:val="99"/>
    <w:semiHidden w:val="1"/>
    <w:unhideWhenUsed w:val="1"/>
    <w:rsid w:val="00E2165D"/>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E2165D"/>
    <w:rPr>
      <w:rFonts w:ascii="Consolas" w:hAnsi="Consolas"/>
      <w:sz w:val="20"/>
      <w:szCs w:val="20"/>
    </w:rPr>
  </w:style>
  <w:style w:type="table" w:styleId="PlainTable21" w:customStyle="1">
    <w:name w:val="Plain Table 21"/>
    <w:basedOn w:val="TableNormal"/>
    <w:uiPriority w:val="42"/>
    <w:rsid w:val="003C5E0E"/>
    <w:pPr>
      <w:spacing w:after="0" w:line="240" w:lineRule="auto"/>
    </w:pPr>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108.0" w:type="dxa"/>
        <w:bottom w:w="0.0" w:type="dxa"/>
        <w:right w:w="108.0" w:type="dxa"/>
      </w:tblCellMar>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FootnoteText">
    <w:name w:val="footnote text"/>
    <w:basedOn w:val="Normal"/>
    <w:link w:val="FootnoteTextChar"/>
    <w:uiPriority w:val="99"/>
    <w:semiHidden w:val="1"/>
    <w:unhideWhenUsed w:val="1"/>
    <w:rsid w:val="00F72C1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72C13"/>
    <w:rPr>
      <w:sz w:val="20"/>
      <w:szCs w:val="20"/>
    </w:rPr>
  </w:style>
  <w:style w:type="character" w:styleId="FootnoteReference">
    <w:name w:val="footnote reference"/>
    <w:basedOn w:val="DefaultParagraphFont"/>
    <w:uiPriority w:val="99"/>
    <w:semiHidden w:val="1"/>
    <w:unhideWhenUsed w:val="1"/>
    <w:rsid w:val="00F72C13"/>
    <w:rPr>
      <w:vertAlign w:val="superscript"/>
    </w:rPr>
  </w:style>
  <w:style w:type="character" w:styleId="Mention" w:customStyle="1">
    <w:name w:val="Mention"/>
    <w:basedOn w:val="DefaultParagraphFont"/>
    <w:uiPriority w:val="99"/>
    <w:semiHidden w:val="1"/>
    <w:unhideWhenUsed w:val="1"/>
    <w:rsid w:val="00BC2F62"/>
    <w:rPr>
      <w:color w:val="2b579a"/>
      <w:shd w:color="auto" w:fill="e6e6e6" w:val="clear"/>
    </w:rPr>
  </w:style>
  <w:style w:type="character" w:styleId="CommentReference">
    <w:name w:val="annotation reference"/>
    <w:basedOn w:val="DefaultParagraphFont"/>
    <w:uiPriority w:val="99"/>
    <w:semiHidden w:val="1"/>
    <w:unhideWhenUsed w:val="1"/>
    <w:rsid w:val="0057188F"/>
    <w:rPr>
      <w:sz w:val="16"/>
      <w:szCs w:val="16"/>
    </w:rPr>
  </w:style>
  <w:style w:type="paragraph" w:styleId="CommentText">
    <w:name w:val="annotation text"/>
    <w:basedOn w:val="Normal"/>
    <w:link w:val="CommentTextChar"/>
    <w:uiPriority w:val="99"/>
    <w:semiHidden w:val="1"/>
    <w:unhideWhenUsed w:val="1"/>
    <w:rsid w:val="0057188F"/>
    <w:pPr>
      <w:spacing w:line="240" w:lineRule="auto"/>
    </w:pPr>
    <w:rPr>
      <w:sz w:val="20"/>
      <w:szCs w:val="20"/>
    </w:rPr>
  </w:style>
  <w:style w:type="character" w:styleId="CommentTextChar" w:customStyle="1">
    <w:name w:val="Comment Text Char"/>
    <w:basedOn w:val="DefaultParagraphFont"/>
    <w:link w:val="CommentText"/>
    <w:uiPriority w:val="99"/>
    <w:semiHidden w:val="1"/>
    <w:rsid w:val="0057188F"/>
    <w:rPr>
      <w:sz w:val="20"/>
      <w:szCs w:val="20"/>
    </w:rPr>
  </w:style>
  <w:style w:type="paragraph" w:styleId="CommentSubject">
    <w:name w:val="annotation subject"/>
    <w:basedOn w:val="CommentText"/>
    <w:next w:val="CommentText"/>
    <w:link w:val="CommentSubjectChar"/>
    <w:uiPriority w:val="99"/>
    <w:semiHidden w:val="1"/>
    <w:unhideWhenUsed w:val="1"/>
    <w:rsid w:val="0057188F"/>
    <w:rPr>
      <w:b w:val="1"/>
      <w:bCs w:val="1"/>
    </w:rPr>
  </w:style>
  <w:style w:type="character" w:styleId="CommentSubjectChar" w:customStyle="1">
    <w:name w:val="Comment Subject Char"/>
    <w:basedOn w:val="CommentTextChar"/>
    <w:link w:val="CommentSubject"/>
    <w:uiPriority w:val="99"/>
    <w:semiHidden w:val="1"/>
    <w:rsid w:val="0057188F"/>
    <w:rPr>
      <w:b w:val="1"/>
      <w:bCs w:val="1"/>
      <w:sz w:val="20"/>
      <w:szCs w:val="20"/>
    </w:rPr>
  </w:style>
  <w:style w:type="character" w:styleId="PlaceholderText">
    <w:name w:val="Placeholder Text"/>
    <w:basedOn w:val="DefaultParagraphFont"/>
    <w:uiPriority w:val="99"/>
    <w:semiHidden w:val="1"/>
    <w:rsid w:val="008B5E8C"/>
    <w:rPr>
      <w:color w:val="808080"/>
    </w:rPr>
  </w:style>
  <w:style w:type="character" w:styleId="Heading1Char" w:customStyle="1">
    <w:name w:val="Heading 1 Char"/>
    <w:basedOn w:val="DefaultParagraphFont"/>
    <w:link w:val="Heading1"/>
    <w:rsid w:val="006B0E27"/>
    <w:rPr>
      <w:rFonts w:ascii="Times New Roman" w:cs="Times New Roman" w:eastAsia="Times New Roman" w:hAnsi="Times New Roman"/>
      <w:b w:val="1"/>
      <w:smallCaps w:val="1"/>
      <w:sz w:val="20"/>
      <w:szCs w:val="20"/>
      <w:lang w:eastAsia="zh-CN"/>
    </w:rPr>
  </w:style>
  <w:style w:type="character" w:styleId="Emphasis">
    <w:name w:val="Emphasis"/>
    <w:qFormat w:val="1"/>
    <w:rsid w:val="006B0E27"/>
    <w:rPr>
      <w:i w:val="1"/>
      <w:iCs w:val="1"/>
    </w:rPr>
  </w:style>
  <w:style w:type="paragraph" w:styleId="JSKReferenceItem" w:customStyle="1">
    <w:name w:val="JSK Reference Item"/>
    <w:basedOn w:val="Normal"/>
    <w:rsid w:val="006B0E27"/>
    <w:pPr>
      <w:numPr>
        <w:numId w:val="5"/>
      </w:numPr>
      <w:suppressAutoHyphens w:val="1"/>
      <w:snapToGrid w:val="0"/>
      <w:spacing w:after="0" w:line="240" w:lineRule="auto"/>
      <w:jc w:val="both"/>
    </w:pPr>
    <w:rPr>
      <w:rFonts w:ascii="Times New Roman" w:cs="Times New Roman" w:eastAsia="Times New Roman" w:hAnsi="Times New Roman"/>
      <w:sz w:val="16"/>
      <w:szCs w:val="24"/>
      <w:lang w:eastAsia="zh-CN"/>
    </w:rPr>
  </w:style>
  <w:style w:type="paragraph" w:styleId="Bibliography">
    <w:name w:val="Bibliography"/>
    <w:basedOn w:val="Normal"/>
    <w:next w:val="Normal"/>
    <w:uiPriority w:val="37"/>
    <w:semiHidden w:val="1"/>
    <w:unhideWhenUsed w:val="1"/>
    <w:rsid w:val="00461241"/>
    <w:pPr>
      <w:spacing w:after="160" w:line="256" w:lineRule="auto"/>
    </w:pPr>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christdeon@gmail.com" TargetMode="External"/><Relationship Id="rId9" Type="http://schemas.openxmlformats.org/officeDocument/2006/relationships/hyperlink" Target="mailto:hutabaratchristine@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ernadmarudu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7ydQ6oM1folNCVE5eQSVqI+ZFg==">CgMxLjAyCGguZ2pkZ3hzMgloLjMwajB6bGw4AHIhMW9lSTUxeG5vMzJxNmxMZmZISF9UWWljZ2VuS1RBUkpX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2024-02-16T02:58:00Z</dcterms:created>
  <dc:creator>amir marssy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