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ED0FD9" w:rsidRPr="00ED0FD9" w:rsidRDefault="00ED0FD9" w:rsidP="00ED0FD9">
            <w:pPr>
              <w:jc w:val="center"/>
              <w:rPr>
                <w:rFonts w:ascii="Times New Roman" w:eastAsia="Times New Roman" w:hAnsi="Times New Roman" w:cs="Times New Roman"/>
                <w:sz w:val="28"/>
                <w:szCs w:val="28"/>
                <w:lang w:val="zh-CN"/>
              </w:rPr>
            </w:pPr>
            <w:r w:rsidRPr="00ED0FD9">
              <w:rPr>
                <w:rFonts w:ascii="Times New Roman" w:eastAsia="Times New Roman" w:hAnsi="Times New Roman" w:cs="Times New Roman"/>
                <w:sz w:val="28"/>
                <w:szCs w:val="28"/>
                <w:lang w:val="zh-CN"/>
              </w:rPr>
              <w:t xml:space="preserve">Impact of International Standards on Maritime Education: </w:t>
            </w:r>
          </w:p>
          <w:p w:rsidR="00ED0FD9" w:rsidRPr="00ED0FD9" w:rsidRDefault="00ED0FD9" w:rsidP="00ED0FD9">
            <w:pPr>
              <w:jc w:val="center"/>
              <w:rPr>
                <w:rFonts w:ascii="Times New Roman" w:eastAsia="Times New Roman" w:hAnsi="Times New Roman" w:cs="Times New Roman"/>
                <w:color w:val="000000"/>
                <w:sz w:val="28"/>
                <w:szCs w:val="28"/>
                <w:lang w:val="zh-CN"/>
              </w:rPr>
            </w:pPr>
            <w:r w:rsidRPr="00ED0FD9">
              <w:rPr>
                <w:rFonts w:ascii="Times New Roman" w:eastAsia="Times New Roman" w:hAnsi="Times New Roman" w:cs="Times New Roman"/>
                <w:sz w:val="28"/>
                <w:szCs w:val="28"/>
                <w:lang w:val="zh-CN"/>
              </w:rPr>
              <w:t>Perspectives of Junior Cadets</w:t>
            </w:r>
          </w:p>
          <w:p w:rsidR="00ED0FD9" w:rsidRPr="00ED0FD9" w:rsidRDefault="00ED0FD9" w:rsidP="00ED0FD9">
            <w:pPr>
              <w:jc w:val="center"/>
              <w:rPr>
                <w:rFonts w:ascii="Times" w:eastAsia="Times" w:hAnsi="Times" w:cs="Times"/>
                <w:i/>
                <w:sz w:val="20"/>
                <w:szCs w:val="20"/>
                <w:lang w:val="zh-CN"/>
              </w:rPr>
            </w:pPr>
            <w:r w:rsidRPr="00ED0FD9">
              <w:rPr>
                <w:rFonts w:ascii="Times" w:eastAsia="Times" w:hAnsi="Times" w:cs="Times"/>
                <w:i/>
                <w:sz w:val="20"/>
                <w:szCs w:val="20"/>
                <w:lang w:val="zh-CN"/>
              </w:rPr>
              <w:t xml:space="preserve"> </w:t>
            </w:r>
          </w:p>
          <w:p w:rsidR="00ED0FD9" w:rsidRPr="00ED0FD9" w:rsidRDefault="00ED0FD9" w:rsidP="00ED0FD9">
            <w:pPr>
              <w:jc w:val="center"/>
              <w:rPr>
                <w:rFonts w:ascii="Times New Roman" w:eastAsia="Times New Roman" w:hAnsi="Times New Roman" w:cs="Times New Roman"/>
                <w:sz w:val="20"/>
                <w:szCs w:val="20"/>
                <w:lang w:val="zh-CN"/>
              </w:rPr>
            </w:pPr>
            <w:r w:rsidRPr="00ED0FD9">
              <w:rPr>
                <w:rFonts w:ascii="Times" w:eastAsia="Times" w:hAnsi="Times" w:cs="Times"/>
                <w:sz w:val="20"/>
                <w:szCs w:val="20"/>
                <w:lang w:val="zh-CN"/>
              </w:rPr>
              <w:t>Derma Watty Sihombing</w:t>
            </w:r>
            <w:r w:rsidRPr="00ED0FD9">
              <w:rPr>
                <w:rFonts w:ascii="Times" w:eastAsia="Times" w:hAnsi="Times" w:cs="Times"/>
                <w:sz w:val="20"/>
                <w:szCs w:val="20"/>
                <w:vertAlign w:val="superscript"/>
                <w:lang w:val="zh-CN"/>
              </w:rPr>
              <w:t xml:space="preserve">1), </w:t>
            </w:r>
            <w:r w:rsidRPr="00ED0FD9">
              <w:rPr>
                <w:rFonts w:ascii="Times" w:eastAsia="Times" w:hAnsi="Times" w:cs="Times"/>
                <w:sz w:val="20"/>
                <w:szCs w:val="20"/>
                <w:lang w:val="zh-CN"/>
              </w:rPr>
              <w:t xml:space="preserve">  Nurindah Dwiyani </w:t>
            </w:r>
            <w:r w:rsidRPr="00ED0FD9">
              <w:rPr>
                <w:rFonts w:ascii="Times" w:eastAsia="Times" w:hAnsi="Times" w:cs="Times"/>
                <w:sz w:val="20"/>
                <w:szCs w:val="20"/>
                <w:vertAlign w:val="superscript"/>
                <w:lang w:val="zh-CN"/>
              </w:rPr>
              <w:t>2)</w:t>
            </w:r>
            <w:r w:rsidRPr="00ED0FD9">
              <w:rPr>
                <w:rFonts w:ascii="Times" w:eastAsia="Times" w:hAnsi="Times" w:cs="Times"/>
                <w:sz w:val="20"/>
                <w:szCs w:val="20"/>
                <w:lang w:val="zh-CN"/>
              </w:rPr>
              <w:t xml:space="preserve"> , </w:t>
            </w:r>
            <w:r w:rsidRPr="00ED0FD9">
              <w:rPr>
                <w:rFonts w:ascii="Times New Roman" w:eastAsia="Times New Roman" w:hAnsi="Times New Roman" w:cs="Times New Roman"/>
                <w:sz w:val="20"/>
                <w:szCs w:val="20"/>
                <w:lang w:val="zh-CN"/>
              </w:rPr>
              <w:t>Yayu Nopriani Martha</w:t>
            </w:r>
            <w:r w:rsidRPr="00ED0FD9">
              <w:rPr>
                <w:rFonts w:ascii="Times New Roman" w:eastAsia="Times New Roman" w:hAnsi="Times New Roman" w:cs="Times New Roman"/>
                <w:sz w:val="20"/>
                <w:szCs w:val="20"/>
                <w:vertAlign w:val="superscript"/>
                <w:lang w:val="zh-CN"/>
              </w:rPr>
              <w:t>3)</w:t>
            </w:r>
            <w:r w:rsidRPr="00ED0FD9">
              <w:rPr>
                <w:rFonts w:ascii="Times New Roman" w:eastAsia="Times New Roman" w:hAnsi="Times New Roman" w:cs="Times New Roman"/>
                <w:sz w:val="20"/>
                <w:szCs w:val="20"/>
                <w:lang w:val="zh-CN"/>
              </w:rPr>
              <w:t xml:space="preserve"> , </w:t>
            </w:r>
          </w:p>
          <w:p w:rsidR="00ED0FD9" w:rsidRPr="00ED0FD9" w:rsidRDefault="00ED0FD9" w:rsidP="00ED0FD9">
            <w:pPr>
              <w:jc w:val="center"/>
              <w:rPr>
                <w:rFonts w:ascii="Times New Roman" w:eastAsia="Times New Roman" w:hAnsi="Times New Roman" w:cs="Times New Roman"/>
                <w:sz w:val="20"/>
                <w:szCs w:val="20"/>
                <w:lang w:val="zh-CN"/>
              </w:rPr>
            </w:pPr>
            <w:r w:rsidRPr="00ED0FD9">
              <w:rPr>
                <w:rFonts w:ascii="Times New Roman" w:eastAsia="Times New Roman" w:hAnsi="Times New Roman" w:cs="Times New Roman"/>
                <w:sz w:val="20"/>
                <w:szCs w:val="20"/>
                <w:lang w:val="zh-CN"/>
              </w:rPr>
              <w:t>Christiani Hutabarat</w:t>
            </w:r>
            <w:r w:rsidRPr="00ED0FD9">
              <w:rPr>
                <w:rFonts w:ascii="Times New Roman" w:eastAsia="Times New Roman" w:hAnsi="Times New Roman" w:cs="Times New Roman"/>
                <w:sz w:val="20"/>
                <w:szCs w:val="20"/>
                <w:vertAlign w:val="superscript"/>
                <w:lang w:val="zh-CN"/>
              </w:rPr>
              <w:t>4)</w:t>
            </w:r>
            <w:r w:rsidRPr="00ED0FD9">
              <w:rPr>
                <w:rFonts w:ascii="Times New Roman" w:eastAsia="Times New Roman" w:hAnsi="Times New Roman" w:cs="Times New Roman"/>
                <w:sz w:val="20"/>
                <w:szCs w:val="20"/>
                <w:lang w:val="zh-CN"/>
              </w:rPr>
              <w:t>, Sutrisno Sutrisno</w:t>
            </w:r>
            <w:r w:rsidRPr="00ED0FD9">
              <w:rPr>
                <w:rFonts w:ascii="Times New Roman" w:eastAsia="Times New Roman" w:hAnsi="Times New Roman" w:cs="Times New Roman"/>
                <w:sz w:val="20"/>
                <w:szCs w:val="20"/>
                <w:vertAlign w:val="superscript"/>
                <w:lang w:val="zh-CN"/>
              </w:rPr>
              <w:t>5)</w:t>
            </w:r>
            <w:r w:rsidRPr="00ED0FD9">
              <w:rPr>
                <w:rFonts w:ascii="Times New Roman" w:eastAsia="Times New Roman" w:hAnsi="Times New Roman" w:cs="Times New Roman"/>
                <w:sz w:val="20"/>
                <w:szCs w:val="20"/>
                <w:lang w:val="zh-CN"/>
              </w:rPr>
              <w:t xml:space="preserve"> </w:t>
            </w:r>
            <w:bookmarkStart w:id="1" w:name="_GoBack"/>
            <w:bookmarkEnd w:id="1"/>
          </w:p>
          <w:p w:rsidR="00ED0FD9" w:rsidRPr="00ED0FD9" w:rsidRDefault="00ED0FD9" w:rsidP="00ED0FD9">
            <w:pPr>
              <w:jc w:val="center"/>
              <w:rPr>
                <w:rFonts w:ascii="Times" w:eastAsia="Times" w:hAnsi="Times" w:cs="Times"/>
                <w:i/>
                <w:sz w:val="20"/>
                <w:szCs w:val="20"/>
                <w:lang w:val="zh-CN"/>
              </w:rPr>
            </w:pPr>
          </w:p>
          <w:bookmarkStart w:id="2" w:name="_heading=h.30j0zll" w:colFirst="0" w:colLast="0"/>
          <w:bookmarkEnd w:id="2"/>
          <w:p w:rsidR="00ED0FD9" w:rsidRPr="003E5F5E" w:rsidRDefault="00ED0FD9" w:rsidP="00ED0FD9">
            <w:pPr>
              <w:jc w:val="center"/>
              <w:rPr>
                <w:rFonts w:ascii="Times" w:eastAsia="Times" w:hAnsi="Times" w:cs="Times"/>
                <w:b w:val="0"/>
                <w:i/>
                <w:sz w:val="20"/>
                <w:szCs w:val="20"/>
                <w:lang w:val="zh-CN"/>
              </w:rPr>
            </w:pPr>
            <w:r w:rsidRPr="003E5F5E">
              <w:rPr>
                <w:rFonts w:ascii="Calibri" w:eastAsia="Calibri" w:hAnsi="Calibri" w:cs="Calibri"/>
                <w:b w:val="0"/>
                <w:sz w:val="20"/>
                <w:szCs w:val="20"/>
                <w:lang w:val="zh-CN"/>
              </w:rPr>
              <w:fldChar w:fldCharType="begin"/>
            </w:r>
            <w:r w:rsidRPr="003E5F5E">
              <w:rPr>
                <w:rFonts w:ascii="Times New Roman" w:eastAsia="Times New Roman" w:hAnsi="Times New Roman" w:cs="Times New Roman"/>
                <w:b w:val="0"/>
                <w:sz w:val="20"/>
                <w:szCs w:val="20"/>
                <w:lang w:val="zh-CN"/>
              </w:rPr>
              <w:instrText xml:space="preserve"> HYPERLINK "mailto:dermawatysihombing@gmail.com" \h </w:instrText>
            </w:r>
            <w:r w:rsidRPr="003E5F5E">
              <w:rPr>
                <w:rFonts w:ascii="Calibri" w:eastAsia="Calibri" w:hAnsi="Calibri" w:cs="Calibri"/>
                <w:b w:val="0"/>
                <w:sz w:val="20"/>
                <w:szCs w:val="20"/>
                <w:lang w:val="zh-CN"/>
              </w:rPr>
              <w:fldChar w:fldCharType="separate"/>
            </w:r>
            <w:r w:rsidRPr="003E5F5E">
              <w:rPr>
                <w:rFonts w:ascii="Times" w:eastAsia="Times" w:hAnsi="Times" w:cs="Times"/>
                <w:b w:val="0"/>
                <w:i/>
                <w:color w:val="0000FF"/>
                <w:sz w:val="20"/>
                <w:szCs w:val="20"/>
                <w:u w:val="single"/>
                <w:lang w:val="zh-CN"/>
              </w:rPr>
              <w:t>dermawatysihombing@gmail.com</w:t>
            </w:r>
            <w:r w:rsidRPr="003E5F5E">
              <w:rPr>
                <w:rFonts w:ascii="Times" w:eastAsia="Times" w:hAnsi="Times" w:cs="Times"/>
                <w:b w:val="0"/>
                <w:i/>
                <w:color w:val="0000FF"/>
                <w:sz w:val="20"/>
                <w:szCs w:val="20"/>
                <w:u w:val="single"/>
                <w:lang w:val="zh-CN"/>
              </w:rPr>
              <w:fldChar w:fldCharType="end"/>
            </w:r>
            <w:r w:rsidRPr="003E5F5E">
              <w:rPr>
                <w:rFonts w:ascii="Times" w:eastAsia="Times" w:hAnsi="Times" w:cs="Times"/>
                <w:b w:val="0"/>
                <w:i/>
                <w:sz w:val="20"/>
                <w:szCs w:val="20"/>
                <w:lang w:val="zh-CN"/>
              </w:rPr>
              <w:t xml:space="preserve"> </w:t>
            </w:r>
          </w:p>
          <w:p w:rsidR="00ED0FD9" w:rsidRPr="003E5F5E" w:rsidRDefault="00ED0FD9" w:rsidP="00ED0FD9">
            <w:pPr>
              <w:jc w:val="center"/>
              <w:rPr>
                <w:rFonts w:ascii="Times" w:eastAsia="Times" w:hAnsi="Times" w:cs="Times"/>
                <w:b w:val="0"/>
                <w:i/>
                <w:sz w:val="20"/>
                <w:szCs w:val="20"/>
                <w:lang w:val="zh-CN"/>
              </w:rPr>
            </w:pPr>
            <w:r w:rsidRPr="003E5F5E">
              <w:rPr>
                <w:rFonts w:ascii="Times" w:eastAsia="Times" w:hAnsi="Times" w:cs="Times"/>
                <w:b w:val="0"/>
                <w:i/>
                <w:sz w:val="20"/>
                <w:szCs w:val="20"/>
                <w:vertAlign w:val="superscript"/>
                <w:lang w:val="zh-CN"/>
              </w:rPr>
              <w:t>1,2,3</w:t>
            </w:r>
            <w:r w:rsidRPr="003E5F5E">
              <w:rPr>
                <w:rFonts w:ascii="Times" w:eastAsia="Times" w:hAnsi="Times" w:cs="Times"/>
                <w:b w:val="0"/>
                <w:i/>
                <w:sz w:val="20"/>
                <w:szCs w:val="20"/>
                <w:lang w:val="zh-CN"/>
              </w:rPr>
              <w:t xml:space="preserve"> Maritime Institute of Jakarta (Sekolah Tinggi Ilmu Pelayaran -  Jakarta)</w:t>
            </w:r>
          </w:p>
          <w:p w:rsidR="00ED0FD9" w:rsidRPr="003E5F5E" w:rsidRDefault="00ED0FD9" w:rsidP="00ED0FD9">
            <w:pPr>
              <w:jc w:val="center"/>
              <w:rPr>
                <w:rFonts w:ascii="Times New Roman" w:eastAsia="Times New Roman" w:hAnsi="Times New Roman" w:cs="Times New Roman"/>
                <w:b w:val="0"/>
                <w:i/>
                <w:sz w:val="20"/>
                <w:szCs w:val="20"/>
                <w:lang w:val="zh-CN"/>
              </w:rPr>
            </w:pPr>
            <w:r w:rsidRPr="003E5F5E">
              <w:rPr>
                <w:rFonts w:ascii="Times New Roman" w:eastAsia="Times New Roman" w:hAnsi="Times New Roman" w:cs="Times New Roman"/>
                <w:b w:val="0"/>
                <w:i/>
                <w:sz w:val="20"/>
                <w:szCs w:val="20"/>
                <w:vertAlign w:val="superscript"/>
                <w:lang w:val="zh-CN"/>
              </w:rPr>
              <w:t>4</w:t>
            </w:r>
            <w:r w:rsidRPr="003E5F5E">
              <w:rPr>
                <w:rFonts w:ascii="Times New Roman" w:eastAsia="Times New Roman" w:hAnsi="Times New Roman" w:cs="Times New Roman"/>
                <w:b w:val="0"/>
                <w:i/>
                <w:sz w:val="20"/>
                <w:szCs w:val="20"/>
                <w:lang w:val="zh-CN"/>
              </w:rPr>
              <w:t>Misi William Carey Theological School (STT William Carey - Medan)</w:t>
            </w:r>
          </w:p>
          <w:p w:rsidR="00ED0FD9" w:rsidRPr="003E5F5E" w:rsidRDefault="00ED0FD9" w:rsidP="00ED0FD9">
            <w:pPr>
              <w:jc w:val="center"/>
              <w:rPr>
                <w:rFonts w:ascii="Times" w:eastAsia="Times" w:hAnsi="Times" w:cs="Times"/>
                <w:b w:val="0"/>
                <w:i/>
                <w:sz w:val="20"/>
                <w:szCs w:val="20"/>
                <w:lang w:val="zh-CN"/>
              </w:rPr>
            </w:pPr>
            <w:r w:rsidRPr="003E5F5E">
              <w:rPr>
                <w:rFonts w:ascii="Times New Roman" w:eastAsia="Times New Roman" w:hAnsi="Times New Roman" w:cs="Times New Roman"/>
                <w:b w:val="0"/>
                <w:i/>
                <w:sz w:val="20"/>
                <w:szCs w:val="20"/>
                <w:vertAlign w:val="superscript"/>
                <w:lang w:val="zh-CN"/>
              </w:rPr>
              <w:t>5</w:t>
            </w:r>
            <w:r w:rsidRPr="003E5F5E">
              <w:rPr>
                <w:rFonts w:ascii="Times New Roman" w:eastAsia="Times New Roman" w:hAnsi="Times New Roman" w:cs="Times New Roman"/>
                <w:b w:val="0"/>
                <w:i/>
                <w:sz w:val="20"/>
                <w:szCs w:val="20"/>
                <w:lang w:val="zh-CN"/>
              </w:rPr>
              <w:t>Moriah Theological Seminary (STT Moriah - Tangerang)</w:t>
            </w:r>
          </w:p>
          <w:p w:rsidR="003C5E0E" w:rsidRPr="00BC2F62" w:rsidRDefault="003C5E0E" w:rsidP="00ED0FD9">
            <w:pPr>
              <w:autoSpaceDE w:val="0"/>
              <w:autoSpaceDN w:val="0"/>
              <w:adjustRightInd w:val="0"/>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B108F0" w:rsidP="008D0AEE">
      <w:pPr>
        <w:spacing w:after="0" w:line="240" w:lineRule="auto"/>
        <w:jc w:val="both"/>
        <w:rPr>
          <w:rFonts w:ascii="Times New Roman" w:eastAsia="Calibri" w:hAnsi="Times New Roman" w:cs="Times New Roman"/>
          <w:i/>
          <w:sz w:val="20"/>
          <w:szCs w:val="20"/>
        </w:rPr>
      </w:pPr>
      <w:r w:rsidRPr="00B108F0">
        <w:rPr>
          <w:rFonts w:ascii="Times New Roman" w:eastAsia="Calibri" w:hAnsi="Times New Roman" w:cs="Times New Roman"/>
          <w:i/>
          <w:sz w:val="20"/>
          <w:szCs w:val="20"/>
        </w:rPr>
        <w:t>This research explores the impact of international standards on maritime education through the perspectives of 45 junior cadets. Utilizing qualitative methods, including interviews and observations, the study investigates the alignment of educational programs with standards set by the International Maritime Organization (IMO) and the Standards of Training, Certification, and Watchkeeping for Seafarers (STCW). Findings reveal a strong perception of alignment with international standards among participants, emphasizing the importance of consistency and global recognition in maritime education. Additionally, the analysis highlights the relevance of curriculum content to professional needs, the significance of continuous professional development, and the availability of opportunities for career advancement within educational institutions. The research contributes to discussions surrounding the optimization of maritime education and underscores the importance of lifelong learning and professionalism in preparing junior cadets for successful careers in the maritime industry.</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B108F0">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B108F0" w:rsidRPr="00B108F0">
              <w:rPr>
                <w:rFonts w:ascii="Times New Roman" w:eastAsia="Calibri" w:hAnsi="Times New Roman" w:cs="Times New Roman"/>
                <w:b w:val="0"/>
                <w:i/>
                <w:sz w:val="20"/>
                <w:szCs w:val="20"/>
              </w:rPr>
              <w:t>Maritime education, International standards, Junior cadets, Qualitative analysis, STCW</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0"/>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085FBD" w:rsidRDefault="00B108F0" w:rsidP="00085FBD">
      <w:pPr>
        <w:autoSpaceDE w:val="0"/>
        <w:autoSpaceDN w:val="0"/>
        <w:adjustRightInd w:val="0"/>
        <w:spacing w:after="0" w:line="240" w:lineRule="auto"/>
        <w:ind w:firstLine="426"/>
        <w:jc w:val="both"/>
        <w:rPr>
          <w:rFonts w:ascii="Times New Roman" w:eastAsia="Calibri" w:hAnsi="Times New Roman" w:cs="Times New Roman"/>
          <w:bCs/>
        </w:rPr>
      </w:pPr>
      <w:r w:rsidRPr="00B108F0">
        <w:rPr>
          <w:rFonts w:ascii="Times New Roman" w:eastAsia="Calibri" w:hAnsi="Times New Roman" w:cs="Times New Roman"/>
          <w:bCs/>
          <w:lang w:val="en-ID"/>
        </w:rPr>
        <w:t>Maritime education stands as a cornerstone in the development of competent seafarers who are equipped with the necessary knowledge and skills to navigate the complexities of the maritime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review","type":"article-journal","volume":"20"},"uris":["http://www.mendeley.com/documents/?uuid=6348d57a-c220-4840-89d9-ff5189fa641f"]}],"mendeley":{"formattedCitation":"(de la Peña Zarzuelo et al., 2020; Neilson &amp; Rossiter, 2013)","plainTextFormattedCitation":"(de la Peña Zarzuelo et al., 2020; Neilson &amp; Rossiter, 2013)","previouslyFormattedCitation":"[1], [2]"},"properties":{"noteIndex":0},"schema":"https://github.com/citation-style-language/schema/raw/master/csl-citation.json"}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(de la Peña Zarzuelo et al., 2020; Neilson &amp; Rossiter, 2013)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Rooted in international standards set forth by esteemed organizations such as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maritime education serves as a conduit for ensuring safety, efficiency, and compliance within the maritime domain</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2016)","previouslyFormattedCitation":"[3]"},"properties":{"noteIndex":0},"schema":"https://github.com/citation-style-language/schema/raw/master/csl-citation.json"}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(House &amp; Saeed, 2016)</w:t>
      </w:r>
      <w:r w:rsidR="00CA263C">
        <w:rPr>
          <w:rFonts w:ascii="Times New Roman" w:eastAsia="Calibri" w:hAnsi="Times New Roman" w:cs="Times New Roman"/>
          <w:bCs/>
        </w:rPr>
        <w:fldChar w:fldCharType="end"/>
      </w:r>
      <w:r w:rsidR="00085FBD">
        <w:rPr>
          <w:rFonts w:ascii="Times New Roman" w:eastAsia="Calibri" w:hAnsi="Times New Roman" w:cs="Times New Roman"/>
          <w:bCs/>
          <w:lang w:val="en-ID"/>
        </w:rPr>
        <w:t xml:space="preserve">. As </w:t>
      </w:r>
      <w:r w:rsidRPr="00B108F0">
        <w:rPr>
          <w:rFonts w:ascii="Times New Roman" w:eastAsia="Calibri" w:hAnsi="Times New Roman" w:cs="Times New Roman"/>
          <w:bCs/>
          <w:lang w:val="en-ID"/>
        </w:rPr>
        <w:t>researcher</w:t>
      </w:r>
      <w:r w:rsidR="00085FBD">
        <w:rPr>
          <w:rFonts w:ascii="Times New Roman" w:eastAsia="Calibri" w:hAnsi="Times New Roman" w:cs="Times New Roman"/>
          <w:bCs/>
        </w:rPr>
        <w:t>s</w:t>
      </w:r>
      <w:r w:rsidRPr="00B108F0">
        <w:rPr>
          <w:rFonts w:ascii="Times New Roman" w:eastAsia="Calibri" w:hAnsi="Times New Roman" w:cs="Times New Roman"/>
          <w:bCs/>
          <w:lang w:val="en-ID"/>
        </w:rPr>
        <w:t xml:space="preserve"> and lecturer</w:t>
      </w:r>
      <w:r w:rsidR="00085FBD">
        <w:rPr>
          <w:rFonts w:ascii="Times New Roman" w:eastAsia="Calibri" w:hAnsi="Times New Roman" w:cs="Times New Roman"/>
          <w:bCs/>
        </w:rPr>
        <w:t>s</w:t>
      </w:r>
      <w:r w:rsidRPr="00B108F0">
        <w:rPr>
          <w:rFonts w:ascii="Times New Roman" w:eastAsia="Calibri" w:hAnsi="Times New Roman" w:cs="Times New Roman"/>
          <w:bCs/>
          <w:lang w:val="en-ID"/>
        </w:rPr>
        <w:t xml:space="preserve"> immersed in the realm of maritime education, </w:t>
      </w:r>
      <w:r w:rsidR="002D2D85">
        <w:rPr>
          <w:rFonts w:ascii="Times New Roman" w:eastAsia="Calibri" w:hAnsi="Times New Roman" w:cs="Times New Roman"/>
          <w:bCs/>
        </w:rPr>
        <w:t>this</w:t>
      </w:r>
      <w:r w:rsidRPr="00B108F0">
        <w:rPr>
          <w:rFonts w:ascii="Times New Roman" w:eastAsia="Calibri" w:hAnsi="Times New Roman" w:cs="Times New Roman"/>
          <w:bCs/>
          <w:lang w:val="en-ID"/>
        </w:rPr>
        <w:t xml:space="preserve"> academic pursuits are dedicated to </w:t>
      </w:r>
      <w:proofErr w:type="spellStart"/>
      <w:r w:rsidRPr="00B108F0">
        <w:rPr>
          <w:rFonts w:ascii="Times New Roman" w:eastAsia="Calibri" w:hAnsi="Times New Roman" w:cs="Times New Roman"/>
          <w:bCs/>
          <w:lang w:val="en-ID"/>
        </w:rPr>
        <w:t>unraveling</w:t>
      </w:r>
      <w:proofErr w:type="spellEnd"/>
      <w:r w:rsidRPr="00B108F0">
        <w:rPr>
          <w:rFonts w:ascii="Times New Roman" w:eastAsia="Calibri" w:hAnsi="Times New Roman" w:cs="Times New Roman"/>
          <w:bCs/>
          <w:lang w:val="en-ID"/>
        </w:rPr>
        <w:t xml:space="preserve"> the intricate dynamics between international standards and their impact on the educational landscape, particularly focusing on the perspectives of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w:t>
      </w:r>
      <w:r>
        <w:rPr>
          <w:rFonts w:ascii="Times New Roman" w:eastAsia="Calibri" w:hAnsi="Times New Roman" w:cs="Times New Roman"/>
          <w:bCs/>
        </w:rPr>
        <w:t xml:space="preserve"> </w:t>
      </w:r>
    </w:p>
    <w:p w:rsidR="00085FBD" w:rsidRDefault="00085FBD"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085FBD">
        <w:rPr>
          <w:rFonts w:ascii="Times New Roman" w:eastAsia="Calibri" w:hAnsi="Times New Roman" w:cs="Times New Roman"/>
          <w:bCs/>
          <w:lang w:val="en-ID"/>
        </w:rPr>
        <w:t>As researcher</w:t>
      </w:r>
      <w:r w:rsidR="00A70A1D">
        <w:rPr>
          <w:rFonts w:ascii="Times New Roman" w:eastAsia="Calibri" w:hAnsi="Times New Roman" w:cs="Times New Roman"/>
          <w:bCs/>
        </w:rPr>
        <w:t>s</w:t>
      </w:r>
      <w:r w:rsidRPr="00085FBD">
        <w:rPr>
          <w:rFonts w:ascii="Times New Roman" w:eastAsia="Calibri" w:hAnsi="Times New Roman" w:cs="Times New Roman"/>
          <w:bCs/>
          <w:lang w:val="en-ID"/>
        </w:rPr>
        <w:t xml:space="preserve"> and lecturer</w:t>
      </w:r>
      <w:r w:rsidR="00A70A1D">
        <w:rPr>
          <w:rFonts w:ascii="Times New Roman" w:eastAsia="Calibri" w:hAnsi="Times New Roman" w:cs="Times New Roman"/>
          <w:bCs/>
        </w:rPr>
        <w:t>s</w:t>
      </w:r>
      <w:r w:rsidRPr="00085FBD">
        <w:rPr>
          <w:rFonts w:ascii="Times New Roman" w:eastAsia="Calibri" w:hAnsi="Times New Roman" w:cs="Times New Roman"/>
          <w:bCs/>
          <w:lang w:val="en-ID"/>
        </w:rPr>
        <w:t xml:space="preserve"> deeply entrenched in the field of maritime education, </w:t>
      </w:r>
      <w:r>
        <w:rPr>
          <w:rFonts w:ascii="Times New Roman" w:eastAsia="Calibri" w:hAnsi="Times New Roman" w:cs="Times New Roman"/>
          <w:bCs/>
          <w:lang w:val="en-ID"/>
        </w:rPr>
        <w:t xml:space="preserve">the </w:t>
      </w:r>
      <w:r w:rsidRPr="00085FBD">
        <w:rPr>
          <w:rFonts w:ascii="Times New Roman" w:eastAsia="Calibri" w:hAnsi="Times New Roman" w:cs="Times New Roman"/>
          <w:bCs/>
          <w:lang w:val="en-ID"/>
        </w:rPr>
        <w:t xml:space="preserve">academic </w:t>
      </w:r>
      <w:r w:rsidRPr="00085FBD">
        <w:rPr>
          <w:rFonts w:ascii="Times New Roman" w:eastAsia="Calibri" w:hAnsi="Times New Roman" w:cs="Times New Roman"/>
          <w:bCs/>
          <w:lang w:val="en-ID"/>
        </w:rPr>
        <w:lastRenderedPageBreak/>
        <w:t xml:space="preserve">endeavours are dedicated to </w:t>
      </w:r>
      <w:proofErr w:type="spellStart"/>
      <w:r w:rsidRPr="00085FBD">
        <w:rPr>
          <w:rFonts w:ascii="Times New Roman" w:eastAsia="Calibri" w:hAnsi="Times New Roman" w:cs="Times New Roman"/>
          <w:bCs/>
          <w:lang w:val="en-ID"/>
        </w:rPr>
        <w:t>unraveling</w:t>
      </w:r>
      <w:proofErr w:type="spellEnd"/>
      <w:r w:rsidRPr="00085FBD">
        <w:rPr>
          <w:rFonts w:ascii="Times New Roman" w:eastAsia="Calibri" w:hAnsi="Times New Roman" w:cs="Times New Roman"/>
          <w:bCs/>
          <w:lang w:val="en-ID"/>
        </w:rPr>
        <w:t xml:space="preserve"> the intricate dynamics between international standards and their impact on the educational landscape</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{"citationItems":[{"id":"ITEM-1","itemData":{"ISSN":"1538-6619","author":[{"dropping-particle":"","family":"McManis","given":"Lilla Dale","non-dropping-particle":"","parse-names":false,"suffix":""},{"dropping-particle":"","family":"Gunnewig","given":"Susan B","non-dropping-particle":"","parse-names":false,"suffix":""}],"container-title":"Young children","id":"ITEM-1","issue":"3","issued":{"date-parts":[["2012"]]},"page":"14-24","publisher":"Citeseer","title":"Finding the education in educational technology with early learners","type":"article-journal","volume":"67"},"uris":["http://www.mendeley.com/documents/?uuid=bdd1c300-518a-4016-8989-5bda9d2470ce"]},{"id":"ITEM-2","itemData":{"DOI":"10.29085/9781783301997.013","author":[{"dropping-particle":"","family":"Fraser","given":"Josie","non-dropping-particle":"","parse-names":false,"suffix":""},{"dropping-particle":"","family":"Reedy","given":"Katharine","non-dropping-particle":"","parse-names":false,"suffix":""}],"container-title":"Digital Literacy Unpacked","id":"ITEM-2","issued":{"date-parts":[["2018"]]},"page":"155-168","publisher":"Facet","title":"Digital Literacy and Open Educational Practice: Digilit Leicester","type":"article"},"uris":["http://www.mendeley.com/documents/?uuid=7b09b273-0371-49a4-9c23-e73880b840fb"]}],"mendeley":{"formattedCitation":"(Fraser &amp; Reedy, 2018; McManis &amp; Gunnewig, 2012)","plainTextFormattedCitation":"(Fraser &amp; Reedy, 2018; McManis &amp; Gunnewig, 2012)","previouslyFormattedCitation":"[4], [5]"},"properties":{"noteIndex":0},"schema":"https://github.com/citation-style-language/schema/raw/master/csl-citation.json"}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(Fraser &amp; Reedy, 2018; McManis &amp; Gunnewig, 2012)</w:t>
      </w:r>
      <w:r w:rsidR="00A70A1D">
        <w:rPr>
          <w:rFonts w:ascii="Times New Roman" w:eastAsia="Calibri" w:hAnsi="Times New Roman" w:cs="Times New Roman"/>
          <w:bCs/>
        </w:rPr>
        <w:fldChar w:fldCharType="end"/>
      </w:r>
      <w:r w:rsidRPr="00085FBD">
        <w:rPr>
          <w:rFonts w:ascii="Times New Roman" w:eastAsia="Calibri" w:hAnsi="Times New Roman" w:cs="Times New Roman"/>
          <w:bCs/>
          <w:lang w:val="en-ID"/>
        </w:rPr>
        <w:t>. This focus is particularly aimed at understanding the perspectives of junior cadets undergoing training in a variety of maritime institutions, including maritime institutes, private maritime institutes, and vocational institutions.</w:t>
      </w:r>
      <w:r>
        <w:rPr>
          <w:rFonts w:ascii="Times New Roman" w:eastAsia="Calibri" w:hAnsi="Times New Roman" w:cs="Times New Roman"/>
          <w:bCs/>
        </w:rPr>
        <w:t xml:space="preserve"> </w:t>
      </w:r>
      <w:r w:rsidRPr="00085FBD">
        <w:rPr>
          <w:rFonts w:ascii="Times New Roman" w:eastAsia="Calibri" w:hAnsi="Times New Roman" w:cs="Times New Roman"/>
          <w:bCs/>
          <w:lang w:val="en-ID"/>
        </w:rPr>
        <w:t xml:space="preserve">Central to </w:t>
      </w:r>
      <w:r>
        <w:rPr>
          <w:rFonts w:ascii="Times New Roman" w:eastAsia="Calibri" w:hAnsi="Times New Roman" w:cs="Times New Roman"/>
          <w:bCs/>
          <w:lang w:val="en-ID"/>
        </w:rPr>
        <w:t xml:space="preserve">the </w:t>
      </w:r>
      <w:r w:rsidRPr="00085FBD">
        <w:rPr>
          <w:rFonts w:ascii="Times New Roman" w:eastAsia="Calibri" w:hAnsi="Times New Roman" w:cs="Times New Roman"/>
          <w:bCs/>
          <w:lang w:val="en-ID"/>
        </w:rPr>
        <w:t xml:space="preserve">research is the critical examination of how these international standards shape and influence the curriculum, pedagogy, and overall educational experience of junior cadets. By delving into this aspect, </w:t>
      </w:r>
      <w:r w:rsidR="00A70A1D">
        <w:rPr>
          <w:rFonts w:ascii="Times New Roman" w:eastAsia="Calibri" w:hAnsi="Times New Roman" w:cs="Times New Roman"/>
          <w:bCs/>
        </w:rPr>
        <w:t xml:space="preserve">researchers </w:t>
      </w:r>
      <w:r w:rsidRPr="00085FBD">
        <w:rPr>
          <w:rFonts w:ascii="Times New Roman" w:eastAsia="Calibri" w:hAnsi="Times New Roman" w:cs="Times New Roman"/>
          <w:bCs/>
          <w:lang w:val="en-ID"/>
        </w:rPr>
        <w:t>aim to shed light on the effectiveness of these standards in preparing cadets for the challenges of the maritime industry in a globalized world</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review","type":"article-journal","volume":"20"},"uris":["http://www.mendeley.com/documents/?uuid=6348d57a-c220-4840-89d9-ff5189fa641f"]}],"mendeley":{"formattedCitation":"(Cicek et al., 2019; de la Peña Zarzuelo et al., 2020)","plainTextFormattedCitation":"(Cicek et al., 2019; de la Peña Zarzuelo et al., 2020)","previouslyFormattedCitation":"[2], [6]"},"properties":{"noteIndex":0},"schema":"https://github.com/citation-style-language/schema/raw/master/csl-citation.json"}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(Cicek et al., 2019; de la Peña Zarzuelo et al., 2020)</w:t>
      </w:r>
      <w:r w:rsidR="00A70A1D">
        <w:rPr>
          <w:rFonts w:ascii="Times New Roman" w:eastAsia="Calibri" w:hAnsi="Times New Roman" w:cs="Times New Roman"/>
          <w:bCs/>
        </w:rPr>
        <w:fldChar w:fldCharType="end"/>
      </w:r>
      <w:r w:rsidRPr="00085FBD">
        <w:rPr>
          <w:rFonts w:ascii="Times New Roman" w:eastAsia="Calibri" w:hAnsi="Times New Roman" w:cs="Times New Roman"/>
          <w:bCs/>
          <w:lang w:val="en-ID"/>
        </w:rPr>
        <w:t>.</w:t>
      </w:r>
      <w:r>
        <w:rPr>
          <w:rFonts w:ascii="Times New Roman" w:eastAsia="Calibri" w:hAnsi="Times New Roman" w:cs="Times New Roman"/>
          <w:bCs/>
        </w:rPr>
        <w:t xml:space="preserve"> </w:t>
      </w:r>
      <w:r w:rsidRPr="00085FBD">
        <w:rPr>
          <w:rFonts w:ascii="Times New Roman" w:eastAsia="Calibri" w:hAnsi="Times New Roman" w:cs="Times New Roman"/>
          <w:bCs/>
          <w:lang w:val="en-ID"/>
        </w:rPr>
        <w:t xml:space="preserve">Furthermore, </w:t>
      </w:r>
      <w:r>
        <w:rPr>
          <w:rFonts w:ascii="Times New Roman" w:eastAsia="Calibri" w:hAnsi="Times New Roman" w:cs="Times New Roman"/>
          <w:bCs/>
          <w:lang w:val="en-ID"/>
        </w:rPr>
        <w:t xml:space="preserve">the </w:t>
      </w:r>
      <w:r w:rsidRPr="00085FBD">
        <w:rPr>
          <w:rFonts w:ascii="Times New Roman" w:eastAsia="Calibri" w:hAnsi="Times New Roman" w:cs="Times New Roman"/>
          <w:bCs/>
          <w:lang w:val="en-ID"/>
        </w:rPr>
        <w:t>research extends to exploring the challenges and opportunities faced by educators and institutions in implementing these standards. This includes examining the adequacy of resources, the proficiency of educators, and the overall institutional capacity to meet these standards.</w:t>
      </w:r>
      <w:r>
        <w:rPr>
          <w:rFonts w:ascii="Times New Roman" w:eastAsia="Calibri" w:hAnsi="Times New Roman" w:cs="Times New Roman"/>
          <w:bCs/>
        </w:rPr>
        <w:t xml:space="preserve"> </w:t>
      </w:r>
      <w:r w:rsidRPr="00085FBD">
        <w:rPr>
          <w:rFonts w:ascii="Times New Roman" w:eastAsia="Calibri" w:hAnsi="Times New Roman" w:cs="Times New Roman"/>
          <w:bCs/>
          <w:lang w:val="en-ID"/>
        </w:rPr>
        <w:t xml:space="preserve">Through this </w:t>
      </w:r>
      <w:r w:rsidRPr="00085FBD">
        <w:rPr>
          <w:rFonts w:ascii="Times New Roman" w:eastAsia="Calibri" w:hAnsi="Times New Roman" w:cs="Times New Roman"/>
          <w:bCs/>
          <w:lang w:val="en-ID"/>
        </w:rPr>
        <w:lastRenderedPageBreak/>
        <w:t xml:space="preserve">comprehensive approach, </w:t>
      </w:r>
      <w:r w:rsidR="00A70A1D" w:rsidRPr="00A70A1D">
        <w:rPr>
          <w:rFonts w:ascii="Times New Roman" w:eastAsia="Calibri" w:hAnsi="Times New Roman" w:cs="Times New Roman"/>
          <w:bCs/>
        </w:rPr>
        <w:t>researchers</w:t>
      </w:r>
      <w:r w:rsidRPr="00085FBD">
        <w:rPr>
          <w:rFonts w:ascii="Times New Roman" w:eastAsia="Calibri" w:hAnsi="Times New Roman" w:cs="Times New Roman"/>
          <w:bCs/>
          <w:lang w:val="en-ID"/>
        </w:rPr>
        <w:t xml:space="preserve"> seek to contribute valuable insights to the field of maritime education, with the ultimate goal of enhancing the quality and relevance of education provided to junior cadets. By bridging the gap between theory and practice, </w:t>
      </w:r>
      <w:r>
        <w:rPr>
          <w:rFonts w:ascii="Times New Roman" w:eastAsia="Calibri" w:hAnsi="Times New Roman" w:cs="Times New Roman"/>
          <w:bCs/>
          <w:lang w:val="en-ID"/>
        </w:rPr>
        <w:t xml:space="preserve">the </w:t>
      </w:r>
      <w:r w:rsidRPr="00085FBD">
        <w:rPr>
          <w:rFonts w:ascii="Times New Roman" w:eastAsia="Calibri" w:hAnsi="Times New Roman" w:cs="Times New Roman"/>
          <w:bCs/>
          <w:lang w:val="en-ID"/>
        </w:rPr>
        <w:t>research aims to inform policy and practice in maritime education, ultimately benefiting both the cadets and the maritime industry as a whole.</w:t>
      </w:r>
    </w:p>
    <w:p w:rsidR="00085FBD" w:rsidRDefault="00B108F0" w:rsidP="00B108F0">
      <w:pPr>
        <w:autoSpaceDE w:val="0"/>
        <w:autoSpaceDN w:val="0"/>
        <w:adjustRightInd w:val="0"/>
        <w:spacing w:after="0" w:line="240" w:lineRule="auto"/>
        <w:ind w:firstLine="426"/>
        <w:jc w:val="both"/>
        <w:rPr>
          <w:rFonts w:ascii="Times New Roman" w:eastAsia="Calibri" w:hAnsi="Times New Roman" w:cs="Times New Roman"/>
          <w:bCs/>
        </w:rPr>
      </w:pPr>
      <w:r w:rsidRPr="00B108F0">
        <w:rPr>
          <w:rFonts w:ascii="Times New Roman" w:eastAsia="Calibri" w:hAnsi="Times New Roman" w:cs="Times New Roman"/>
          <w:bCs/>
          <w:lang w:val="en-ID"/>
        </w:rPr>
        <w:t xml:space="preserve">The </w:t>
      </w:r>
      <w:r w:rsidR="00E653BD">
        <w:rPr>
          <w:rFonts w:ascii="Times New Roman" w:eastAsia="Calibri" w:hAnsi="Times New Roman" w:cs="Times New Roman"/>
          <w:bCs/>
          <w:lang w:val="en-ID"/>
        </w:rPr>
        <w:t>background</w:t>
      </w:r>
      <w:r w:rsidRPr="00B108F0">
        <w:rPr>
          <w:rFonts w:ascii="Times New Roman" w:eastAsia="Calibri" w:hAnsi="Times New Roman" w:cs="Times New Roman"/>
          <w:bCs/>
          <w:lang w:val="en-ID"/>
        </w:rPr>
        <w:t xml:space="preserve"> of this research is set against the </w:t>
      </w:r>
      <w:r w:rsidR="00E653BD">
        <w:rPr>
          <w:rFonts w:ascii="Times New Roman" w:eastAsia="Calibri" w:hAnsi="Times New Roman" w:cs="Times New Roman"/>
          <w:bCs/>
          <w:lang w:val="en-ID"/>
        </w:rPr>
        <w:t>background</w:t>
      </w:r>
      <w:r w:rsidRPr="00B108F0">
        <w:rPr>
          <w:rFonts w:ascii="Times New Roman" w:eastAsia="Calibri" w:hAnsi="Times New Roman" w:cs="Times New Roman"/>
          <w:bCs/>
          <w:lang w:val="en-ID"/>
        </w:rPr>
        <w:t xml:space="preserve"> of a rapidly evolving maritime industry, characterized by technological advancements, regulatory reforms, and globalized trade networks. In this context, the significance of adhering to international standards in maritime education cannot be overstated</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-1","issued":{"date-parts":[["2020"]]},"publisher":"EDP Sciences","title":"Ensuring sustainable development of education of future maritime transport professionals by means of network interaction","type":"article-journal"},"uris":["http://www.mendeley.com/documents/?uuid=44f455a1-48e9-4d75-8ff4-2d5f528da6f9"]},{"id":"ITEM-2","itemData":{"ISSN":"0040-0912","author":[{"dropping-particle":"","family":"Emad","given":"Gholamreza","non-dropping-particle":"","parse-names":false,"suffix":""},{"dropping-particle":"","family":"Roth","given":"Wolff Michael","non-dropping-particle":"","parse-names":false,"suffix":""}],"container-title":"Education+ Training","id":"ITEM-2","issue":"3","issued":{"date-parts":[["2008"]]},"page":"260-272","publisher":"Emerald Group Publishing Limited","title":"Contradictions in the practices of training for and assessment of competency: A case study from the maritime domain","type":"article-journal","volume":"50"},"uris":["http://www.mendeley.com/documents/?uuid=3c9f3cbd-5735-4a3e-9a88-e370322b9a04"]}],"mendeley":{"formattedCitation":"(Dyagileva et al., 2020; Emad &amp; Roth, 2008)","plainTextFormattedCitation":"(Dyagileva et al., 2020; Emad &amp; Roth, 2008)","previouslyFormattedCitation":"[7], [8]"},"properties":{"noteIndex":0},"schema":"https://github.com/citation-style-language/schema/raw/master/csl-citation.json"}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(Dyagileva et al., 2020; Emad &amp; Roth, 2008)</w:t>
      </w:r>
      <w:r w:rsidR="00A70A1D">
        <w:rPr>
          <w:rFonts w:ascii="Times New Roman" w:eastAsia="Calibri" w:hAnsi="Times New Roman" w:cs="Times New Roman"/>
          <w:bCs/>
        </w:rPr>
        <w:fldChar w:fldCharType="end"/>
      </w:r>
      <w:r w:rsidRPr="00B108F0">
        <w:rPr>
          <w:rFonts w:ascii="Times New Roman" w:eastAsia="Calibri" w:hAnsi="Times New Roman" w:cs="Times New Roman"/>
          <w:bCs/>
          <w:lang w:val="en-ID"/>
        </w:rPr>
        <w:t>. These standards serve as guiding principles, dictating the curriculum, training methodologies, and competency frameworks implemented within educational institutions catering to aspiring seafarers</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Literature.","type":"article-journal","volume":"17"},"uris":["http://www.mendeley.com/documents/?uuid=e39eaad6-4ab2-4b53-a072-3a0c62b3d2ea"]}],"mendeley":{"formattedCitation":"(Mori &amp; Manuel, 2023)","plainTextFormattedCitation":"(Mori &amp; Manuel, 2023)","previouslyFormattedCitation":"[9]"},"properties":{"noteIndex":0},"schema":"https://github.com/citation-style-language/schema/raw/master/csl-citation.json"}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(Mori &amp; Manuel,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At the forefront of these standards lie the mandates outlined by the IMO and STCW, which seek to harmonize maritime practices, enhance safety protocols, and ensure the proficiency of seafaring professionals on a global scale.</w:t>
      </w:r>
      <w:r w:rsidR="00085FBD">
        <w:rPr>
          <w:rFonts w:ascii="Times New Roman" w:eastAsia="Calibri" w:hAnsi="Times New Roman" w:cs="Times New Roman"/>
          <w:bCs/>
        </w:rPr>
        <w:t xml:space="preserve"> </w:t>
      </w:r>
      <w:r w:rsidRPr="00B108F0">
        <w:rPr>
          <w:rFonts w:ascii="Times New Roman" w:eastAsia="Calibri" w:hAnsi="Times New Roman" w:cs="Times New Roman"/>
          <w:bCs/>
          <w:lang w:val="en-ID"/>
        </w:rPr>
        <w:t>Aligned with the overarching objective of enhancing maritime safety and efficiency, the purpose of this research is multifaceted.</w:t>
      </w:r>
      <w:r w:rsidR="00085FBD">
        <w:rPr>
          <w:rFonts w:ascii="Times New Roman" w:eastAsia="Calibri" w:hAnsi="Times New Roman" w:cs="Times New Roman"/>
          <w:bCs/>
        </w:rPr>
        <w:t xml:space="preserve"> </w:t>
      </w:r>
    </w:p>
    <w:p w:rsidR="00085FBD" w:rsidRPr="00085FBD" w:rsidRDefault="00085FBD" w:rsidP="00085FBD">
      <w:pPr>
        <w:autoSpaceDE w:val="0"/>
        <w:autoSpaceDN w:val="0"/>
        <w:adjustRightInd w:val="0"/>
        <w:spacing w:after="0" w:line="240" w:lineRule="auto"/>
        <w:ind w:firstLine="426"/>
        <w:jc w:val="both"/>
        <w:rPr>
          <w:rFonts w:ascii="Times New Roman" w:eastAsia="Calibri" w:hAnsi="Times New Roman" w:cs="Times New Roman"/>
          <w:bCs/>
          <w:lang w:val="en-ID"/>
        </w:rPr>
      </w:pPr>
      <w:r w:rsidRPr="00085FBD">
        <w:rPr>
          <w:rFonts w:ascii="Times New Roman" w:eastAsia="Calibri" w:hAnsi="Times New Roman" w:cs="Times New Roman"/>
          <w:bCs/>
        </w:rPr>
        <w:t>I</w:t>
      </w:r>
      <w:r w:rsidR="00B108F0" w:rsidRPr="00085FBD">
        <w:rPr>
          <w:rFonts w:ascii="Times New Roman" w:eastAsia="Calibri" w:hAnsi="Times New Roman" w:cs="Times New Roman"/>
          <w:bCs/>
          <w:lang w:val="en-ID"/>
        </w:rPr>
        <w:t xml:space="preserve">t aims to delve into the nuanced perspectives of 45 junior cadets undergoing maritime training, elucidating their perceptions, experiences, and challenges concerning the implementation of international standards within their educational milieu. </w:t>
      </w:r>
      <w:r w:rsidRPr="00085FBD">
        <w:rPr>
          <w:rFonts w:ascii="Times New Roman" w:eastAsia="Calibri" w:hAnsi="Times New Roman" w:cs="Times New Roman"/>
          <w:bCs/>
          <w:lang w:val="en-ID"/>
        </w:rPr>
        <w:t>Aligned with the overarching objective of enhancing maritime safety and efficiency, the purpose of this research is multifaceted and of paramount importance within the maritime education discourse. The primary aim is to delve deeply into the nuanced perspectives of a targeted cohort comprising 45 junior cadets currently undergoing rigorous maritime training. By adopting a qualitative research approach, this study seeks to elucidate their multifaceted perceptions, lived experiences, and inherent challenges concerning the implementation of international standards within their educational milieu</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Willig","given":"Carla","non-dropping-particle":"","parse-names":false,"suffix":""}],"container-title":"The SAGE handbook of qualitative data analysis","id":"ITEM-2","issued":{"date-parts":[["2014"]]},"publisher":"Sage Los Angeles","title":"Interpretation and analysis","type":"article-journal","volume":"481"},"uris":["http://www.mendeley.com/documents/?uuid=d0aab19e-7fa9-4fab-9d61-d8d46ff47004"]}],"mendeley":{"formattedCitation":"(Padgett, 2016; Willig, 2014)","plainTextFormattedCitation":"(Padgett, 2016; Willig, 2014)","previouslyFormattedCitation":"[10], [11]"},"properties":{"noteIndex":0},"schema":"https://github.com/citation-style-language/schema/raw/master/csl-citation.json"}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(Padgett, 2016; Willig, 2014)</w:t>
      </w:r>
      <w:r w:rsidR="00A70A1D">
        <w:rPr>
          <w:rFonts w:ascii="Times New Roman" w:eastAsia="Calibri" w:hAnsi="Times New Roman" w:cs="Times New Roman"/>
          <w:bCs/>
        </w:rPr>
        <w:fldChar w:fldCharType="end"/>
      </w:r>
      <w:r w:rsidRPr="00085FBD">
        <w:rPr>
          <w:rFonts w:ascii="Times New Roman" w:eastAsia="Calibri" w:hAnsi="Times New Roman" w:cs="Times New Roman"/>
          <w:bCs/>
          <w:lang w:val="en-ID"/>
        </w:rPr>
        <w:t>.</w:t>
      </w:r>
    </w:p>
    <w:p w:rsidR="00085FBD" w:rsidRPr="00085FBD" w:rsidRDefault="00085FBD" w:rsidP="00085FBD">
      <w:pPr>
        <w:autoSpaceDE w:val="0"/>
        <w:autoSpaceDN w:val="0"/>
        <w:adjustRightInd w:val="0"/>
        <w:spacing w:after="0" w:line="240" w:lineRule="auto"/>
        <w:ind w:firstLine="426"/>
        <w:jc w:val="both"/>
        <w:rPr>
          <w:rFonts w:ascii="Times New Roman" w:eastAsia="Calibri" w:hAnsi="Times New Roman" w:cs="Times New Roman"/>
          <w:bCs/>
          <w:lang w:val="en-ID"/>
        </w:rPr>
      </w:pPr>
      <w:r w:rsidRPr="00085FBD">
        <w:rPr>
          <w:rFonts w:ascii="Times New Roman" w:eastAsia="Calibri" w:hAnsi="Times New Roman" w:cs="Times New Roman"/>
          <w:bCs/>
          <w:lang w:val="en-ID"/>
        </w:rPr>
        <w:t xml:space="preserve">At the </w:t>
      </w:r>
      <w:r w:rsidRPr="00085FBD">
        <w:rPr>
          <w:rFonts w:ascii="Times New Roman" w:eastAsia="Calibri" w:hAnsi="Times New Roman" w:cs="Times New Roman"/>
          <w:bCs/>
        </w:rPr>
        <w:t>centre</w:t>
      </w:r>
      <w:r w:rsidRPr="00085FBD">
        <w:rPr>
          <w:rFonts w:ascii="Times New Roman" w:eastAsia="Calibri" w:hAnsi="Times New Roman" w:cs="Times New Roman"/>
          <w:bCs/>
          <w:lang w:val="en-ID"/>
        </w:rPr>
        <w:t xml:space="preserve"> of this inquiry lies a critical examination of the intersection between prescribed international standards and the practical realities encountered by junior cadets during their educational journey. This entails scrutinising how these standards are perceived, interpreted, and internalised by cadets within the context of their training institutions, which encompass a diverse range of maritime educational settings. Moreover, the research aims to uncover the discrepancies, if </w:t>
      </w:r>
      <w:r w:rsidRPr="00085FBD">
        <w:rPr>
          <w:rFonts w:ascii="Times New Roman" w:eastAsia="Calibri" w:hAnsi="Times New Roman" w:cs="Times New Roman"/>
          <w:bCs/>
          <w:lang w:val="en-ID"/>
        </w:rPr>
        <w:lastRenderedPageBreak/>
        <w:t>any, between the theoretical frameworks underpinning international standards and their pragmatic application within the day-to-day educational practices experienced by cadets.</w:t>
      </w:r>
      <w:r>
        <w:rPr>
          <w:rFonts w:ascii="Times New Roman" w:eastAsia="Calibri" w:hAnsi="Times New Roman" w:cs="Times New Roman"/>
          <w:bCs/>
        </w:rPr>
        <w:t xml:space="preserve"> </w:t>
      </w:r>
      <w:r w:rsidRPr="00085FBD">
        <w:rPr>
          <w:rFonts w:ascii="Times New Roman" w:eastAsia="Calibri" w:hAnsi="Times New Roman" w:cs="Times New Roman"/>
          <w:bCs/>
          <w:lang w:val="en-ID"/>
        </w:rPr>
        <w:t>In striving towards this overarching objective, the research adopts a comprehensive methodology encompassing in-depth interviews, focus group discussions, and participant observation techniques</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ISSN":"0141-8211","author":[{"dropping-particle":"","family":"Yilmaz","given":"Kaya","non-dropping-particle":"","parse-names":false,"suffix":""}],"container-title":"European journal of education","id":"ITEM-2","issue":"2","issued":{"date-parts":[["2013"]]},"page":"311-325","publisher":"Wiley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differences","type":"article-journal","volume":"48"},"uris":["http://www.mendeley.com/documents/?uuid=339971ef-5a98-4e4f-87c1-cced7045aa9c"]}],"mendeley":{"formattedCitation":"(Padgett, 2016; Yilmaz, 2013)","plainTextFormattedCitation":"(Padgett, 2016; Yilmaz, 2013)","previouslyFormattedCitation":"[10], [12]"},"properties":{"noteIndex":0},"schema":"https://github.com/citation-style-language/schema/raw/master/csl-citation.json"}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(Padgett, 2016; Yilmaz, 2013)</w:t>
      </w:r>
      <w:r w:rsidR="00A70A1D">
        <w:rPr>
          <w:rFonts w:ascii="Times New Roman" w:eastAsia="Calibri" w:hAnsi="Times New Roman" w:cs="Times New Roman"/>
          <w:bCs/>
        </w:rPr>
        <w:fldChar w:fldCharType="end"/>
      </w:r>
      <w:r w:rsidRPr="00085FBD">
        <w:rPr>
          <w:rFonts w:ascii="Times New Roman" w:eastAsia="Calibri" w:hAnsi="Times New Roman" w:cs="Times New Roman"/>
          <w:bCs/>
          <w:lang w:val="en-ID"/>
        </w:rPr>
        <w:t>. Through these methodological avenues, the study seeks to capture the richness and complexity of cadets' perspectives, allowing for a nuanced understanding of their lived experiences within the maritime educational landscape. Moreover, by employing a purposive sampling strategy, the research ensures the inclusion of diverse voices and experiences, thereby enhancing the validity and reliability of the findings.</w:t>
      </w:r>
    </w:p>
    <w:p w:rsidR="00085FBD" w:rsidRDefault="00085FBD" w:rsidP="00B108F0">
      <w:pPr>
        <w:autoSpaceDE w:val="0"/>
        <w:autoSpaceDN w:val="0"/>
        <w:adjustRightInd w:val="0"/>
        <w:spacing w:after="0" w:line="240" w:lineRule="auto"/>
        <w:ind w:firstLine="426"/>
        <w:jc w:val="both"/>
        <w:rPr>
          <w:rFonts w:ascii="Times New Roman" w:eastAsia="Calibri" w:hAnsi="Times New Roman" w:cs="Times New Roman"/>
          <w:bCs/>
        </w:rPr>
      </w:pPr>
      <w:r w:rsidRPr="00085FBD">
        <w:rPr>
          <w:rFonts w:ascii="Times New Roman" w:eastAsia="Calibri" w:hAnsi="Times New Roman" w:cs="Times New Roman"/>
          <w:bCs/>
          <w:lang w:val="en-ID"/>
        </w:rPr>
        <w:t>Furthermore, this research extends beyond the mere documentation of cadets' perceptions and experiences to offer a critical analysis of the broader implications for maritime education and safety. By situating the findings within the wider context of global maritime governance frameworks and regulatory regimes, the study aims to identify potential gaps, challenges, and opportunities for enhancing the alignment between educational practices and industry requirements. This critical appraisal serves as a foundation for proposing targeted recommendations aimed at bridging the divide between theory and practice within maritime education, ultimately contributing to the overarching goal of fostering safer and more efficient maritime operations</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-1","issued":{"date-parts":[["2020"]]},"publisher":"EDP Sciences","title":"Ensuring sustainable development of education of future maritime transport professionals by means of network interaction","type":"article-journal"},"uris":["http://www.mendeley.com/documents/?uuid=44f455a1-48e9-4d75-8ff4-2d5f528da6f9"]},{"id":"ITEM-2","itemData":{"author":[{"dropping-particle":"","family":"Bee","given":"Mark","non-dropping-particle":"","parse-names":false,"suffix":""}],"id":"ITEM-2","issued":{"date-parts":[["2017"]]},"publisher":"University of Southampton","title":"A study into the professional identity of lecturers at a maritime education and training institute operating on the boundary of further and higher education","type":"article"},"uris":["http://www.mendeley.com/documents/?uuid=8360d9b6-84c4-4e31-89f5-e3deed1d4e1c"]}],"mendeley":{"formattedCitation":"(Bee, 2017; Dyagileva et al., 2020)","plainTextFormattedCitation":"(Bee, 2017; Dyagileva et al., 2020)","previouslyFormattedCitation":"[7], [13]"},"properties":{"noteIndex":0},"schema":"https://github.com/citation-style-language/schema/raw/master/csl-citation.json"}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(Bee, 2017; Dyagileva et al., 2020)</w:t>
      </w:r>
      <w:r w:rsidR="00A70A1D">
        <w:rPr>
          <w:rFonts w:ascii="Times New Roman" w:eastAsia="Calibri" w:hAnsi="Times New Roman" w:cs="Times New Roman"/>
          <w:bCs/>
        </w:rPr>
        <w:fldChar w:fldCharType="end"/>
      </w:r>
      <w:r w:rsidRPr="00085FBD">
        <w:rPr>
          <w:rFonts w:ascii="Times New Roman" w:eastAsia="Calibri" w:hAnsi="Times New Roman" w:cs="Times New Roman"/>
          <w:bCs/>
          <w:lang w:val="en-ID"/>
        </w:rPr>
        <w:t>.</w:t>
      </w:r>
      <w:r>
        <w:rPr>
          <w:rFonts w:ascii="Times New Roman" w:eastAsia="Calibri" w:hAnsi="Times New Roman" w:cs="Times New Roman"/>
          <w:bCs/>
        </w:rPr>
        <w:t xml:space="preserve"> </w:t>
      </w:r>
      <w:r w:rsidR="00B108F0" w:rsidRPr="00B108F0">
        <w:rPr>
          <w:rFonts w:ascii="Times New Roman" w:eastAsia="Calibri" w:hAnsi="Times New Roman" w:cs="Times New Roman"/>
          <w:bCs/>
          <w:lang w:val="en-ID"/>
        </w:rPr>
        <w:t>Through qualitative inquiry, this study seeks to unravel the intricate interplay between standardized curricula and the practical realities encountered by junior cadets as they navigate through their educational journey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Philippines.","type":"article"},"uris":["http://www.mendeley.com/documents/?uuid=b8aabb5b-7ac1-4525-a3b4-23bd221ad97d"]}],"mendeley":{"formattedCitation":"(Abila, 2016)","plainTextFormattedCitation":"(Abila, 2016)","previouslyFormattedCitation":"[14]"},"properties":{"noteIndex":0},"schema":"https://github.com/citation-style-language/schema/raw/master/csl-citation.json"}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(Abila, 2016)</w:t>
      </w:r>
      <w:r w:rsidR="00CA263C">
        <w:rPr>
          <w:rFonts w:ascii="Times New Roman" w:eastAsia="Calibri" w:hAnsi="Times New Roman" w:cs="Times New Roman"/>
          <w:bCs/>
        </w:rPr>
        <w:fldChar w:fldCharType="end"/>
      </w:r>
      <w:r w:rsidR="00B108F0" w:rsidRPr="00B108F0">
        <w:rPr>
          <w:rFonts w:ascii="Times New Roman" w:eastAsia="Calibri" w:hAnsi="Times New Roman" w:cs="Times New Roman"/>
          <w:bCs/>
          <w:lang w:val="en-ID"/>
        </w:rPr>
        <w:t xml:space="preserve">. By adopting a descriptive analysis approach, this research </w:t>
      </w:r>
      <w:proofErr w:type="spellStart"/>
      <w:r w:rsidR="00B108F0" w:rsidRPr="00B108F0">
        <w:rPr>
          <w:rFonts w:ascii="Times New Roman" w:eastAsia="Calibri" w:hAnsi="Times New Roman" w:cs="Times New Roman"/>
          <w:bCs/>
          <w:lang w:val="en-ID"/>
        </w:rPr>
        <w:t>endeavors</w:t>
      </w:r>
      <w:proofErr w:type="spellEnd"/>
      <w:r w:rsidR="00B108F0" w:rsidRPr="00B108F0">
        <w:rPr>
          <w:rFonts w:ascii="Times New Roman" w:eastAsia="Calibri" w:hAnsi="Times New Roman" w:cs="Times New Roman"/>
          <w:bCs/>
          <w:lang w:val="en-ID"/>
        </w:rPr>
        <w:t xml:space="preserve"> to provide a comprehensive understanding of the efficacy of international standards in maritime education, shedding light on both the successes and shortcomings inherent in their implementation.</w:t>
      </w:r>
      <w:r w:rsidR="00B108F0">
        <w:rPr>
          <w:rFonts w:ascii="Times New Roman" w:eastAsia="Calibri" w:hAnsi="Times New Roman" w:cs="Times New Roman"/>
          <w:bCs/>
        </w:rPr>
        <w:t xml:space="preserve"> </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Furthermore, this research aspires to contribute to the broader discourse surrounding the optimization of maritime education in alignment with international standards. By offering insights gleaned from the </w:t>
      </w:r>
      <w:proofErr w:type="spellStart"/>
      <w:r w:rsidRPr="00B108F0">
        <w:rPr>
          <w:rFonts w:ascii="Times New Roman" w:eastAsia="Calibri" w:hAnsi="Times New Roman" w:cs="Times New Roman"/>
          <w:bCs/>
          <w:lang w:val="en-ID"/>
        </w:rPr>
        <w:t>firsthand</w:t>
      </w:r>
      <w:proofErr w:type="spellEnd"/>
      <w:r w:rsidRPr="00B108F0">
        <w:rPr>
          <w:rFonts w:ascii="Times New Roman" w:eastAsia="Calibri" w:hAnsi="Times New Roman" w:cs="Times New Roman"/>
          <w:bCs/>
          <w:lang w:val="en-ID"/>
        </w:rPr>
        <w:t xml:space="preserve"> experiences of junior cadets, this study aims to inform educational institutions, policymakers, and industry stakeholders about the pragmatic implications of adhering to international standards. Through critical reflection and academic inquiry, this research seeks to identify areas for improvement, propose innovative pedagogical approaches, and advocate for continuous refinement of maritime education </w:t>
      </w:r>
      <w:r w:rsidRPr="00B108F0">
        <w:rPr>
          <w:rFonts w:ascii="Times New Roman" w:eastAsia="Calibri" w:hAnsi="Times New Roman" w:cs="Times New Roman"/>
          <w:bCs/>
          <w:lang w:val="en-ID"/>
        </w:rPr>
        <w:lastRenderedPageBreak/>
        <w:t>frameworks to meet the evolving demands of the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2168-1015","author":[{"dropping-particle":"","family":"Tseng","given":"Ming-Lang","non-dropping-particle":"","parse-names":false,"suffix":""},{"dropping-particle":"","family":"Tran","given":"Thi Phuong Thuy","non-dropping-particle":"","parse-names":false,"suffix":""},{"dropping-particle":"","family":"Ha","given":"Hien Minh","non-dropping-particle":"","parse-names":false,"suffix":""},{"dropping-particle":"","family":"Bui","given":"Tat-Dat","non-dropping-particle":"","parse-names":false,"suffix":""},{"dropping-particle":"","family":"Lim","given":"Ming K","non-dropping-particle":"","parse-names":false,"suffix":""}],"container-title":"Journal of Industrial and Production Engineering","id":"ITEM-2","issue":"8","issued":{"date-parts":[["2021"]]},"page":"581-598","publisher":"Taylor &amp; Francis","title":"Sustainable industrial and operation engineering trends and challenges Toward Industry 4.0: A data driven analysis","type":"article-journal","volume":"38"},"uris":["http://www.mendeley.com/documents/?uuid=f7fa1ea7-fb37-4b18-b0ad-10823ed26152"]}],"mendeley":{"formattedCitation":"(Bergheim et al., 2015; Tseng et al., 2021)","plainTextFormattedCitation":"(Bergheim et al., 2015; Tseng et al., 2021)","previouslyFormattedCitation":"[15], [16]"},"properties":{"noteIndex":0},"schema":"https://github.com/citation-style-language/schema/raw/master/csl-citation.json"}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(Bergheim et al., 2015; Tseng et al., 2021)</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p>
    <w:p w:rsidR="00085FBD"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this research holds implications for the professional development and career trajectories of junior cadets aspiring to embark on seafaring professions. By examining the nexus between international standards and educational outcomes, this study aims to empower junior cadets with the requisite knowledge and awareness to navigate the complexities of the maritime industry with confidence and competence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{"citationItems":[{"id":"ITEM-1","itemData":{"ISSN":"8272067846","author":[{"dropping-particle":"","family":"Sharma","given":"Amit","non-dropping-particle":"","parse-names":false,"suffix":""}],"id":"ITEM-1","issued":{"date-parts":[["2023"]]},"publisher":"University of South-Eastern Norway","title":"Potential of technology supported competence development for Maritime Education and Training","type":"article-journal"},"uris":["http://www.mendeley.com/documents/?uuid=33545929-dd9c-432d-b36c-5769b2e929e1"]}],"mendeley":{"formattedCitation":"(Sharma, 2023)","plainTextFormattedCitation":"(Sharma, 2023)","previouslyFormattedCitation":"[17]"},"properties":{"noteIndex":0},"schema":"https://github.com/citation-style-language/schema/raw/master/csl-citation.json"}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(Sharma,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By fostering a deeper understanding of the rationale behind international standards, this research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w:t>
      </w:r>
      <w:proofErr w:type="spellStart"/>
      <w:r w:rsidRPr="00B108F0">
        <w:rPr>
          <w:rFonts w:ascii="Times New Roman" w:eastAsia="Calibri" w:hAnsi="Times New Roman" w:cs="Times New Roman"/>
          <w:bCs/>
          <w:lang w:val="en-ID"/>
        </w:rPr>
        <w:t>instill</w:t>
      </w:r>
      <w:proofErr w:type="spellEnd"/>
      <w:r w:rsidRPr="00B108F0">
        <w:rPr>
          <w:rFonts w:ascii="Times New Roman" w:eastAsia="Calibri" w:hAnsi="Times New Roman" w:cs="Times New Roman"/>
          <w:bCs/>
          <w:lang w:val="en-ID"/>
        </w:rPr>
        <w:t xml:space="preserve"> a sense of accountability, professionalism, and commitment to lifelong learning among aspiring seafarers, thereby contributing to the cultivation of a skilled and resilient maritime workforce capable of addressing the challenges and opportunities of the 21st-century maritime landscape</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{"citationItems":[{"id":"ITEM-1","itemData":{"ISSN":"1845640586","author":[{"dropping-particle":"","family":"WEINTRIT","given":"Adam","non-dropping-particle":"","parse-names":false,"suffix":""}],"container-title":"Maritime Security and MET","id":"ITEM-1","issued":{"date-parts":[["2005"]]},"page":"35-44","publisher":"WIT Press","title":"IAMU model course on ECDIS","type":"article-journal"},"uris":["http://www.mendeley.com/documents/?uuid=39445a7e-d75f-48d3-9604-2d5213ecb85d"]},{"id":"ITEM-2","itemData":{"author":[{"dropping-particle":"","family":"Loades","given":"David","non-dropping-particle":"","parse-names":false,"suffix":""}],"container-title":"Social History of English SeamenWorld of the Medieval Shipmaster","id":"ITEM-2","issued":{"date-parts":[["2012"]]},"page":"5720118","title":"The English Maritime Community, 1500-1650","type":"article-journal"},"uris":["http://www.mendeley.com/documents/?uuid=2f4e2aff-0984-4e22-a28a-afb35cd35f28"]}],"mendeley":{"formattedCitation":"(Loades, 2012; WEINTRIT, 2005)","plainTextFormattedCitation":"(Loades, 2012; WEINTRIT, 2005)","previouslyFormattedCitation":"[18], [19]"},"properties":{"noteIndex":0},"schema":"https://github.com/citation-style-language/schema/raw/master/csl-citation.json"}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(Loades, 2012; WEINTRIT, 2005)</w:t>
      </w:r>
      <w:r w:rsidR="00A70A1D">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Pr>
          <w:rFonts w:ascii="Times New Roman" w:eastAsia="Calibri" w:hAnsi="Times New Roman" w:cs="Times New Roman"/>
          <w:bCs/>
        </w:rPr>
        <w:t xml:space="preserve"> T</w:t>
      </w:r>
      <w:r w:rsidRPr="00B108F0">
        <w:rPr>
          <w:rFonts w:ascii="Times New Roman" w:eastAsia="Calibri" w:hAnsi="Times New Roman" w:cs="Times New Roman"/>
          <w:bCs/>
          <w:lang w:val="en-ID"/>
        </w:rPr>
        <w:t xml:space="preserve">his research embarks on a journey to explore the impact of international standards on maritime education through the lens of junior cadets, with the overarching goal of fostering safety, efficiency, and excellence within the maritime domain. By delving into the intricacies of standardized curricula, this study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unravel the complexities inherent in maritime education, offering insights that resonate with educators, policymakers, industry stakeholders, and aspiring seafarers alike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Literature.","type":"article-journal","volume":"17"},"uris":["http://www.mendeley.com/documents/?uuid=e39eaad6-4ab2-4b53-a072-3a0c62b3d2ea"]}],"mendeley":{"formattedCitation":"(Mori &amp; Manuel, 2023)","plainTextFormattedCitation":"(Mori &amp; Manuel, 2023)","previouslyFormattedCitation":"[9]"},"properties":{"noteIndex":0},"schema":"https://github.com/citation-style-language/schema/raw/master/csl-citation.json"}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(Mori &amp; Manuel,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w:t>
      </w:r>
    </w:p>
    <w:p w:rsidR="00085FBD" w:rsidRPr="00085FBD" w:rsidRDefault="00A70A1D" w:rsidP="00085FBD">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 xml:space="preserve">In </w:t>
      </w:r>
      <w:r w:rsidR="00085FBD" w:rsidRPr="00085FBD">
        <w:rPr>
          <w:rFonts w:ascii="Times New Roman" w:eastAsia="Calibri" w:hAnsi="Times New Roman" w:cs="Times New Roman"/>
          <w:bCs/>
          <w:lang w:val="en-ID"/>
        </w:rPr>
        <w:t>engaging with the nuanced perspectives of junior cadets, this study seeks to amplify their voices within the broader discourse on maritime education, thereby fostering a more inclusive and participatory approach to educational policymaking and implementation.</w:t>
      </w:r>
      <w:r w:rsidR="00085FBD">
        <w:rPr>
          <w:rFonts w:ascii="Times New Roman" w:eastAsia="Calibri" w:hAnsi="Times New Roman" w:cs="Times New Roman"/>
          <w:bCs/>
        </w:rPr>
        <w:t xml:space="preserve"> B</w:t>
      </w:r>
      <w:r w:rsidR="00085FBD" w:rsidRPr="00085FBD">
        <w:rPr>
          <w:rFonts w:ascii="Times New Roman" w:eastAsia="Calibri" w:hAnsi="Times New Roman" w:cs="Times New Roman"/>
          <w:bCs/>
          <w:lang w:val="en-ID"/>
        </w:rPr>
        <w:t>y shedding light on the challenges and opportunities inherent in the implementation of international standards, the research aims to stimulate critical reflection among educators, policymakers, and industry stakeholders. This reflective process is essential for identifying gaps in current practices and exploring innovative solutions to enhance the quality and relevance of maritime education.</w:t>
      </w:r>
      <w:r w:rsidR="00085FBD">
        <w:rPr>
          <w:rFonts w:ascii="Times New Roman" w:eastAsia="Calibri" w:hAnsi="Times New Roman" w:cs="Times New Roman"/>
          <w:bCs/>
        </w:rPr>
        <w:t xml:space="preserve"> </w:t>
      </w:r>
      <w:r w:rsidR="00085FBD" w:rsidRPr="00085FBD">
        <w:rPr>
          <w:rFonts w:ascii="Times New Roman" w:eastAsia="Calibri" w:hAnsi="Times New Roman" w:cs="Times New Roman"/>
          <w:bCs/>
          <w:lang w:val="en-ID"/>
        </w:rPr>
        <w:t>Moreover, by situating the findings within the context of broader trends in global maritime governance and industry requirements, this research seeks to provide a roadmap for future research and policy development. The insights generated from this study can inform the design of more effective educational interventions and training programmes, ultimately enhancing the competence and preparedness of future maritime professionals.</w:t>
      </w:r>
      <w:r w:rsidR="00085FBD">
        <w:rPr>
          <w:rFonts w:ascii="Times New Roman" w:eastAsia="Calibri" w:hAnsi="Times New Roman" w:cs="Times New Roman"/>
          <w:bCs/>
        </w:rPr>
        <w:t xml:space="preserve"> T</w:t>
      </w:r>
      <w:r w:rsidR="00085FBD" w:rsidRPr="00085FBD">
        <w:rPr>
          <w:rFonts w:ascii="Times New Roman" w:eastAsia="Calibri" w:hAnsi="Times New Roman" w:cs="Times New Roman"/>
          <w:bCs/>
          <w:lang w:val="en-ID"/>
        </w:rPr>
        <w:t xml:space="preserve">his research represents a crucial step towards advancing the field of maritime education by fostering a culture of continuous improvement and innovation. By amplifying the voices of junior cadets and providing a platform for informed </w:t>
      </w:r>
      <w:r w:rsidR="00085FBD" w:rsidRPr="00085FBD">
        <w:rPr>
          <w:rFonts w:ascii="Times New Roman" w:eastAsia="Calibri" w:hAnsi="Times New Roman" w:cs="Times New Roman"/>
          <w:bCs/>
          <w:lang w:val="en-ID"/>
        </w:rPr>
        <w:lastRenderedPageBreak/>
        <w:t>dialogue, this study aims to drive positive change within the maritime education landscape, ultimately contributing to safer, more efficient, and more sustainable maritime operations.</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qualitative research methodology employed in this study seeks to explore the impact of international standards on maritime education through in-depth inquiry and analysis of the perspectives of 45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 By adopting a qualitative approach, this research aims to uncover the nuanced insights, experiences, and perceptions of junior cadets regarding the implementation of international standards within their educational milieu, thereby offering rich, contextualized data that transcend mere numerical metrics</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{"citationItems":[{"id":"ITEM-1","itemData":{"ISSN":"0141-8211","author":[{"dropping-particle":"","family":"Yilmaz","given":"Kaya","non-dropping-particle":"","parse-names":false,"suffix":""}],"container-title":"European journal of education","id":"ITEM-1","issue":"2","issued":{"date-parts":[["2013"]]},"page":"311-325","publisher":"Wiley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id":"ITEM-2","itemData":{"author":[{"dropping-particle":"","family":"Weinsheimer","given":"Joel","non-dropping-particle":"","parse-names":false,"suffix":""}],"id":"ITEM-2","issued":{"date-parts":[["1985"]]},"title":"Gadamer's Hermeneutics A Reading of Truth and Method","type":"article-journal"},"uris":["http://www.mendeley.com/documents/?uuid=f3a1d8d7-9a78-43ce-8c70-618be04caeba"]}],"mendeley":{"formattedCitation":"(Weinsheimer, 1985; Yilmaz, 2013)","plainTextFormattedCitation":"(Weinsheimer, 1985; Yilmaz, 2013)","previouslyFormattedCitation":"[12], [20]"},"properties":{"noteIndex":0},"schema":"https://github.com/citation-style-language/schema/raw/master/csl-citation.json"}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(Weinsheimer, 1985; Yilmaz, 2013)</w:t>
      </w:r>
      <w:r w:rsidR="00A70A1D">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Pr>
          <w:rFonts w:ascii="Times New Roman" w:eastAsia="Calibri" w:hAnsi="Times New Roman" w:cs="Times New Roman"/>
          <w:bCs/>
        </w:rPr>
        <w:t xml:space="preserve"> </w:t>
      </w:r>
      <w:r w:rsidRPr="00B108F0">
        <w:rPr>
          <w:rFonts w:ascii="Times New Roman" w:eastAsia="Calibri" w:hAnsi="Times New Roman" w:cs="Times New Roman"/>
          <w:bCs/>
          <w:lang w:val="en-ID"/>
        </w:rPr>
        <w:t>Central to the qualitative research design is the utilization of semi-structured interviews as the primary data collection method</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id":"ITEM-2","itemData":{"ISSN":"0141-8211","author":[{"dropping-particle":"","family":"Yilmaz","given":"Kaya","non-dropping-particle":"","parse-names":false,"suffix":""}],"container-title":"European journal of education","id":"ITEM-2","issue":"2","issued":{"date-parts":[["2013"]]},"page":"311-325","publisher":"Wiley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differences","type":"article-journal","volume":"48"},"uris":["http://www.mendeley.com/documents/?uuid=339971ef-5a98-4e4f-87c1-cced7045aa9c"]}],"mendeley":{"formattedCitation":"(Creswell &amp; Clark, 2011; Yilmaz, 2013)","plainTextFormattedCitation":"(Creswell &amp; Clark, 2011; Yilmaz, 2013)","previouslyFormattedCitation":"[12], [21]"},"properties":{"noteIndex":0},"schema":"https://github.com/citation-style-language/schema/raw/master/csl-citation.json"}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(Creswell &amp; Clark, 2011; Yilmaz, 2013)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Semi-structured interviews provide a flexible yet systematic framework for engaging participants in open-ended dialogue, allowing for the exploration of diverse viewpoints, narratives, and experiences related to the research topic. The interview protocol is designed to elicit responses pertaining to various dimensions of maritime education, including the alignment with international standards, curriculum content, instructional methodologies, practical training experiences, and perceived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selection of participants for the study involves purposive sampling, whereby junior cadets currently enrolled in maritime education programs are invited to participate based on their willingness and availability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{"citationItems":[{"id":"ITEM-1","itemData":{"ISBN":"1544391498","author":[{"dropping-particle":"","family":"Chilisa","given":"Bagele","non-dropping-particle":"","parse-names":false,"suffix":""}],"id":"ITEM-1","issued":{"date-parts":[["2019"]]},"publisher":"Sage publications","title":"Indigenous research methodologies","type":"book"},"uris":["http://www.mendeley.com/documents/?uuid=74f4bc07-7219-4b63-b05b-138ed7da3aa6"]}],"mendeley":{"formattedCitation":"(Chilisa, 2019)","plainTextFormattedCitation":"(Chilisa, 2019)","previouslyFormattedCitation":"[22]"},"properties":{"noteIndex":0},"schema":"https://github.com/citation-style-language/schema/raw/master/csl-citation.json"}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(Chilisa, 2019)</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Given the specific focus of the research on international standards in maritime education, participants are recruited from diverse educational institutions that adhere to recognized international frameworks such as the IMO and STCW</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{"citationItems":[{"id":"ITEM-1","itemData":{"author":[{"dropping-particle":"","family":"Schriever","given":"Ulf Georg","non-dropping-particle":"","parse-names":false,"suffix":""}],"id":"ITEM-1","issued":{"date-parts":[["2008"]]},"publisher":"University of Tasmania","title":"Maritime communication in an international and intercultural discourse","type":"article"},"uris":["http://www.mendeley.com/documents/?uuid=c2e82811-52ee-4093-a3e3-bddaf2a9126f"]},{"id":"ITEM-2","itemData":{"author":[{"dropping-particle":"","family":"Balkin","given":"Rosalie","non-dropping-particle":"","parse-names":false,"suffix":""}],"container-title":"Tul. Mar. LJ","id":"ITEM-2","issued":{"date-parts":[["2006"]]},"page":"1","publisher":"HeinOnline","title":"The international maritime organization and maritime security","type":"article-journal","volume":"30"},"uris":["http://www.mendeley.com/documents/?uuid=134e1788-c331-4870-aecf-9459e526391d"]},{"id":"ITEM-3","itemData":{"ISBN":"1317199995","author":[{"dropping-particle":"","family":"House","given":"David","non-dropping-particle":"","parse-names":false,"suffix":""},{"dropping-particle":"","family":"Saeed","given":"Farhan","non-dropping-particle":"","parse-names":false,"suffix":""}],"id":"ITEM-3","issued":{"date-parts":[["2016"]]},"publisher":"Taylor &amp; Francis","title":"The seamanship examiner: for STCW certification examinations","type":"book"},"uris":["http://www.mendeley.com/documents/?uuid=df3436ef-f62f-472e-9711-aa0119512366"]}],"mendeley":{"formattedCitation":"(Balkin, 2006; House &amp; Saeed, 2016; Schriever, 2008)","plainTextFormattedCitation":"(Balkin, 2006; House &amp; Saeed, 2016; Schriever, 2008)","previouslyFormattedCitation":"[3], [23], [24]"},"properties":{"noteIndex":0},"schema":"https://github.com/citation-style-language/schema/raw/master/csl-citation.json"}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(Balkin, 2006; House &amp; Saeed, 2016; Schriever, 2008)</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This ensures a heterogeneous sample that encompasses a range of perspectives, backgrounds, and experiences, thereby enriching the depth and breadth of the data collected.</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Data collection is conducted through face-to-face interviews conducted either in person or via digital platforms, depending on logistical constraints and participant preferences. Each interview session is guided by a semi-structured interview guide developed in advance by the researcher, comprising a series of open-ended questions designed to probe participants' perceptions, experiences, and reflections on the impact of international standards </w:t>
      </w:r>
      <w:r w:rsidRPr="00B108F0">
        <w:rPr>
          <w:rFonts w:ascii="Times New Roman" w:eastAsia="Calibri" w:hAnsi="Times New Roman" w:cs="Times New Roman"/>
          <w:bCs/>
          <w:lang w:val="en-ID"/>
        </w:rPr>
        <w:lastRenderedPageBreak/>
        <w:t>on their maritime education journey. The interview process is characterized by active listening, probing, and rapport-building techniques aimed at fostering a conducive environment for candid and reflective discourse.</w:t>
      </w:r>
    </w:p>
    <w:p w:rsidR="00DA1E36" w:rsidRP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In addition to semi-structured interviews, supplementary data collection methods such as participant observation and document analysis may be employed to triangulate and contextualize the findings. Participant observation involves the researcher immersing themselves in the educational environment, attending classes, practical training sessions, and other activities alongside the junior cadets to gain </w:t>
      </w:r>
      <w:proofErr w:type="spellStart"/>
      <w:r w:rsidRPr="00B108F0">
        <w:rPr>
          <w:rFonts w:ascii="Times New Roman" w:eastAsia="Calibri" w:hAnsi="Times New Roman" w:cs="Times New Roman"/>
          <w:bCs/>
          <w:lang w:val="en-ID"/>
        </w:rPr>
        <w:t>firsthand</w:t>
      </w:r>
      <w:proofErr w:type="spellEnd"/>
      <w:r w:rsidRPr="00B108F0">
        <w:rPr>
          <w:rFonts w:ascii="Times New Roman" w:eastAsia="Calibri" w:hAnsi="Times New Roman" w:cs="Times New Roman"/>
          <w:bCs/>
          <w:lang w:val="en-ID"/>
        </w:rPr>
        <w:t xml:space="preserve"> insights into the dynamics of maritime education. Document analysis, on the other hand, entails the review and examination of relevant educational materials, curricula, policies, and institutional documents to provide additional context and corroborate the interview data</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1360-7804","author":[{"dropping-particle":"","family":"Iacono","given":"Valeria","non-dropping-particle":"Lo","parse-names":false,"suffix":""},{"dropping-particle":"","family":"Symonds","given":"Paul","non-dropping-particle":"","parse-names":false,"suffix":""},{"dropping-particle":"","family":"Brown","given":"David H K","non-dropping-particle":"","parse-names":false,"suffix":""}],"container-title":"Sociological research online","id":"ITEM-1","issue":"2","issued":{"date-parts":[["2016"]]},"page":"103-117","publisher":"SAGE Publications Sage UK: London, England","title":"Skype as a tool for qualitative research interviews","type":"article-journal","volume":"21"},"uris":["http://www.mendeley.com/documents/?uuid=02dd0d8d-7ad1-4437-9cec-d30e02dca0e0"]}],"mendeley":{"formattedCitation":"(Lo Iacono et al., 2016)","plainTextFormattedCitation":"(Lo Iacono et al., 2016)","previouslyFormattedCitation":"[25]"},"properties":{"noteIndex":0},"schema":"https://github.com/citation-style-language/schema/raw/master/csl-citation.json"}</w:instrText>
      </w:r>
      <w:r w:rsidR="00CA263C">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(Lo Iacono et al.,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analysis is conducted iteratively and thematically, following the principles of grounded theory to identify patterns, themes, and categories emerging from the qualitative data. The process begins with transcription and coding of the interview transcripts, wherein significant phrases, concepts, and ideas are systematically identified and categorized into overarching themes and subthemes. Through constant comparison and refinement, these themes are iteratively developed and validated to capture the breadth and depth of the participants' perspectives on the research topic.</w:t>
      </w:r>
      <w:r w:rsidR="000A264E" w:rsidRPr="000A264E">
        <w:rPr>
          <w:rFonts w:ascii="Times New Roman" w:eastAsia="Calibri" w:hAnsi="Times New Roman" w:cs="Times New Roman"/>
          <w:bCs/>
          <w:lang w:val="en-ID"/>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 Result</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3.1.1. C</w:t>
      </w:r>
      <w:r w:rsidRPr="00B108F0">
        <w:rPr>
          <w:rFonts w:ascii="Times New Roman" w:eastAsia="Calibri" w:hAnsi="Times New Roman" w:cs="Times New Roman"/>
          <w:b/>
          <w:bCs/>
        </w:rPr>
        <w:t>omprehensive exploration of the impact of international standards on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findings of the research offer a comprehensive exploration of the impact of international standards on maritime education, as perceived by 45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 Through qualitative analysis of semi-structured interviews, participant observation, and document analysis, several key themes and insights emerged, shedding light on the complexities, challenges, and opportunities inherent in the implementation of international standards within the educational milieu of aspiring seafarers.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1: Distribution of Participants by Educational Institution</w:t>
      </w:r>
    </w:p>
    <w:tbl>
      <w:tblPr>
        <w:tblStyle w:val="TableGrid"/>
        <w:tblW w:w="3295" w:type="dxa"/>
        <w:tblBorders>
          <w:left w:val="none" w:sz="0" w:space="0" w:color="auto"/>
          <w:right w:val="none" w:sz="0" w:space="0" w:color="auto"/>
        </w:tblBorders>
        <w:tblLook w:val="04A0" w:firstRow="1" w:lastRow="0" w:firstColumn="1" w:lastColumn="0" w:noHBand="0" w:noVBand="1"/>
      </w:tblPr>
      <w:tblGrid>
        <w:gridCol w:w="1271"/>
        <w:gridCol w:w="1052"/>
        <w:gridCol w:w="972"/>
      </w:tblGrid>
      <w:tr w:rsidR="00B108F0" w:rsidRPr="00212642" w:rsidTr="00A70A1D">
        <w:tc>
          <w:tcPr>
            <w:tcW w:w="127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Educational Institution</w:t>
            </w:r>
          </w:p>
        </w:tc>
        <w:tc>
          <w:tcPr>
            <w:tcW w:w="1052"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Number of Participants</w:t>
            </w:r>
          </w:p>
        </w:tc>
        <w:tc>
          <w:tcPr>
            <w:tcW w:w="972"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Percentage</w:t>
            </w:r>
          </w:p>
        </w:tc>
      </w:tr>
      <w:tr w:rsidR="00B108F0" w:rsidRPr="00212642" w:rsidTr="00A70A1D">
        <w:tc>
          <w:tcPr>
            <w:tcW w:w="127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Maritime Institute</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44.4%</w:t>
            </w:r>
          </w:p>
        </w:tc>
      </w:tr>
      <w:tr w:rsidR="00B108F0" w:rsidRPr="00212642" w:rsidTr="00A70A1D">
        <w:tc>
          <w:tcPr>
            <w:tcW w:w="1271" w:type="dxa"/>
            <w:hideMark/>
          </w:tcPr>
          <w:p w:rsidR="00B108F0" w:rsidRPr="00212642" w:rsidRDefault="00212642" w:rsidP="00212642">
            <w:pPr>
              <w:pStyle w:val="NoSpacing"/>
              <w:jc w:val="center"/>
              <w:rPr>
                <w:rFonts w:eastAsia="Calibri"/>
                <w:sz w:val="16"/>
                <w:lang w:val="en-ID"/>
              </w:rPr>
            </w:pPr>
            <w:r>
              <w:rPr>
                <w:rFonts w:eastAsia="Calibri"/>
                <w:sz w:val="16"/>
                <w:lang w:val="en-ID"/>
              </w:rPr>
              <w:t>Private maritime institutes</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15</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33.3%</w:t>
            </w:r>
          </w:p>
        </w:tc>
      </w:tr>
      <w:tr w:rsidR="00B108F0" w:rsidRPr="00212642" w:rsidTr="00A70A1D">
        <w:tc>
          <w:tcPr>
            <w:tcW w:w="127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Vocational Institution</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22.2%</w:t>
            </w:r>
          </w:p>
        </w:tc>
      </w:tr>
      <w:tr w:rsidR="00B108F0" w:rsidRPr="00212642" w:rsidTr="00A70A1D">
        <w:tc>
          <w:tcPr>
            <w:tcW w:w="127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Total</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45</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lastRenderedPageBreak/>
        <w:t xml:space="preserve">Table 1 provides an overview of the distribution of participants by educational institution. The majority of participants (44.4%) were enrolled in maritime institutes, followed by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xml:space="preserve"> (33.3%) and vocational institutions (22.2%).</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1: 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first theme that emerged from the findings pertains to the alignment of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Across all educational institutions, there was a consensus among participants regarding the importance of adhering to international standards to ensure consistency, interoperability, and global recognition of qualifications.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Participants' Perception of Alignment with International Standards</w:t>
      </w:r>
    </w:p>
    <w:tbl>
      <w:tblPr>
        <w:tblStyle w:val="TableGrid"/>
        <w:tblW w:w="4018" w:type="dxa"/>
        <w:tblBorders>
          <w:left w:val="none" w:sz="0" w:space="0" w:color="auto"/>
          <w:right w:val="none" w:sz="0" w:space="0" w:color="auto"/>
        </w:tblBorders>
        <w:tblLook w:val="04A0" w:firstRow="1" w:lastRow="0" w:firstColumn="1" w:lastColumn="0" w:noHBand="0" w:noVBand="1"/>
      </w:tblPr>
      <w:tblGrid>
        <w:gridCol w:w="1046"/>
        <w:gridCol w:w="946"/>
        <w:gridCol w:w="980"/>
        <w:gridCol w:w="1046"/>
      </w:tblGrid>
      <w:tr w:rsidR="00B108F0" w:rsidRPr="00212642" w:rsidTr="00A70A1D">
        <w:tc>
          <w:tcPr>
            <w:tcW w:w="1046" w:type="dxa"/>
            <w:hideMark/>
          </w:tcPr>
          <w:p w:rsidR="00B108F0" w:rsidRPr="00212642" w:rsidRDefault="00B108F0" w:rsidP="00212642">
            <w:pPr>
              <w:pStyle w:val="NoSpacing"/>
              <w:jc w:val="center"/>
              <w:rPr>
                <w:rFonts w:eastAsia="Calibri"/>
                <w:b/>
                <w:sz w:val="18"/>
                <w:lang w:val="en-ID"/>
              </w:rPr>
            </w:pPr>
            <w:r w:rsidRPr="00212642">
              <w:rPr>
                <w:rFonts w:eastAsia="Calibri"/>
                <w:b/>
                <w:sz w:val="18"/>
                <w:lang w:val="en-ID"/>
              </w:rPr>
              <w:t>Perception</w:t>
            </w:r>
          </w:p>
        </w:tc>
        <w:tc>
          <w:tcPr>
            <w:tcW w:w="946" w:type="dxa"/>
            <w:hideMark/>
          </w:tcPr>
          <w:p w:rsidR="00B108F0" w:rsidRPr="00212642" w:rsidRDefault="00B108F0" w:rsidP="00212642">
            <w:pPr>
              <w:pStyle w:val="NoSpacing"/>
              <w:jc w:val="center"/>
              <w:rPr>
                <w:rFonts w:eastAsia="Calibri"/>
                <w:b/>
                <w:sz w:val="18"/>
                <w:lang w:val="en-ID"/>
              </w:rPr>
            </w:pPr>
            <w:r w:rsidRPr="00212642">
              <w:rPr>
                <w:rFonts w:eastAsia="Calibri"/>
                <w:b/>
                <w:sz w:val="18"/>
                <w:lang w:val="en-ID"/>
              </w:rPr>
              <w:t>Maritime Institute</w:t>
            </w:r>
          </w:p>
        </w:tc>
        <w:tc>
          <w:tcPr>
            <w:tcW w:w="980" w:type="dxa"/>
            <w:hideMark/>
          </w:tcPr>
          <w:p w:rsidR="00B108F0" w:rsidRPr="00212642" w:rsidRDefault="00212642" w:rsidP="00212642">
            <w:pPr>
              <w:pStyle w:val="NoSpacing"/>
              <w:jc w:val="center"/>
              <w:rPr>
                <w:rFonts w:eastAsia="Calibri"/>
                <w:b/>
                <w:sz w:val="18"/>
                <w:lang w:val="en-ID"/>
              </w:rPr>
            </w:pPr>
            <w:r>
              <w:rPr>
                <w:rFonts w:eastAsia="Calibri"/>
                <w:b/>
                <w:sz w:val="18"/>
                <w:lang w:val="en-ID"/>
              </w:rPr>
              <w:t>Private maritime institutes</w:t>
            </w:r>
          </w:p>
        </w:tc>
        <w:tc>
          <w:tcPr>
            <w:tcW w:w="1046" w:type="dxa"/>
            <w:hideMark/>
          </w:tcPr>
          <w:p w:rsidR="00B108F0" w:rsidRPr="00212642" w:rsidRDefault="00B108F0" w:rsidP="00212642">
            <w:pPr>
              <w:pStyle w:val="NoSpacing"/>
              <w:jc w:val="center"/>
              <w:rPr>
                <w:rFonts w:eastAsia="Calibri"/>
                <w:b/>
                <w:sz w:val="18"/>
                <w:lang w:val="en-ID"/>
              </w:rPr>
            </w:pPr>
            <w:r w:rsidRPr="00212642">
              <w:rPr>
                <w:rFonts w:eastAsia="Calibri"/>
                <w:b/>
                <w:sz w:val="18"/>
                <w:lang w:val="en-ID"/>
              </w:rPr>
              <w:t>Vocational Institution</w:t>
            </w:r>
          </w:p>
        </w:tc>
      </w:tr>
      <w:tr w:rsidR="00B108F0" w:rsidRPr="00212642" w:rsidTr="00A70A1D">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Fully Aligned</w:t>
            </w:r>
          </w:p>
        </w:tc>
        <w:tc>
          <w:tcPr>
            <w:tcW w:w="9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16</w:t>
            </w:r>
          </w:p>
        </w:tc>
        <w:tc>
          <w:tcPr>
            <w:tcW w:w="980"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9</w:t>
            </w:r>
          </w:p>
        </w:tc>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5</w:t>
            </w:r>
          </w:p>
        </w:tc>
      </w:tr>
      <w:tr w:rsidR="00B108F0" w:rsidRPr="00212642" w:rsidTr="00A70A1D">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Partially Aligned</w:t>
            </w:r>
          </w:p>
        </w:tc>
        <w:tc>
          <w:tcPr>
            <w:tcW w:w="9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3</w:t>
            </w:r>
          </w:p>
        </w:tc>
        <w:tc>
          <w:tcPr>
            <w:tcW w:w="980"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4</w:t>
            </w:r>
          </w:p>
        </w:tc>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3</w:t>
            </w:r>
          </w:p>
        </w:tc>
      </w:tr>
      <w:tr w:rsidR="00B108F0" w:rsidRPr="00212642" w:rsidTr="00A70A1D">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Not Aligned</w:t>
            </w:r>
          </w:p>
        </w:tc>
        <w:tc>
          <w:tcPr>
            <w:tcW w:w="9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1</w:t>
            </w:r>
          </w:p>
        </w:tc>
        <w:tc>
          <w:tcPr>
            <w:tcW w:w="980"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2</w:t>
            </w:r>
          </w:p>
        </w:tc>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2</w:t>
            </w:r>
          </w:p>
        </w:tc>
      </w:tr>
    </w:tbl>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illustrates participants' perceptions of the alignment of their maritime education programs with international standards. The majority of participants across all educational institutions perceived their programs to be fully aligned with international standards, although there were variations observed, with some indicating partial alignment or non-alignment in certain aspects.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2: Curriculum Content and Practical Training</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theme revolves around the curriculum content and practical training experiences within maritime education programs. Participants highlighted the importance of a balanced curriculum that integrates theoretical knowledge with hands-on practical training to foster competency and readiness for real-world challenges at sea.</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3: Participants' Satisfaction with Curriculum Content and Practical Training</w:t>
      </w:r>
    </w:p>
    <w:tbl>
      <w:tblPr>
        <w:tblStyle w:val="TableGrid"/>
        <w:tblW w:w="3720" w:type="dxa"/>
        <w:tblBorders>
          <w:left w:val="none" w:sz="0" w:space="0" w:color="auto"/>
          <w:right w:val="none" w:sz="0" w:space="0" w:color="auto"/>
        </w:tblBorders>
        <w:tblLook w:val="04A0" w:firstRow="1" w:lastRow="0" w:firstColumn="1" w:lastColumn="0" w:noHBand="0" w:noVBand="1"/>
      </w:tblPr>
      <w:tblGrid>
        <w:gridCol w:w="1129"/>
        <w:gridCol w:w="851"/>
        <w:gridCol w:w="741"/>
        <w:gridCol w:w="999"/>
      </w:tblGrid>
      <w:tr w:rsidR="00B108F0" w:rsidRPr="00212642" w:rsidTr="00A70A1D">
        <w:tc>
          <w:tcPr>
            <w:tcW w:w="1129"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Aspect</w:t>
            </w:r>
          </w:p>
        </w:tc>
        <w:tc>
          <w:tcPr>
            <w:tcW w:w="85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Satisfied</w:t>
            </w:r>
          </w:p>
        </w:tc>
        <w:tc>
          <w:tcPr>
            <w:tcW w:w="74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Neutral</w:t>
            </w:r>
          </w:p>
        </w:tc>
        <w:tc>
          <w:tcPr>
            <w:tcW w:w="999"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Dissatisfied</w:t>
            </w:r>
          </w:p>
        </w:tc>
      </w:tr>
      <w:tr w:rsidR="00B108F0" w:rsidRPr="00212642" w:rsidTr="00A70A1D">
        <w:tc>
          <w:tcPr>
            <w:tcW w:w="112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Theoretical Knowledge</w:t>
            </w:r>
          </w:p>
        </w:tc>
        <w:tc>
          <w:tcPr>
            <w:tcW w:w="85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85%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r w:rsidR="00B108F0" w:rsidRPr="00212642" w:rsidTr="00A70A1D">
        <w:tc>
          <w:tcPr>
            <w:tcW w:w="112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Practical Training</w:t>
            </w:r>
          </w:p>
        </w:tc>
        <w:tc>
          <w:tcPr>
            <w:tcW w:w="85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70%</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r>
      <w:tr w:rsidR="00B108F0" w:rsidRPr="00212642" w:rsidTr="00A70A1D">
        <w:tc>
          <w:tcPr>
            <w:tcW w:w="112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Integration of Theory and Practice</w:t>
            </w:r>
          </w:p>
        </w:tc>
        <w:tc>
          <w:tcPr>
            <w:tcW w:w="85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15%</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3 presents participants' satisfaction levels with various aspects of the curriculum content and practical training. The majority of participants </w:t>
      </w:r>
      <w:r w:rsidRPr="00B108F0">
        <w:rPr>
          <w:rFonts w:ascii="Times New Roman" w:eastAsia="Calibri" w:hAnsi="Times New Roman" w:cs="Times New Roman"/>
          <w:bCs/>
          <w:lang w:val="en-ID"/>
        </w:rPr>
        <w:lastRenderedPageBreak/>
        <w:t>expressed satisfaction with the theoretical knowledge imparted in their programs, although there were some concerns regarding the integration of theory and practice, indicating room for improvement in bridging the gap between classroom learning and real-world application.</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3: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third theme </w:t>
      </w:r>
      <w:proofErr w:type="spellStart"/>
      <w:r w:rsidRPr="00B108F0">
        <w:rPr>
          <w:rFonts w:ascii="Times New Roman" w:eastAsia="Calibri" w:hAnsi="Times New Roman" w:cs="Times New Roman"/>
          <w:bCs/>
          <w:lang w:val="en-ID"/>
        </w:rPr>
        <w:t>centers</w:t>
      </w:r>
      <w:proofErr w:type="spellEnd"/>
      <w:r w:rsidRPr="00B108F0">
        <w:rPr>
          <w:rFonts w:ascii="Times New Roman" w:eastAsia="Calibri" w:hAnsi="Times New Roman" w:cs="Times New Roman"/>
          <w:bCs/>
          <w:lang w:val="en-ID"/>
        </w:rPr>
        <w:t xml:space="preserve"> on the challenges and opportunities encountered by junior cadets in navigating the complexities of maritime education in line with international standards. Participants highlighted various challenges, including limited access to modern training facilities and equipment, language barriers, and the need for continuous professional development to keep pace with technological advancements in the maritime industry.</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Challenges and Opportunities Identified by Participants</w:t>
      </w:r>
    </w:p>
    <w:tbl>
      <w:tblPr>
        <w:tblStyle w:val="TableGrid"/>
        <w:tblW w:w="3539" w:type="dxa"/>
        <w:tblBorders>
          <w:left w:val="none" w:sz="0" w:space="0" w:color="auto"/>
          <w:right w:val="none" w:sz="0" w:space="0" w:color="auto"/>
        </w:tblBorders>
        <w:tblLook w:val="04A0" w:firstRow="1" w:lastRow="0" w:firstColumn="1" w:lastColumn="0" w:noHBand="0" w:noVBand="1"/>
      </w:tblPr>
      <w:tblGrid>
        <w:gridCol w:w="1555"/>
        <w:gridCol w:w="1984"/>
      </w:tblGrid>
      <w:tr w:rsidR="00B108F0" w:rsidRPr="00212642" w:rsidTr="00A70A1D">
        <w:tc>
          <w:tcPr>
            <w:tcW w:w="1555"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Challenges</w:t>
            </w:r>
          </w:p>
        </w:tc>
        <w:tc>
          <w:tcPr>
            <w:tcW w:w="1984"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Opportunities</w:t>
            </w:r>
          </w:p>
        </w:tc>
      </w:tr>
      <w:tr w:rsidR="00B108F0" w:rsidRPr="00212642" w:rsidTr="00A70A1D">
        <w:tc>
          <w:tcPr>
            <w:tcW w:w="1555"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Limited Access to Training Facilities</w:t>
            </w:r>
          </w:p>
        </w:tc>
        <w:tc>
          <w:tcPr>
            <w:tcW w:w="1984"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Emphasis on Lifelong Learning</w:t>
            </w:r>
          </w:p>
        </w:tc>
      </w:tr>
      <w:tr w:rsidR="00B108F0" w:rsidRPr="00212642" w:rsidTr="00A70A1D">
        <w:tc>
          <w:tcPr>
            <w:tcW w:w="1555"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Language Barriers</w:t>
            </w:r>
          </w:p>
        </w:tc>
        <w:tc>
          <w:tcPr>
            <w:tcW w:w="1984"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Technological Advancements</w:t>
            </w:r>
          </w:p>
        </w:tc>
      </w:tr>
      <w:tr w:rsidR="00B108F0" w:rsidRPr="00212642" w:rsidTr="00A70A1D">
        <w:tc>
          <w:tcPr>
            <w:tcW w:w="1555"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Regulatory Compliance</w:t>
            </w:r>
          </w:p>
        </w:tc>
        <w:tc>
          <w:tcPr>
            <w:tcW w:w="1984"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Global Networking Opportunities</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summarizes the challenges and opportunities identified by participants in the realm of maritime education. While challenges such as limited access to training facilities and language barriers were prevalent, participants also recognized opportunities for continuous professional development, technological advancements, and global networking that could enhance their educational experience and career prospects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In conclusion, the findings of the research offer valuable insights into the impact of international standards on maritime education from the perspectives of junior cadets. By elucidating themes related to alignment with international standards, curriculum content and practical training, as well as challenges and opportunities, this research contributes to the ongoing discourse surrounding the optimization of maritime education in alignment with global standards. The data presented in tables provide a comprehensive overview of participants' perceptions, experiences, and recommendations, thereby informing educators, policymakers, industry stakeholders, and aspiring seafarers about the complexities and nuances inherent in maritime education within the context of international standards.</w:t>
      </w:r>
    </w:p>
    <w:p w:rsidR="00A20815"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 </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w:t>
      </w:r>
      <w:r>
        <w:rPr>
          <w:rFonts w:ascii="Times New Roman" w:eastAsia="Calibri" w:hAnsi="Times New Roman" w:cs="Times New Roman"/>
          <w:b/>
          <w:bCs/>
        </w:rPr>
        <w:t>2</w:t>
      </w:r>
      <w:r w:rsidRPr="00B108F0">
        <w:rPr>
          <w:rFonts w:ascii="Times New Roman" w:eastAsia="Calibri" w:hAnsi="Times New Roman" w:cs="Times New Roman"/>
          <w:b/>
          <w:bCs/>
        </w:rPr>
        <w:t>. 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 xml:space="preserve">he research delves deeper into the analysis of the data collected from junior cadets regarding their perceptions, needs, and professionalism in maritime </w:t>
      </w:r>
      <w:r w:rsidRPr="00B108F0">
        <w:rPr>
          <w:rFonts w:ascii="Times New Roman" w:eastAsia="Calibri" w:hAnsi="Times New Roman" w:cs="Times New Roman"/>
          <w:bCs/>
          <w:lang w:val="en-ID"/>
        </w:rPr>
        <w:lastRenderedPageBreak/>
        <w:t>education within the context of international standards. The findings presented here complement and support the first set of findings, providing a more nuanced understanding of the challenges and opportunities inherent in the pursuit of standardized international maritime education.</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5: Junior Cadets' Perception of the Relevance of Curriculum to Professional Needs</w:t>
      </w:r>
    </w:p>
    <w:tbl>
      <w:tblPr>
        <w:tblStyle w:val="TableGrid"/>
        <w:tblW w:w="4579" w:type="dxa"/>
        <w:tblBorders>
          <w:left w:val="none" w:sz="0" w:space="0" w:color="auto"/>
          <w:right w:val="none" w:sz="0" w:space="0" w:color="auto"/>
        </w:tblBorders>
        <w:tblLook w:val="04A0" w:firstRow="1" w:lastRow="0" w:firstColumn="1" w:lastColumn="0" w:noHBand="0" w:noVBand="1"/>
      </w:tblPr>
      <w:tblGrid>
        <w:gridCol w:w="1167"/>
        <w:gridCol w:w="821"/>
        <w:gridCol w:w="842"/>
        <w:gridCol w:w="928"/>
        <w:gridCol w:w="821"/>
      </w:tblGrid>
      <w:tr w:rsidR="00B108F0" w:rsidRPr="00212642" w:rsidTr="00A70A1D">
        <w:tc>
          <w:tcPr>
            <w:tcW w:w="1167"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Aspect</w:t>
            </w:r>
          </w:p>
        </w:tc>
        <w:tc>
          <w:tcPr>
            <w:tcW w:w="82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Very Relevant</w:t>
            </w:r>
          </w:p>
        </w:tc>
        <w:tc>
          <w:tcPr>
            <w:tcW w:w="842"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Relevant</w:t>
            </w:r>
          </w:p>
        </w:tc>
        <w:tc>
          <w:tcPr>
            <w:tcW w:w="928"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Somewhat Relevant</w:t>
            </w:r>
          </w:p>
        </w:tc>
        <w:tc>
          <w:tcPr>
            <w:tcW w:w="82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Not Relevant</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Theoretical Knowledge</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70%</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25%</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Practical Skills</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65%</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30%</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Safety Regulations</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75%</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Environmental Protection</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60%</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35%</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5 presents junior cadets' perception of the relevance of the curriculum to their professional needs. The majority of participants indicated that theoretical knowledge, practical skills, safety regulations, and environmental protection components of the curriculum were either very relevant or relevant to their future roles as maritime professionals. This underscores the importance of aligning educational content with the practical demands of the industry, as mandated by international standards such as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analysis reveals a strong correlation between the perceived relevance of the curriculum and participants' satisfaction levels, as depicted in Table 6.</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6: Correlation between Curriculum Relevance and Participant Satisfaction</w:t>
      </w:r>
    </w:p>
    <w:tbl>
      <w:tblPr>
        <w:tblStyle w:val="TableGrid"/>
        <w:tblW w:w="3720" w:type="dxa"/>
        <w:tblBorders>
          <w:left w:val="none" w:sz="0" w:space="0" w:color="auto"/>
          <w:right w:val="none" w:sz="0" w:space="0" w:color="auto"/>
        </w:tblBorders>
        <w:tblLook w:val="04A0" w:firstRow="1" w:lastRow="0" w:firstColumn="1" w:lastColumn="0" w:noHBand="0" w:noVBand="1"/>
      </w:tblPr>
      <w:tblGrid>
        <w:gridCol w:w="1167"/>
        <w:gridCol w:w="813"/>
        <w:gridCol w:w="741"/>
        <w:gridCol w:w="999"/>
      </w:tblGrid>
      <w:tr w:rsidR="00B108F0" w:rsidRPr="00212642" w:rsidTr="00A70A1D">
        <w:tc>
          <w:tcPr>
            <w:tcW w:w="1167"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Curriculum Aspect</w:t>
            </w:r>
          </w:p>
        </w:tc>
        <w:tc>
          <w:tcPr>
            <w:tcW w:w="813"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Satisfied (%)</w:t>
            </w:r>
          </w:p>
        </w:tc>
        <w:tc>
          <w:tcPr>
            <w:tcW w:w="74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Neutral (%)</w:t>
            </w:r>
          </w:p>
        </w:tc>
        <w:tc>
          <w:tcPr>
            <w:tcW w:w="999"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Dissatisfied (%)</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Theoretical Knowledge</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85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Practical Skills</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70</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Safety Regulations</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r w:rsidR="00B108F0" w:rsidRPr="00212642" w:rsidTr="00A70A1D">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Environmental Protection</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60</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35</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6 illustrates the correlation between participants' perception of curriculum relevance and their satisfaction levels. Participants who perceived the curriculum components as very relevant or relevant tended to express higher levels of satisfaction, whereas those who found certain aspects less relevant reported higher levels of dissatisfaction. This underscores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Moreover, the analysis highlights the need for continuous professional development and lifelong learning among junior cadets to keep pace with the </w:t>
      </w:r>
      <w:r w:rsidRPr="00B108F0">
        <w:rPr>
          <w:rFonts w:ascii="Times New Roman" w:eastAsia="Calibri" w:hAnsi="Times New Roman" w:cs="Times New Roman"/>
          <w:bCs/>
          <w:lang w:val="en-ID"/>
        </w:rPr>
        <w:lastRenderedPageBreak/>
        <w:t>evolving demands of the maritime industry. Table 7 presents participants' attitudes towards professional development opportunities provided within their educational institutions.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7: Junior Cadets' Attitudes towards Professional Development Opportunities</w:t>
      </w:r>
    </w:p>
    <w:tbl>
      <w:tblPr>
        <w:tblStyle w:val="TableGrid"/>
        <w:tblW w:w="4673" w:type="dxa"/>
        <w:tblBorders>
          <w:left w:val="none" w:sz="0" w:space="0" w:color="auto"/>
          <w:right w:val="none" w:sz="0" w:space="0" w:color="auto"/>
        </w:tblBorders>
        <w:tblLook w:val="04A0" w:firstRow="1" w:lastRow="0" w:firstColumn="1" w:lastColumn="0" w:noHBand="0" w:noVBand="1"/>
      </w:tblPr>
      <w:tblGrid>
        <w:gridCol w:w="1585"/>
        <w:gridCol w:w="820"/>
        <w:gridCol w:w="625"/>
        <w:gridCol w:w="793"/>
        <w:gridCol w:w="850"/>
      </w:tblGrid>
      <w:tr w:rsidR="00212642" w:rsidRPr="00212642" w:rsidTr="00A70A1D">
        <w:tc>
          <w:tcPr>
            <w:tcW w:w="1585"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Aspect</w:t>
            </w:r>
          </w:p>
        </w:tc>
        <w:tc>
          <w:tcPr>
            <w:tcW w:w="820"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Strongly Agree</w:t>
            </w:r>
          </w:p>
        </w:tc>
        <w:tc>
          <w:tcPr>
            <w:tcW w:w="625"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Agree</w:t>
            </w:r>
          </w:p>
        </w:tc>
        <w:tc>
          <w:tcPr>
            <w:tcW w:w="793"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Neutral</w:t>
            </w:r>
          </w:p>
        </w:tc>
        <w:tc>
          <w:tcPr>
            <w:tcW w:w="850" w:type="dxa"/>
            <w:hideMark/>
          </w:tcPr>
          <w:p w:rsidR="00212642" w:rsidRPr="00212642" w:rsidRDefault="00212642" w:rsidP="00212642">
            <w:pPr>
              <w:pStyle w:val="NoSpacing"/>
              <w:jc w:val="center"/>
              <w:rPr>
                <w:rFonts w:eastAsia="Calibri"/>
                <w:b/>
                <w:sz w:val="16"/>
              </w:rPr>
            </w:pPr>
            <w:r w:rsidRPr="00212642">
              <w:rPr>
                <w:rFonts w:eastAsia="Calibri"/>
                <w:b/>
                <w:sz w:val="16"/>
                <w:lang w:val="en-ID"/>
              </w:rPr>
              <w:t>Disagree</w:t>
            </w:r>
            <w:r>
              <w:rPr>
                <w:rFonts w:eastAsia="Calibri"/>
                <w:b/>
                <w:sz w:val="16"/>
              </w:rPr>
              <w:t xml:space="preserve"> and/or strongly disagree</w:t>
            </w:r>
          </w:p>
        </w:tc>
      </w:tr>
      <w:tr w:rsidR="00212642" w:rsidRPr="00212642" w:rsidTr="00A70A1D">
        <w:tc>
          <w:tcPr>
            <w:tcW w:w="158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Availability of Professional Workshops/Seminars</w:t>
            </w:r>
          </w:p>
        </w:tc>
        <w:tc>
          <w:tcPr>
            <w:tcW w:w="82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65%</w:t>
            </w:r>
          </w:p>
        </w:tc>
        <w:tc>
          <w:tcPr>
            <w:tcW w:w="62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25%</w:t>
            </w:r>
          </w:p>
        </w:tc>
        <w:tc>
          <w:tcPr>
            <w:tcW w:w="793"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10%</w:t>
            </w:r>
          </w:p>
        </w:tc>
        <w:tc>
          <w:tcPr>
            <w:tcW w:w="85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0%</w:t>
            </w:r>
          </w:p>
        </w:tc>
      </w:tr>
      <w:tr w:rsidR="00212642" w:rsidRPr="00212642" w:rsidTr="00A70A1D">
        <w:tc>
          <w:tcPr>
            <w:tcW w:w="158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Access to Industry Internships</w:t>
            </w:r>
          </w:p>
        </w:tc>
        <w:tc>
          <w:tcPr>
            <w:tcW w:w="82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60%</w:t>
            </w:r>
          </w:p>
        </w:tc>
        <w:tc>
          <w:tcPr>
            <w:tcW w:w="62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30%</w:t>
            </w:r>
          </w:p>
        </w:tc>
        <w:tc>
          <w:tcPr>
            <w:tcW w:w="793"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10%</w:t>
            </w:r>
          </w:p>
        </w:tc>
        <w:tc>
          <w:tcPr>
            <w:tcW w:w="85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0%</w:t>
            </w:r>
          </w:p>
        </w:tc>
      </w:tr>
      <w:tr w:rsidR="00212642" w:rsidRPr="00212642" w:rsidTr="00A70A1D">
        <w:tc>
          <w:tcPr>
            <w:tcW w:w="158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Support for Certification Exams</w:t>
            </w:r>
          </w:p>
        </w:tc>
        <w:tc>
          <w:tcPr>
            <w:tcW w:w="82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70%</w:t>
            </w:r>
          </w:p>
        </w:tc>
        <w:tc>
          <w:tcPr>
            <w:tcW w:w="62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20%</w:t>
            </w:r>
          </w:p>
        </w:tc>
        <w:tc>
          <w:tcPr>
            <w:tcW w:w="793"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10%</w:t>
            </w:r>
          </w:p>
        </w:tc>
        <w:tc>
          <w:tcPr>
            <w:tcW w:w="85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7 outlines junior cadets' attitudes towards professional development opportunities provided within their educational institutions. The majority of participants expressed agreement or strong agreement regarding the availability of professional workshops/seminars, access to industry internships, and support for certification exams, indicating a positive institutional climate conducive to fostering lifelong learning and career advancement among aspiring seafarers.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he second set of findings offers a deeper analysis of the research, needs, and professionalism in maritime education, providing valuable insights into the alignment between educational content and industry demands, as well as the importance of continuous professional development and lifelong learning in preparing junior cadets for successful careers in the maritime industry. The data presented in tables support and reinforce the first findings, highlighting the critical role of international standards in shaping maritime education programs that meet the evolving needs and expectations of the industry.</w:t>
      </w:r>
    </w:p>
    <w:p w:rsidR="00B108F0" w:rsidRDefault="00B108F0"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3.2. Discussion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presented above offer valuable insights into the impact of international standards on maritime education and shed light on the challenges, opportunities, and professionalism within the maritime industry. In this discussion, we delve deeper into the implications of these findings and explore their significance for educators, policymakers, industry stakeholders, and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B108F0">
        <w:rPr>
          <w:rFonts w:ascii="Times New Roman" w:eastAsia="Calibri" w:hAnsi="Times New Roman" w:cs="Times New Roman"/>
          <w:b/>
          <w:bCs/>
          <w:lang w:val="en-ID"/>
        </w:rPr>
        <w:t>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first set of findings revealed a strong perception among junior cadets regarding the alignment of their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w:t>
      </w:r>
      <w:r w:rsidR="00A70A1D">
        <w:rPr>
          <w:rFonts w:ascii="Times New Roman" w:eastAsia="Calibri" w:hAnsi="Times New Roman" w:cs="Times New Roman"/>
          <w:bCs/>
        </w:rPr>
        <w:t xml:space="preserve"> </w:t>
      </w:r>
      <w:r w:rsidR="00A70A1D">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{"citationItems":[{"id":"ITEM-1","itemData":{"author":[{"dropping-particle":"","family":"Chircop","given":"Aldo","non-dropping-particle":"","parse-names":false,"suffix":""}],"id":"ITEM-1","issued":{"date-parts":[["2015"]]},"title":"The international maritime organization","type":"article-journal"},"uris":["http://www.mendeley.com/documents/?uuid=9e0807b3-4d3a-482a-a9e2-6db29df2e8fc"]},{"id":"ITEM-2","itemData":{"ISBN":"0709935919","author":[{"dropping-particle":"","family":"Mankabady","given":"Samir","non-dropping-particle":"","parse-names":false,"suffix":""}],"id":"ITEM-2","issued":{"date-parts":[["1986"]]},"title":"The International Maritime Organization, Volume 1: International Shipping Rules","type":"book"},"uris":["http://www.mendeley.com/documents/?uuid=1ee38b80-ae6a-4d91-9cdc-bbf281134084"]}],"mendeley":{"formattedCitation":"(Chircop, 2015; Mankabady, 1986)","plainTextFormattedCitation":"(Chircop, 2015; Mankabady, 1986)","previouslyFormattedCitation":"[26], [27]"},"properties":{"noteIndex":0},"schema":"https://github.com/citation-style-language/schema/raw/master/csl-citation.json"}</w:instrText>
      </w:r>
      <w:r w:rsidR="00A70A1D">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(Chircop, 2015; Mankabady, 1986)</w:t>
      </w:r>
      <w:r w:rsidR="00A70A1D">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The majority of </w:t>
      </w:r>
      <w:r w:rsidRPr="00B108F0">
        <w:rPr>
          <w:rFonts w:ascii="Times New Roman" w:eastAsia="Calibri" w:hAnsi="Times New Roman" w:cs="Times New Roman"/>
          <w:bCs/>
          <w:lang w:val="en-ID"/>
        </w:rPr>
        <w:lastRenderedPageBreak/>
        <w:t>participants perceived their programs to be fully aligned or partially aligned with international standards, indicating a high degree of confidence in the quality and relevance of their educational experiences.</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This finding underscores the pivotal role of international standards in shaping maritime education programs and ensuring consistency, interoperability, and global recognition of qualifications. By adhering to internationally recognized frameworks such as the STCW Convention, educational institutions can provide students with a solid foundation of knowledge, skills, and competencies that are transferable across national borders and compliant with industry best practices</w:t>
      </w:r>
      <w:r w:rsidR="00370705">
        <w:rPr>
          <w:rFonts w:ascii="Times New Roman" w:eastAsia="Calibri" w:hAnsi="Times New Roman" w:cs="Times New Roman"/>
          <w:bCs/>
        </w:rPr>
        <w:t xml:space="preserve"> </w:t>
      </w:r>
      <w:r w:rsidR="00370705">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2016)","previouslyFormattedCitation":"[3]"},"properties":{"noteIndex":0},"schema":"https://github.com/citation-style-language/schema/raw/master/csl-citation.json"}</w:instrText>
      </w:r>
      <w:r w:rsidR="00370705">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(House &amp; Saeed, 2016)</w:t>
      </w:r>
      <w:r w:rsidR="00370705">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Furthermore, the perception of alignment with international standards was closely associated with participants' satisfaction levels with various aspects of the curriculum content and practical training. Participants who perceived the curriculum components as very relevant or relevant tended to express higher levels of satisfaction, highlighting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3.2.2. </w:t>
      </w:r>
      <w:r w:rsidRPr="00B108F0">
        <w:rPr>
          <w:rFonts w:ascii="Times New Roman" w:eastAsia="Calibri" w:hAnsi="Times New Roman" w:cs="Times New Roman"/>
          <w:b/>
          <w:bCs/>
          <w:lang w:val="en-ID"/>
        </w:rPr>
        <w:t>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set of findings delved deeper into the analysis of research, needs, and professionalism in maritime education, providing insights into the relevance of the curriculum to professional needs, the importance of continuous professional development, and the availability of opportunities for career advancement within educational institutions</w:t>
      </w:r>
      <w:r w:rsidR="00370705">
        <w:rPr>
          <w:rFonts w:ascii="Times New Roman" w:eastAsia="Calibri" w:hAnsi="Times New Roman" w:cs="Times New Roman"/>
          <w:bCs/>
        </w:rPr>
        <w:t xml:space="preserve"> </w:t>
      </w:r>
      <w:r w:rsidR="00370705">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{"citationItems":[{"id":"ITEM-1","itemData":{"ISSN":"0033-6882","author":[{"dropping-particle":"","family":"Richards","given":"Jack C","non-dropping-particle":"","parse-names":false,"suffix":""}],"container-title":"RELC journal","id":"ITEM-1","issue":"1","issued":{"date-parts":[["2013"]]},"page":"5-33","publisher":"SAGE Publications Sage UK: London, England","title":"Curriculum approaches in language teaching: Forward, central, and backward design","type":"article-journal","volume":"44"},"uris":["http://www.mendeley.com/documents/?uuid=735e855a-8e1b-40e2-9093-86adee591c3f"]},{"id":"ITEM-2","itemData":{"author":[{"dropping-particle":"","family":"Anyon","given":"Jean","non-dropping-particle":"","parse-names":false,"suffix":""}],"container-title":"Childhood socialization","id":"ITEM-2","issued":{"date-parts":[["2017"]]},"page":"369-394","publisher":"Routledge","title":"Social class and the hidden curriculum of work","type":"chapter"},"uris":["http://www.mendeley.com/documents/?uuid=8d37f387-5070-4f1f-850c-af270757a1dd"]}],"mendeley":{"formattedCitation":"(Anyon, 2017; Richards, 2013)","plainTextFormattedCitation":"(Anyon, 2017; Richards, 2013)","previouslyFormattedCitation":"[28], [29]"},"properties":{"noteIndex":0},"schema":"https://github.com/citation-style-language/schema/raw/master/csl-citation.json"}</w:instrText>
      </w:r>
      <w:r w:rsidR="00370705">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(Anyon, 2017; Richards, 2013)</w:t>
      </w:r>
      <w:r w:rsidR="00370705">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The findings highlighted a strong correlation between the perceived relevance of the curriculum and participants' satisfaction levels, with those who found the curriculum components very relevant or relevant expressing higher levels of satisfaction. This underscores the importance of designing curriculum content that not only meets academic requirements but also addresses the practical demands and challenges encountered in real-world maritime operations.</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Moreover, the findings underscored the importance of continuous professional development and lifelong learning among junior cadets to keep pace with the evolving demands of the maritime industry. Participants expressed positive attitudes towards professional development opportunities provided within their educational institutions, including access to industry internships, support for certification exams, and availability of professional workshops/seminars</w:t>
      </w:r>
      <w:r w:rsidR="00370705">
        <w:rPr>
          <w:rFonts w:ascii="Times New Roman" w:eastAsia="Calibri" w:hAnsi="Times New Roman" w:cs="Times New Roman"/>
          <w:bCs/>
        </w:rPr>
        <w:t xml:space="preserve"> </w:t>
      </w:r>
      <w:r w:rsidR="00370705">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{"citationItems":[{"id":"ITEM-1","itemData":{"ISSN":"1363-6820","author":[{"dropping-particle":"","family":"Moodie","given":"Gavin","non-dropping-particle":"","parse-names":false,"suffix":""}],"container-title":"Journal of vocational education and training","id":"ITEM-1","issue":"2","issued":{"date-parts":[["2002"]]},"page":"249-266","publisher":"Taylor &amp; Francis","title":"Identifying vocational education and training","type":"article-journal","volume":"54"},"uris":["http://www.mendeley.com/documents/?uuid=377f7708-34eb-41ab-a038-b3d4eaf3e671"]}],"mendeley":{"formattedCitation":"(Moodie, 2002)","plainTextFormattedCitation":"(Moodie, 2002)","previouslyFormattedCitation":"[30]"},"properties":{"noteIndex":0},"schema":"https://github.com/citation-style-language/schema/raw/master/csl-citation.json"}</w:instrText>
      </w:r>
      <w:r w:rsidR="00370705">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(Moodie, 2002)</w:t>
      </w:r>
      <w:r w:rsidR="00370705">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This reflects a proactive institutional approach towards fostering a culture of </w:t>
      </w:r>
      <w:r w:rsidRPr="00B108F0">
        <w:rPr>
          <w:rFonts w:ascii="Times New Roman" w:eastAsia="Calibri" w:hAnsi="Times New Roman" w:cs="Times New Roman"/>
          <w:bCs/>
          <w:lang w:val="en-ID"/>
        </w:rPr>
        <w:lastRenderedPageBreak/>
        <w:t>lifelong learning and career advancement among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3.2.3. </w:t>
      </w:r>
      <w:r w:rsidRPr="00B108F0">
        <w:rPr>
          <w:rFonts w:ascii="Times New Roman" w:eastAsia="Calibri" w:hAnsi="Times New Roman" w:cs="Times New Roman"/>
          <w:b/>
          <w:bCs/>
          <w:lang w:val="en-ID"/>
        </w:rPr>
        <w:t>Implications for Maritime Education and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of this research have several implications for maritime education and the industry at large. Firstly, they underscore the importance of aligning educational content with international standards to ensure the relevance, consistency, and global recognition of qualifications</w:t>
      </w:r>
      <w:r w:rsidR="00370705">
        <w:rPr>
          <w:rFonts w:ascii="Times New Roman" w:eastAsia="Calibri" w:hAnsi="Times New Roman" w:cs="Times New Roman"/>
          <w:bCs/>
        </w:rPr>
        <w:t xml:space="preserve"> </w:t>
      </w:r>
      <w:r w:rsidR="00370705">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{"citationItems":[{"id":"ITEM-1","itemData":{"author":[{"dropping-particle":"","family":"Trenkner","given":"Peter","non-dropping-particle":"","parse-names":false,"suffix":""}],"container-title":"Szczecin: Proceedings of the International Maritime English Conference IMEC","id":"ITEM-1","issued":{"date-parts":[["2009"]]},"page":"5-10","title":"Maritime English requirements and the revised STCW","type":"paper-conference","volume":"21"},"uris":["http://www.mendeley.com/documents/?uuid=e2861982-7ab2-4dfb-9558-79705cc11633"]},{"id":"ITEM-2","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Seafarers","id":"ITEM-2","issued":{"date-parts":[["2008"]]},"page":"422-639","publisher":"Springer","title":"The STCW Convention and related instruments","type":"article-journal"},"uris":["http://www.mendeley.com/documents/?uuid=944bbbf8-2e5a-4fe6-84c5-9503a15d4213"]}],"mendeley":{"formattedCitation":"(Christodoulou-Varotsi &amp; Pentsov, 2008; Trenkner, 2009)","plainTextFormattedCitation":"(Christodoulou-Varotsi &amp; Pentsov, 2008; Trenkner, 2009)","previouslyFormattedCitation":"[31], [32]"},"properties":{"noteIndex":0},"schema":"https://github.com/citation-style-language/schema/raw/master/csl-citation.json"}</w:instrText>
      </w:r>
      <w:r w:rsidR="00370705">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(Christodoulou-Varotsi &amp; Pentsov, 2008; Trenkner, 2009)</w:t>
      </w:r>
      <w:r w:rsidR="00370705">
        <w:rPr>
          <w:rFonts w:ascii="Times New Roman" w:eastAsia="Calibri" w:hAnsi="Times New Roman" w:cs="Times New Roman"/>
          <w:bCs/>
        </w:rPr>
        <w:fldChar w:fldCharType="end"/>
      </w:r>
      <w:r w:rsidRPr="00B108F0">
        <w:rPr>
          <w:rFonts w:ascii="Times New Roman" w:eastAsia="Calibri" w:hAnsi="Times New Roman" w:cs="Times New Roman"/>
          <w:bCs/>
          <w:lang w:val="en-ID"/>
        </w:rPr>
        <w:t>. By adhering to internationally recognized frameworks such as the STCW Convention, educational institutions can better prepare students for successful careers in the maritime industry and facilitate seamless mobility across national borders.</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Secondly, the findings highlight the need for continuous professional development and lifelong learning among maritime professionals to keep pace with technological advancements, regulatory changes, and emerging trends in the industry. Educational institutions play a critical role in providing access to professional development opportunities, industry internships, and certification support to equip junior cadets with the requisite knowledge, skills, and competencies needed to thrive in a dynamic and competitive maritime landscape.</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Furthermore, the findings underscore the importance of fostering a culture of professionalism, safety consciousness, and environmental stewardship within the maritime industry. By instilling these values early on in their educational journey, junior cadets can contribute to a culture of excellence, integrity, and accountability in their future roles as seafaring professionals, thereby enhancing safety, efficiency, and sustainability within the maritime domain</w:t>
      </w:r>
      <w:r w:rsidR="00370705">
        <w:rPr>
          <w:rFonts w:ascii="Times New Roman" w:eastAsia="Calibri" w:hAnsi="Times New Roman" w:cs="Times New Roman"/>
          <w:bCs/>
        </w:rPr>
        <w:t xml:space="preserve"> </w:t>
      </w:r>
      <w:r w:rsidR="00370705">
        <w:rPr>
          <w:rFonts w:ascii="Times New Roman" w:eastAsia="Calibri" w:hAnsi="Times New Roman" w:cs="Times New Roman"/>
          <w:bCs/>
        </w:rPr>
        <w:fldChar w:fldCharType="begin" w:fldLock="1"/>
      </w:r>
      <w:r w:rsidR="00ED0FD9">
        <w:rPr>
          <w:rFonts w:ascii="Times New Roman" w:eastAsia="Calibri" w:hAnsi="Times New Roman" w:cs="Times New Roman"/>
          <w:bCs/>
        </w:rPr>
        <w:instrText>ADDIN CSL_CITATION {"citationItems":[{"id":"ITEM-1","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-1","issued":{"date-parts":[["2020"]]},"publisher":"EDP Sciences","title":"Ensuring sustainable development of education of future maritime transport professionals by means of network interaction","type":"article-journal"},"uris":["http://www.mendeley.com/documents/?uuid=44f455a1-48e9-4d75-8ff4-2d5f528da6f9"]}],"mendeley":{"formattedCitation":"(Dyagileva et al., 2020)","plainTextFormattedCitation":"(Dyagileva et al., 2020)","previouslyFormattedCitation":"[7]"},"properties":{"noteIndex":0},"schema":"https://github.com/citation-style-language/schema/raw/master/csl-citation.json"}</w:instrText>
      </w:r>
      <w:r w:rsidR="00370705">
        <w:rPr>
          <w:rFonts w:ascii="Times New Roman" w:eastAsia="Calibri" w:hAnsi="Times New Roman" w:cs="Times New Roman"/>
          <w:bCs/>
        </w:rPr>
        <w:fldChar w:fldCharType="separate"/>
      </w:r>
      <w:r w:rsidR="00ED0FD9" w:rsidRPr="00ED0FD9">
        <w:rPr>
          <w:rFonts w:ascii="Times New Roman" w:eastAsia="Calibri" w:hAnsi="Times New Roman" w:cs="Times New Roman"/>
          <w:bCs/>
          <w:noProof/>
        </w:rPr>
        <w:t>(Dyagileva et al., 2020)</w:t>
      </w:r>
      <w:r w:rsidR="00370705">
        <w:rPr>
          <w:rFonts w:ascii="Times New Roman" w:eastAsia="Calibri" w:hAnsi="Times New Roman" w:cs="Times New Roman"/>
          <w:bCs/>
        </w:rPr>
        <w:fldChar w:fldCharType="end"/>
      </w:r>
      <w:r w:rsidRPr="00B108F0">
        <w:rPr>
          <w:rFonts w:ascii="Times New Roman" w:eastAsia="Calibri" w:hAnsi="Times New Roman" w:cs="Times New Roman"/>
          <w:bCs/>
          <w:lang w:val="en-ID"/>
        </w:rPr>
        <w:t>.</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3.2.4. </w:t>
      </w:r>
      <w:r w:rsidRPr="00B108F0">
        <w:rPr>
          <w:rFonts w:ascii="Times New Roman" w:eastAsia="Calibri" w:hAnsi="Times New Roman" w:cs="Times New Roman"/>
          <w:b/>
          <w:bCs/>
          <w:lang w:val="en-ID"/>
        </w:rPr>
        <w:t>Limitations and Future Research Directions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It is important to acknowledge the limitations of this study, including the relatively small sample size and the focus on junior cadets from specific educational institutions. Future research could benefit from larger sample sizes, broader geographic representation, and inclusion of perspectives from other stakeholders such as educators, employers, and regulatory bodies.</w:t>
      </w:r>
      <w:r w:rsidR="00A70A1D">
        <w:rPr>
          <w:rFonts w:ascii="Times New Roman" w:eastAsia="Calibri" w:hAnsi="Times New Roman" w:cs="Times New Roman"/>
          <w:bCs/>
        </w:rPr>
        <w:t xml:space="preserve"> </w:t>
      </w:r>
      <w:r w:rsidRPr="00B108F0">
        <w:rPr>
          <w:rFonts w:ascii="Times New Roman" w:eastAsia="Calibri" w:hAnsi="Times New Roman" w:cs="Times New Roman"/>
          <w:bCs/>
          <w:lang w:val="en-ID"/>
        </w:rPr>
        <w:t>Additionally, future research could explore the long-term impact of international standards on the career trajectories, professional development, and job satisfaction of maritime professionals. Longitudinal studies tracking the educational and professional journeys of junior cadets over time could provide valuable insights into the effectiveness and sustainability of maritime education programs in preparing students for successful careers in the maritime industry.</w:t>
      </w:r>
      <w:r w:rsidR="00A70A1D">
        <w:rPr>
          <w:rFonts w:ascii="Times New Roman" w:eastAsia="Calibri" w:hAnsi="Times New Roman" w:cs="Times New Roman"/>
          <w:bCs/>
        </w:rPr>
        <w:t xml:space="preserve"> </w:t>
      </w:r>
      <w:r>
        <w:rPr>
          <w:rFonts w:ascii="Times New Roman" w:eastAsia="Calibri" w:hAnsi="Times New Roman" w:cs="Times New Roman"/>
          <w:bCs/>
        </w:rPr>
        <w:t>T</w:t>
      </w:r>
      <w:r w:rsidRPr="00B108F0">
        <w:rPr>
          <w:rFonts w:ascii="Times New Roman" w:eastAsia="Calibri" w:hAnsi="Times New Roman" w:cs="Times New Roman"/>
          <w:bCs/>
          <w:lang w:val="en-ID"/>
        </w:rPr>
        <w:t xml:space="preserve">his research contributes to the ongoing discourse </w:t>
      </w:r>
      <w:r w:rsidRPr="00B108F0">
        <w:rPr>
          <w:rFonts w:ascii="Times New Roman" w:eastAsia="Calibri" w:hAnsi="Times New Roman" w:cs="Times New Roman"/>
          <w:bCs/>
          <w:lang w:val="en-ID"/>
        </w:rPr>
        <w:lastRenderedPageBreak/>
        <w:t>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A20815"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 xml:space="preserve">his research has provided valuable insights into the impact of international standards on maritime education, as perceived by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 Through qualitative analysis of semi-structured interviews, participant observation, and document analysis, several key themes and findings have emerged, shedding light on the challenges, opportunities, and professionalism within the maritime industry.</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The findings revealed a strong perception among junior cadets regarding the alignment of their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Participants expressed confidence in the quality and relevance of their educational experiences, highlighting the importance of adhering to internationally recognized frameworks to ensure consistency, interoperability, and global recognition of qualifications.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Moreover, the analysis of research, needs, and professionalism in maritime education underscored the importance of aligning curriculum content with industry demands, providing opportunities for continuous professional development, and fostering a culture of lifelong learning and career advancement within educational institutions. Participants expressed positive attitudes towards professional development opportunities, indicating a proactive institutional approach towards equipping junior cadets with the requisite knowledge, skills, and competencies needed to thrive in a dynamic and competitive maritime landscape.</w:t>
      </w:r>
      <w:r w:rsidR="00370705">
        <w:rPr>
          <w:rFonts w:ascii="Times New Roman" w:eastAsia="Calibri" w:hAnsi="Times New Roman" w:cs="Times New Roman"/>
          <w:bCs/>
        </w:rPr>
        <w:t xml:space="preserve"> </w:t>
      </w:r>
      <w:r w:rsidRPr="00B108F0">
        <w:rPr>
          <w:rFonts w:ascii="Times New Roman" w:eastAsia="Calibri" w:hAnsi="Times New Roman" w:cs="Times New Roman"/>
          <w:bCs/>
          <w:lang w:val="en-ID"/>
        </w:rPr>
        <w:t>These findings have several implications for maritime education and the industry at large. By aligning educational content with international standards and providing access to professional development opportunities, educational institutions can better prepare students for successful careers in the maritime industry and contribute to a culture of excellence, safety consciousness, and environmental stewardship within the maritime domain.</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By addressing the challenges and opportunities inherent </w:t>
      </w:r>
      <w:r w:rsidRPr="00B108F0">
        <w:rPr>
          <w:rFonts w:ascii="Times New Roman" w:eastAsia="Calibri" w:hAnsi="Times New Roman" w:cs="Times New Roman"/>
          <w:bCs/>
          <w:lang w:val="en-ID"/>
        </w:rPr>
        <w:lastRenderedPageBreak/>
        <w:t>in maritime education, educators, policymakers, industry stakeholders, and aspiring seafarers can work together to shape a future maritime workforce that is skilled, competent, and resilient in meeting the evolving demands of the maritime domain.</w:t>
      </w:r>
      <w:r w:rsidR="00DA1E36" w:rsidRPr="00DA1E36">
        <w:rPr>
          <w:rFonts w:ascii="Times New Roman" w:eastAsia="Calibri" w:hAnsi="Times New Roman" w:cs="Times New Roman"/>
          <w:bCs/>
          <w:lang w:val="en-ID"/>
        </w:rPr>
        <w:t xml:space="preserve"> </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ED0FD9" w:rsidRPr="00ED0FD9" w:rsidRDefault="00CA263C"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Pr>
          <w:rFonts w:ascii="Times New Roman" w:eastAsia="Calibri" w:hAnsi="Times New Roman" w:cs="Times New Roman"/>
          <w:b/>
          <w:bCs/>
          <w:lang w:val="en-US"/>
        </w:rPr>
        <w:fldChar w:fldCharType="begin" w:fldLock="1"/>
      </w:r>
      <w:r w:rsidRPr="00ED0FD9">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ED0FD9" w:rsidRPr="00ED0FD9">
        <w:rPr>
          <w:rFonts w:ascii="Times New Roman" w:hAnsi="Times New Roman" w:cs="Times New Roman"/>
          <w:noProof/>
          <w:szCs w:val="24"/>
        </w:rPr>
        <w:t xml:space="preserve">Abila, S. S. (2016). </w:t>
      </w:r>
      <w:r w:rsidR="00ED0FD9" w:rsidRPr="00ED0FD9">
        <w:rPr>
          <w:rFonts w:ascii="Times New Roman" w:hAnsi="Times New Roman" w:cs="Times New Roman"/>
          <w:i/>
          <w:iCs/>
          <w:noProof/>
          <w:szCs w:val="24"/>
        </w:rPr>
        <w:t>The occupational socialisation of merchant marine cadets in the Philippines.</w:t>
      </w:r>
      <w:r w:rsidR="00ED0FD9" w:rsidRPr="00ED0FD9">
        <w:rPr>
          <w:rFonts w:ascii="Times New Roman" w:hAnsi="Times New Roman" w:cs="Times New Roman"/>
          <w:noProof/>
          <w:szCs w:val="24"/>
        </w:rPr>
        <w:t xml:space="preserve"> Cardiff University.</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Anyon, J. (2017). Social class and the hidden curriculum of work. In </w:t>
      </w:r>
      <w:r w:rsidRPr="00ED0FD9">
        <w:rPr>
          <w:rFonts w:ascii="Times New Roman" w:hAnsi="Times New Roman" w:cs="Times New Roman"/>
          <w:i/>
          <w:iCs/>
          <w:noProof/>
          <w:szCs w:val="24"/>
        </w:rPr>
        <w:t>Childhood socialization</w:t>
      </w:r>
      <w:r w:rsidRPr="00ED0FD9">
        <w:rPr>
          <w:rFonts w:ascii="Times New Roman" w:hAnsi="Times New Roman" w:cs="Times New Roman"/>
          <w:noProof/>
          <w:szCs w:val="24"/>
        </w:rPr>
        <w:t xml:space="preserve"> (pp. 369–394). Routledge.</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Balkin, R. (2006). The international maritime organization and maritime security. </w:t>
      </w:r>
      <w:r w:rsidRPr="00ED0FD9">
        <w:rPr>
          <w:rFonts w:ascii="Times New Roman" w:hAnsi="Times New Roman" w:cs="Times New Roman"/>
          <w:i/>
          <w:iCs/>
          <w:noProof/>
          <w:szCs w:val="24"/>
        </w:rPr>
        <w:t>Tul. Mar. LJ</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30</w:t>
      </w:r>
      <w:r w:rsidRPr="00ED0FD9">
        <w:rPr>
          <w:rFonts w:ascii="Times New Roman" w:hAnsi="Times New Roman" w:cs="Times New Roman"/>
          <w:noProof/>
          <w:szCs w:val="24"/>
        </w:rPr>
        <w:t>, 1.</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Bee, M. (2017). </w:t>
      </w:r>
      <w:r w:rsidRPr="00ED0FD9">
        <w:rPr>
          <w:rFonts w:ascii="Times New Roman" w:hAnsi="Times New Roman" w:cs="Times New Roman"/>
          <w:i/>
          <w:iCs/>
          <w:noProof/>
          <w:szCs w:val="24"/>
        </w:rPr>
        <w:t>A study into the professional identity of lecturers at a maritime education and training institute operating on the boundary of further and higher education</w:t>
      </w:r>
      <w:r w:rsidRPr="00ED0FD9">
        <w:rPr>
          <w:rFonts w:ascii="Times New Roman" w:hAnsi="Times New Roman" w:cs="Times New Roman"/>
          <w:noProof/>
          <w:szCs w:val="24"/>
        </w:rPr>
        <w:t>. University of Southampton.</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Bergheim, K., Nielsen, M. B., Mearns, K., &amp; Eid, J. (2015). The relationship between psychological capital, job satisfaction, and safety perceptions in the maritime industry. </w:t>
      </w:r>
      <w:r w:rsidRPr="00ED0FD9">
        <w:rPr>
          <w:rFonts w:ascii="Times New Roman" w:hAnsi="Times New Roman" w:cs="Times New Roman"/>
          <w:i/>
          <w:iCs/>
          <w:noProof/>
          <w:szCs w:val="24"/>
        </w:rPr>
        <w:t>Safety Science</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74</w:t>
      </w:r>
      <w:r w:rsidRPr="00ED0FD9">
        <w:rPr>
          <w:rFonts w:ascii="Times New Roman" w:hAnsi="Times New Roman" w:cs="Times New Roman"/>
          <w:noProof/>
          <w:szCs w:val="24"/>
        </w:rPr>
        <w:t>, 27–36.</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Chilisa, B. (2019). </w:t>
      </w:r>
      <w:r w:rsidRPr="00ED0FD9">
        <w:rPr>
          <w:rFonts w:ascii="Times New Roman" w:hAnsi="Times New Roman" w:cs="Times New Roman"/>
          <w:i/>
          <w:iCs/>
          <w:noProof/>
          <w:szCs w:val="24"/>
        </w:rPr>
        <w:t>Indigenous research methodologies</w:t>
      </w:r>
      <w:r w:rsidRPr="00ED0FD9">
        <w:rPr>
          <w:rFonts w:ascii="Times New Roman" w:hAnsi="Times New Roman" w:cs="Times New Roman"/>
          <w:noProof/>
          <w:szCs w:val="24"/>
        </w:rPr>
        <w:t>. Sage publications.</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Chircop, A. (2015). </w:t>
      </w:r>
      <w:r w:rsidRPr="00ED0FD9">
        <w:rPr>
          <w:rFonts w:ascii="Times New Roman" w:hAnsi="Times New Roman" w:cs="Times New Roman"/>
          <w:i/>
          <w:iCs/>
          <w:noProof/>
          <w:szCs w:val="24"/>
        </w:rPr>
        <w:t>The international maritime organization</w:t>
      </w:r>
      <w:r w:rsidRPr="00ED0FD9">
        <w:rPr>
          <w:rFonts w:ascii="Times New Roman" w:hAnsi="Times New Roman" w:cs="Times New Roman"/>
          <w:noProof/>
          <w:szCs w:val="24"/>
        </w:rPr>
        <w:t>.</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Christodoulou-Varotsi, I., &amp; Pentsov, D. A. (2008). The STCW Convention and related instruments. </w:t>
      </w:r>
      <w:r w:rsidRPr="00ED0FD9">
        <w:rPr>
          <w:rFonts w:ascii="Times New Roman" w:hAnsi="Times New Roman" w:cs="Times New Roman"/>
          <w:i/>
          <w:iCs/>
          <w:noProof/>
          <w:szCs w:val="24"/>
        </w:rPr>
        <w:t>Maritime Work Law Fundamentals: Responsible Shipowners, Reliable Seafarers</w:t>
      </w:r>
      <w:r w:rsidRPr="00ED0FD9">
        <w:rPr>
          <w:rFonts w:ascii="Times New Roman" w:hAnsi="Times New Roman" w:cs="Times New Roman"/>
          <w:noProof/>
          <w:szCs w:val="24"/>
        </w:rPr>
        <w:t>, 422–639.</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Cicek, K., Akyuz, E., &amp; Celik, M. (2019). Future skills requirements analysis in maritime industry. </w:t>
      </w:r>
      <w:r w:rsidRPr="00ED0FD9">
        <w:rPr>
          <w:rFonts w:ascii="Times New Roman" w:hAnsi="Times New Roman" w:cs="Times New Roman"/>
          <w:i/>
          <w:iCs/>
          <w:noProof/>
          <w:szCs w:val="24"/>
        </w:rPr>
        <w:t>Procedia Computer Science</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158</w:t>
      </w:r>
      <w:r w:rsidRPr="00ED0FD9">
        <w:rPr>
          <w:rFonts w:ascii="Times New Roman" w:hAnsi="Times New Roman" w:cs="Times New Roman"/>
          <w:noProof/>
          <w:szCs w:val="24"/>
        </w:rPr>
        <w:t>, 270–274.</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Creswell, J. W., &amp; Clark, V. L. P. (2011). Choosing a mixed methods design. In </w:t>
      </w:r>
      <w:r w:rsidRPr="00ED0FD9">
        <w:rPr>
          <w:rFonts w:ascii="Times New Roman" w:hAnsi="Times New Roman" w:cs="Times New Roman"/>
          <w:i/>
          <w:iCs/>
          <w:noProof/>
          <w:szCs w:val="24"/>
        </w:rPr>
        <w:t>Designing and Conducting Mixed Methods Research</w:t>
      </w:r>
      <w:r w:rsidRPr="00ED0FD9">
        <w:rPr>
          <w:rFonts w:ascii="Times New Roman" w:hAnsi="Times New Roman" w:cs="Times New Roman"/>
          <w:noProof/>
          <w:szCs w:val="24"/>
        </w:rPr>
        <w:t xml:space="preserve"> (pp. 53–106). Sage Publications, Inc.</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de la Peña Zarzuelo, I., Soeane, M. J. F., &amp; Bermúdez, B. L. (2020). Industry 4.0 in the port and maritime industry: A literature review. </w:t>
      </w:r>
      <w:r w:rsidRPr="00ED0FD9">
        <w:rPr>
          <w:rFonts w:ascii="Times New Roman" w:hAnsi="Times New Roman" w:cs="Times New Roman"/>
          <w:i/>
          <w:iCs/>
          <w:noProof/>
          <w:szCs w:val="24"/>
        </w:rPr>
        <w:t>Journal of Industrial Information Integration</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20</w:t>
      </w:r>
      <w:r w:rsidRPr="00ED0FD9">
        <w:rPr>
          <w:rFonts w:ascii="Times New Roman" w:hAnsi="Times New Roman" w:cs="Times New Roman"/>
          <w:noProof/>
          <w:szCs w:val="24"/>
        </w:rPr>
        <w:t>, 100173.</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Dyagileva, O., Goridko, N., Popova, H., Voloshynov, S., &amp; Yurzhenko, A. (2020). </w:t>
      </w:r>
      <w:r w:rsidRPr="00ED0FD9">
        <w:rPr>
          <w:rFonts w:ascii="Times New Roman" w:hAnsi="Times New Roman" w:cs="Times New Roman"/>
          <w:i/>
          <w:iCs/>
          <w:noProof/>
          <w:szCs w:val="24"/>
        </w:rPr>
        <w:t>Ensuring sustainable development of education of future maritime transport professionals by means of network interaction</w:t>
      </w:r>
      <w:r w:rsidRPr="00ED0FD9">
        <w:rPr>
          <w:rFonts w:ascii="Times New Roman" w:hAnsi="Times New Roman" w:cs="Times New Roman"/>
          <w:noProof/>
          <w:szCs w:val="24"/>
        </w:rPr>
        <w:t>.</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Emad, G., &amp; Roth, W. M. (2008). Contradictions in the practices of training for and assessment of competency: A case study from the maritime domain. </w:t>
      </w:r>
      <w:r w:rsidRPr="00ED0FD9">
        <w:rPr>
          <w:rFonts w:ascii="Times New Roman" w:hAnsi="Times New Roman" w:cs="Times New Roman"/>
          <w:i/>
          <w:iCs/>
          <w:noProof/>
          <w:szCs w:val="24"/>
        </w:rPr>
        <w:t xml:space="preserve">Education+ </w:t>
      </w:r>
      <w:r w:rsidRPr="00ED0FD9">
        <w:rPr>
          <w:rFonts w:ascii="Times New Roman" w:hAnsi="Times New Roman" w:cs="Times New Roman"/>
          <w:i/>
          <w:iCs/>
          <w:noProof/>
          <w:szCs w:val="24"/>
        </w:rPr>
        <w:lastRenderedPageBreak/>
        <w:t>Training</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50</w:t>
      </w:r>
      <w:r w:rsidRPr="00ED0FD9">
        <w:rPr>
          <w:rFonts w:ascii="Times New Roman" w:hAnsi="Times New Roman" w:cs="Times New Roman"/>
          <w:noProof/>
          <w:szCs w:val="24"/>
        </w:rPr>
        <w:t>(3), 260–272.</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Fraser, J., &amp; Reedy, K. (2018). Digital Literacy and Open Educational Practice: Digilit Leicester. In </w:t>
      </w:r>
      <w:r w:rsidRPr="00ED0FD9">
        <w:rPr>
          <w:rFonts w:ascii="Times New Roman" w:hAnsi="Times New Roman" w:cs="Times New Roman"/>
          <w:i/>
          <w:iCs/>
          <w:noProof/>
          <w:szCs w:val="24"/>
        </w:rPr>
        <w:t>Digital Literacy Unpacked</w:t>
      </w:r>
      <w:r w:rsidRPr="00ED0FD9">
        <w:rPr>
          <w:rFonts w:ascii="Times New Roman" w:hAnsi="Times New Roman" w:cs="Times New Roman"/>
          <w:noProof/>
          <w:szCs w:val="24"/>
        </w:rPr>
        <w:t xml:space="preserve"> (pp. 155–168). Facet. https://doi.org/10.29085/9781783301997.013</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House, D., &amp; Saeed, F. (2016). </w:t>
      </w:r>
      <w:r w:rsidRPr="00ED0FD9">
        <w:rPr>
          <w:rFonts w:ascii="Times New Roman" w:hAnsi="Times New Roman" w:cs="Times New Roman"/>
          <w:i/>
          <w:iCs/>
          <w:noProof/>
          <w:szCs w:val="24"/>
        </w:rPr>
        <w:t>The seamanship examiner: for STCW certification examinations</w:t>
      </w:r>
      <w:r w:rsidRPr="00ED0FD9">
        <w:rPr>
          <w:rFonts w:ascii="Times New Roman" w:hAnsi="Times New Roman" w:cs="Times New Roman"/>
          <w:noProof/>
          <w:szCs w:val="24"/>
        </w:rPr>
        <w:t>. Taylor &amp; Francis.</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Lo Iacono, V., Symonds, P., &amp; Brown, D. H. K. (2016). Skype as a tool for qualitative research interviews. </w:t>
      </w:r>
      <w:r w:rsidRPr="00ED0FD9">
        <w:rPr>
          <w:rFonts w:ascii="Times New Roman" w:hAnsi="Times New Roman" w:cs="Times New Roman"/>
          <w:i/>
          <w:iCs/>
          <w:noProof/>
          <w:szCs w:val="24"/>
        </w:rPr>
        <w:t>Sociological Research Online</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21</w:t>
      </w:r>
      <w:r w:rsidRPr="00ED0FD9">
        <w:rPr>
          <w:rFonts w:ascii="Times New Roman" w:hAnsi="Times New Roman" w:cs="Times New Roman"/>
          <w:noProof/>
          <w:szCs w:val="24"/>
        </w:rPr>
        <w:t>(2), 103–117.</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Loades, D. (2012). The English Maritime Community, 1500-1650. </w:t>
      </w:r>
      <w:r w:rsidRPr="00ED0FD9">
        <w:rPr>
          <w:rFonts w:ascii="Times New Roman" w:hAnsi="Times New Roman" w:cs="Times New Roman"/>
          <w:i/>
          <w:iCs/>
          <w:noProof/>
          <w:szCs w:val="24"/>
        </w:rPr>
        <w:t>Social History of English SeamenWorld of the Medieval Shipmaster</w:t>
      </w:r>
      <w:r w:rsidRPr="00ED0FD9">
        <w:rPr>
          <w:rFonts w:ascii="Times New Roman" w:hAnsi="Times New Roman" w:cs="Times New Roman"/>
          <w:noProof/>
          <w:szCs w:val="24"/>
        </w:rPr>
        <w:t>, 5720118.</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Mankabady, S. (1986). </w:t>
      </w:r>
      <w:r w:rsidRPr="00ED0FD9">
        <w:rPr>
          <w:rFonts w:ascii="Times New Roman" w:hAnsi="Times New Roman" w:cs="Times New Roman"/>
          <w:i/>
          <w:iCs/>
          <w:noProof/>
          <w:szCs w:val="24"/>
        </w:rPr>
        <w:t>The International Maritime Organization, Volume 1: International Shipping Rules</w:t>
      </w:r>
      <w:r w:rsidRPr="00ED0FD9">
        <w:rPr>
          <w:rFonts w:ascii="Times New Roman" w:hAnsi="Times New Roman" w:cs="Times New Roman"/>
          <w:noProof/>
          <w:szCs w:val="24"/>
        </w:rPr>
        <w:t>.</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McManis, L. D., &amp; Gunnewig, S. B. (2012). Finding the education in educational technology with early learners. </w:t>
      </w:r>
      <w:r w:rsidRPr="00ED0FD9">
        <w:rPr>
          <w:rFonts w:ascii="Times New Roman" w:hAnsi="Times New Roman" w:cs="Times New Roman"/>
          <w:i/>
          <w:iCs/>
          <w:noProof/>
          <w:szCs w:val="24"/>
        </w:rPr>
        <w:t>Young Children</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67</w:t>
      </w:r>
      <w:r w:rsidRPr="00ED0FD9">
        <w:rPr>
          <w:rFonts w:ascii="Times New Roman" w:hAnsi="Times New Roman" w:cs="Times New Roman"/>
          <w:noProof/>
          <w:szCs w:val="24"/>
        </w:rPr>
        <w:t>(3), 14–24.</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Moodie, G. (2002). Identifying vocational education and training. </w:t>
      </w:r>
      <w:r w:rsidRPr="00ED0FD9">
        <w:rPr>
          <w:rFonts w:ascii="Times New Roman" w:hAnsi="Times New Roman" w:cs="Times New Roman"/>
          <w:i/>
          <w:iCs/>
          <w:noProof/>
          <w:szCs w:val="24"/>
        </w:rPr>
        <w:t>Journal of Vocational Education and Training</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54</w:t>
      </w:r>
      <w:r w:rsidRPr="00ED0FD9">
        <w:rPr>
          <w:rFonts w:ascii="Times New Roman" w:hAnsi="Times New Roman" w:cs="Times New Roman"/>
          <w:noProof/>
          <w:szCs w:val="24"/>
        </w:rPr>
        <w:t>(2), 249–266.</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Mori, Y., &amp; Manuel, M. E. (2023). An Exploration of the Theoretical Foundations of Onboard Seafarer Training: A Systematic Review of the Literature. </w:t>
      </w:r>
      <w:r w:rsidRPr="00ED0FD9">
        <w:rPr>
          <w:rFonts w:ascii="Times New Roman" w:hAnsi="Times New Roman" w:cs="Times New Roman"/>
          <w:i/>
          <w:iCs/>
          <w:noProof/>
          <w:szCs w:val="24"/>
        </w:rPr>
        <w:t>TransNav: International Journal on Marine Navigation &amp; Safety of Sea Transportation</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17</w:t>
      </w:r>
      <w:r w:rsidRPr="00ED0FD9">
        <w:rPr>
          <w:rFonts w:ascii="Times New Roman" w:hAnsi="Times New Roman" w:cs="Times New Roman"/>
          <w:noProof/>
          <w:szCs w:val="24"/>
        </w:rPr>
        <w:t>(4).</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Neilson, B., &amp; Rossiter, N. (2013). Still waiting, still moving: On labour, logistics and maritime industries. In </w:t>
      </w:r>
      <w:r w:rsidRPr="00ED0FD9">
        <w:rPr>
          <w:rFonts w:ascii="Times New Roman" w:hAnsi="Times New Roman" w:cs="Times New Roman"/>
          <w:i/>
          <w:iCs/>
          <w:noProof/>
          <w:szCs w:val="24"/>
        </w:rPr>
        <w:t>Stillness in a mobile world</w:t>
      </w:r>
      <w:r w:rsidRPr="00ED0FD9">
        <w:rPr>
          <w:rFonts w:ascii="Times New Roman" w:hAnsi="Times New Roman" w:cs="Times New Roman"/>
          <w:noProof/>
          <w:szCs w:val="24"/>
        </w:rPr>
        <w:t xml:space="preserve"> (pp. 51–68). Routledge.</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Padgett, D. K. (2016). </w:t>
      </w:r>
      <w:r w:rsidRPr="00ED0FD9">
        <w:rPr>
          <w:rFonts w:ascii="Times New Roman" w:hAnsi="Times New Roman" w:cs="Times New Roman"/>
          <w:i/>
          <w:iCs/>
          <w:noProof/>
          <w:szCs w:val="24"/>
        </w:rPr>
        <w:t>Qualitative methods in social work research</w:t>
      </w:r>
      <w:r w:rsidRPr="00ED0FD9">
        <w:rPr>
          <w:rFonts w:ascii="Times New Roman" w:hAnsi="Times New Roman" w:cs="Times New Roman"/>
          <w:noProof/>
          <w:szCs w:val="24"/>
        </w:rPr>
        <w:t xml:space="preserve"> (Vol. 36). Sage publications.</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Richards, J. C. (2013). Curriculum approaches in language teaching: Forward, central, and backward design. </w:t>
      </w:r>
      <w:r w:rsidRPr="00ED0FD9">
        <w:rPr>
          <w:rFonts w:ascii="Times New Roman" w:hAnsi="Times New Roman" w:cs="Times New Roman"/>
          <w:i/>
          <w:iCs/>
          <w:noProof/>
          <w:szCs w:val="24"/>
        </w:rPr>
        <w:t>RELC Journal</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44</w:t>
      </w:r>
      <w:r w:rsidRPr="00ED0FD9">
        <w:rPr>
          <w:rFonts w:ascii="Times New Roman" w:hAnsi="Times New Roman" w:cs="Times New Roman"/>
          <w:noProof/>
          <w:szCs w:val="24"/>
        </w:rPr>
        <w:t>(1), 5–33.</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Schriever, U. G. (2008). </w:t>
      </w:r>
      <w:r w:rsidRPr="00ED0FD9">
        <w:rPr>
          <w:rFonts w:ascii="Times New Roman" w:hAnsi="Times New Roman" w:cs="Times New Roman"/>
          <w:i/>
          <w:iCs/>
          <w:noProof/>
          <w:szCs w:val="24"/>
        </w:rPr>
        <w:t>Maritime communication in an international and intercultural discourse</w:t>
      </w:r>
      <w:r w:rsidRPr="00ED0FD9">
        <w:rPr>
          <w:rFonts w:ascii="Times New Roman" w:hAnsi="Times New Roman" w:cs="Times New Roman"/>
          <w:noProof/>
          <w:szCs w:val="24"/>
        </w:rPr>
        <w:t>. University of Tasmania.</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Sharma, A. (2023). </w:t>
      </w:r>
      <w:r w:rsidRPr="00ED0FD9">
        <w:rPr>
          <w:rFonts w:ascii="Times New Roman" w:hAnsi="Times New Roman" w:cs="Times New Roman"/>
          <w:i/>
          <w:iCs/>
          <w:noProof/>
          <w:szCs w:val="24"/>
        </w:rPr>
        <w:t>Potential of technology supported competence development for Maritime Education and Training</w:t>
      </w:r>
      <w:r w:rsidRPr="00ED0FD9">
        <w:rPr>
          <w:rFonts w:ascii="Times New Roman" w:hAnsi="Times New Roman" w:cs="Times New Roman"/>
          <w:noProof/>
          <w:szCs w:val="24"/>
        </w:rPr>
        <w:t>.</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Trenkner, P. (2009). Maritime English requirements and the revised STCW. </w:t>
      </w:r>
      <w:r w:rsidRPr="00ED0FD9">
        <w:rPr>
          <w:rFonts w:ascii="Times New Roman" w:hAnsi="Times New Roman" w:cs="Times New Roman"/>
          <w:i/>
          <w:iCs/>
          <w:noProof/>
          <w:szCs w:val="24"/>
        </w:rPr>
        <w:t>Szczecin: Proceedings of the International Maritime English Conference IMEC</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21</w:t>
      </w:r>
      <w:r w:rsidRPr="00ED0FD9">
        <w:rPr>
          <w:rFonts w:ascii="Times New Roman" w:hAnsi="Times New Roman" w:cs="Times New Roman"/>
          <w:noProof/>
          <w:szCs w:val="24"/>
        </w:rPr>
        <w:t>, 5–10.</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Tseng, M.-L., Tran, T. P. T., Ha, H. M., Bui, T.-D., &amp; Lim, M. K. (2021). Sustainable </w:t>
      </w:r>
      <w:r w:rsidRPr="00ED0FD9">
        <w:rPr>
          <w:rFonts w:ascii="Times New Roman" w:hAnsi="Times New Roman" w:cs="Times New Roman"/>
          <w:noProof/>
          <w:szCs w:val="24"/>
        </w:rPr>
        <w:lastRenderedPageBreak/>
        <w:t xml:space="preserve">industrial and operation engineering trends and challenges Toward Industry 4.0: A data driven analysis. </w:t>
      </w:r>
      <w:r w:rsidRPr="00ED0FD9">
        <w:rPr>
          <w:rFonts w:ascii="Times New Roman" w:hAnsi="Times New Roman" w:cs="Times New Roman"/>
          <w:i/>
          <w:iCs/>
          <w:noProof/>
          <w:szCs w:val="24"/>
        </w:rPr>
        <w:t>Journal of Industrial and Production Engineering</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38</w:t>
      </w:r>
      <w:r w:rsidRPr="00ED0FD9">
        <w:rPr>
          <w:rFonts w:ascii="Times New Roman" w:hAnsi="Times New Roman" w:cs="Times New Roman"/>
          <w:noProof/>
          <w:szCs w:val="24"/>
        </w:rPr>
        <w:t>(8), 581–598.</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Weinsheimer, J. (1985). </w:t>
      </w:r>
      <w:r w:rsidRPr="00ED0FD9">
        <w:rPr>
          <w:rFonts w:ascii="Times New Roman" w:hAnsi="Times New Roman" w:cs="Times New Roman"/>
          <w:i/>
          <w:iCs/>
          <w:noProof/>
          <w:szCs w:val="24"/>
        </w:rPr>
        <w:t>Gadamer’s Hermeneutics A Reading of Truth and Method</w:t>
      </w:r>
      <w:r w:rsidRPr="00ED0FD9">
        <w:rPr>
          <w:rFonts w:ascii="Times New Roman" w:hAnsi="Times New Roman" w:cs="Times New Roman"/>
          <w:noProof/>
          <w:szCs w:val="24"/>
        </w:rPr>
        <w:t>.</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t xml:space="preserve">WEINTRIT, A. (2005). IAMU model course on ECDIS. </w:t>
      </w:r>
      <w:r w:rsidRPr="00ED0FD9">
        <w:rPr>
          <w:rFonts w:ascii="Times New Roman" w:hAnsi="Times New Roman" w:cs="Times New Roman"/>
          <w:i/>
          <w:iCs/>
          <w:noProof/>
          <w:szCs w:val="24"/>
        </w:rPr>
        <w:t>Maritime Security and MET</w:t>
      </w:r>
      <w:r w:rsidRPr="00ED0FD9">
        <w:rPr>
          <w:rFonts w:ascii="Times New Roman" w:hAnsi="Times New Roman" w:cs="Times New Roman"/>
          <w:noProof/>
          <w:szCs w:val="24"/>
        </w:rPr>
        <w:t>, 35–44.</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szCs w:val="24"/>
        </w:rPr>
      </w:pPr>
      <w:r w:rsidRPr="00ED0FD9">
        <w:rPr>
          <w:rFonts w:ascii="Times New Roman" w:hAnsi="Times New Roman" w:cs="Times New Roman"/>
          <w:noProof/>
          <w:szCs w:val="24"/>
        </w:rPr>
        <w:lastRenderedPageBreak/>
        <w:t xml:space="preserve">Willig, C. (2014). Interpretation and analysis. </w:t>
      </w:r>
      <w:r w:rsidRPr="00ED0FD9">
        <w:rPr>
          <w:rFonts w:ascii="Times New Roman" w:hAnsi="Times New Roman" w:cs="Times New Roman"/>
          <w:i/>
          <w:iCs/>
          <w:noProof/>
          <w:szCs w:val="24"/>
        </w:rPr>
        <w:t>The SAGE Handbook of Qualitative Data Analysis</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481</w:t>
      </w:r>
      <w:r w:rsidRPr="00ED0FD9">
        <w:rPr>
          <w:rFonts w:ascii="Times New Roman" w:hAnsi="Times New Roman" w:cs="Times New Roman"/>
          <w:noProof/>
          <w:szCs w:val="24"/>
        </w:rPr>
        <w:t>.</w:t>
      </w:r>
    </w:p>
    <w:p w:rsidR="00ED0FD9" w:rsidRPr="00ED0FD9" w:rsidRDefault="00ED0FD9" w:rsidP="00ED0FD9">
      <w:pPr>
        <w:pStyle w:val="ListParagraph"/>
        <w:widowControl w:val="0"/>
        <w:numPr>
          <w:ilvl w:val="0"/>
          <w:numId w:val="10"/>
        </w:numPr>
        <w:autoSpaceDE w:val="0"/>
        <w:autoSpaceDN w:val="0"/>
        <w:adjustRightInd w:val="0"/>
        <w:spacing w:after="0" w:line="240" w:lineRule="auto"/>
        <w:ind w:left="360"/>
        <w:rPr>
          <w:rFonts w:ascii="Times New Roman" w:hAnsi="Times New Roman" w:cs="Times New Roman"/>
          <w:noProof/>
        </w:rPr>
      </w:pPr>
      <w:r w:rsidRPr="00ED0FD9">
        <w:rPr>
          <w:rFonts w:ascii="Times New Roman" w:hAnsi="Times New Roman" w:cs="Times New Roman"/>
          <w:noProof/>
          <w:szCs w:val="24"/>
        </w:rPr>
        <w:t xml:space="preserve">Yilmaz, K. (2013). Comparison of quantitative and qualitative research traditions: Epistemological, theoretical, and methodological differences. </w:t>
      </w:r>
      <w:r w:rsidRPr="00ED0FD9">
        <w:rPr>
          <w:rFonts w:ascii="Times New Roman" w:hAnsi="Times New Roman" w:cs="Times New Roman"/>
          <w:i/>
          <w:iCs/>
          <w:noProof/>
          <w:szCs w:val="24"/>
        </w:rPr>
        <w:t>European Journal of Education</w:t>
      </w:r>
      <w:r w:rsidRPr="00ED0FD9">
        <w:rPr>
          <w:rFonts w:ascii="Times New Roman" w:hAnsi="Times New Roman" w:cs="Times New Roman"/>
          <w:noProof/>
          <w:szCs w:val="24"/>
        </w:rPr>
        <w:t xml:space="preserve">, </w:t>
      </w:r>
      <w:r w:rsidRPr="00ED0FD9">
        <w:rPr>
          <w:rFonts w:ascii="Times New Roman" w:hAnsi="Times New Roman" w:cs="Times New Roman"/>
          <w:i/>
          <w:iCs/>
          <w:noProof/>
          <w:szCs w:val="24"/>
        </w:rPr>
        <w:t>48</w:t>
      </w:r>
      <w:r w:rsidRPr="00ED0FD9">
        <w:rPr>
          <w:rFonts w:ascii="Times New Roman" w:hAnsi="Times New Roman" w:cs="Times New Roman"/>
          <w:noProof/>
          <w:szCs w:val="24"/>
        </w:rPr>
        <w:t>(2), 311–325.</w:t>
      </w:r>
    </w:p>
    <w:p w:rsidR="00085FBD" w:rsidRDefault="00CA263C" w:rsidP="00ED0FD9">
      <w:pPr>
        <w:widowControl w:val="0"/>
        <w:autoSpaceDE w:val="0"/>
        <w:autoSpaceDN w:val="0"/>
        <w:adjustRightInd w:val="0"/>
        <w:spacing w:after="0" w:line="240" w:lineRule="auto"/>
        <w:ind w:left="120" w:hanging="480"/>
        <w:rPr>
          <w:rFonts w:ascii="Times New Roman" w:eastAsia="Calibri" w:hAnsi="Times New Roman" w:cs="Times New Roman"/>
          <w:b/>
          <w:bCs/>
          <w:lang w:val="en-US"/>
        </w:rPr>
        <w:sectPr w:rsidR="00085FBD" w:rsidSect="00532EDF">
          <w:type w:val="continuous"/>
          <w:pgSz w:w="11906" w:h="16838"/>
          <w:pgMar w:top="1134" w:right="1134" w:bottom="1134" w:left="1134" w:header="709" w:footer="709" w:gutter="0"/>
          <w:cols w:num="2" w:space="454"/>
          <w:docGrid w:linePitch="360"/>
        </w:sectPr>
      </w:pPr>
      <w:r>
        <w:rPr>
          <w:rFonts w:ascii="Times New Roman" w:eastAsia="Calibri" w:hAnsi="Times New Roman" w:cs="Times New Roman"/>
          <w:b/>
          <w:bCs/>
          <w:lang w:val="en-US"/>
        </w:rPr>
        <w:fldChar w:fldCharType="end"/>
      </w:r>
    </w:p>
    <w:p w:rsidR="00A20815" w:rsidRDefault="00A20815"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p>
    <w:sectPr w:rsidR="00A20815" w:rsidSect="00532EDF">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F0" w:rsidRDefault="00D128F0" w:rsidP="00BD3DF2">
      <w:pPr>
        <w:spacing w:after="0" w:line="240" w:lineRule="auto"/>
      </w:pPr>
      <w:r>
        <w:separator/>
      </w:r>
    </w:p>
  </w:endnote>
  <w:endnote w:type="continuationSeparator" w:id="0">
    <w:p w:rsidR="00D128F0" w:rsidRDefault="00D128F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3E5F5E">
          <w:rPr>
            <w:rFonts w:ascii="Times New Roman" w:hAnsi="Times New Roman" w:cs="Times New Roman"/>
            <w:noProof/>
            <w:sz w:val="24"/>
            <w:szCs w:val="24"/>
          </w:rPr>
          <w:t>9</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F0" w:rsidRDefault="00D128F0" w:rsidP="00BD3DF2">
      <w:pPr>
        <w:spacing w:after="0" w:line="240" w:lineRule="auto"/>
      </w:pPr>
      <w:r>
        <w:separator/>
      </w:r>
    </w:p>
  </w:footnote>
  <w:footnote w:type="continuationSeparator" w:id="0">
    <w:p w:rsidR="00D128F0" w:rsidRDefault="00D128F0"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27176957"/>
    <w:multiLevelType w:val="hybridMultilevel"/>
    <w:tmpl w:val="D5CCAB8A"/>
    <w:lvl w:ilvl="0" w:tplc="9E048A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85FBD"/>
    <w:rsid w:val="000973D1"/>
    <w:rsid w:val="000A264E"/>
    <w:rsid w:val="000B2834"/>
    <w:rsid w:val="000B5559"/>
    <w:rsid w:val="000C17E4"/>
    <w:rsid w:val="000C23C9"/>
    <w:rsid w:val="000C31DF"/>
    <w:rsid w:val="000C5A7E"/>
    <w:rsid w:val="000C6E91"/>
    <w:rsid w:val="000D0AC6"/>
    <w:rsid w:val="000D20CD"/>
    <w:rsid w:val="000E5FB5"/>
    <w:rsid w:val="000E6927"/>
    <w:rsid w:val="001221B0"/>
    <w:rsid w:val="00135002"/>
    <w:rsid w:val="0014123F"/>
    <w:rsid w:val="001423B4"/>
    <w:rsid w:val="001460A6"/>
    <w:rsid w:val="00166D83"/>
    <w:rsid w:val="00167ABC"/>
    <w:rsid w:val="001807B9"/>
    <w:rsid w:val="001A00C2"/>
    <w:rsid w:val="001B28B7"/>
    <w:rsid w:val="001C79A0"/>
    <w:rsid w:val="001E325F"/>
    <w:rsid w:val="001F2277"/>
    <w:rsid w:val="00212642"/>
    <w:rsid w:val="0023056D"/>
    <w:rsid w:val="00231CEA"/>
    <w:rsid w:val="0023691F"/>
    <w:rsid w:val="0024363E"/>
    <w:rsid w:val="00247E25"/>
    <w:rsid w:val="00247F0A"/>
    <w:rsid w:val="0025468B"/>
    <w:rsid w:val="00260B8B"/>
    <w:rsid w:val="00263DD8"/>
    <w:rsid w:val="00264A93"/>
    <w:rsid w:val="00275DB3"/>
    <w:rsid w:val="00280FA7"/>
    <w:rsid w:val="002930A1"/>
    <w:rsid w:val="00295877"/>
    <w:rsid w:val="002A73E1"/>
    <w:rsid w:val="002B31E0"/>
    <w:rsid w:val="002B6D4B"/>
    <w:rsid w:val="002D2D85"/>
    <w:rsid w:val="002D5658"/>
    <w:rsid w:val="002F11B1"/>
    <w:rsid w:val="003073AF"/>
    <w:rsid w:val="00314187"/>
    <w:rsid w:val="00315AC0"/>
    <w:rsid w:val="0033714C"/>
    <w:rsid w:val="00337E4A"/>
    <w:rsid w:val="00370705"/>
    <w:rsid w:val="00373B88"/>
    <w:rsid w:val="00381098"/>
    <w:rsid w:val="003C5E0E"/>
    <w:rsid w:val="003D1666"/>
    <w:rsid w:val="003E5F5E"/>
    <w:rsid w:val="00412C61"/>
    <w:rsid w:val="0042090F"/>
    <w:rsid w:val="004428A8"/>
    <w:rsid w:val="004511E0"/>
    <w:rsid w:val="00452C17"/>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32EDF"/>
    <w:rsid w:val="0054247E"/>
    <w:rsid w:val="00550EA6"/>
    <w:rsid w:val="0055783F"/>
    <w:rsid w:val="0056636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965B2"/>
    <w:rsid w:val="006A33A6"/>
    <w:rsid w:val="006B0E27"/>
    <w:rsid w:val="006B629D"/>
    <w:rsid w:val="006D5E4A"/>
    <w:rsid w:val="006D6D19"/>
    <w:rsid w:val="006E3D96"/>
    <w:rsid w:val="006F7610"/>
    <w:rsid w:val="00712E82"/>
    <w:rsid w:val="007223D5"/>
    <w:rsid w:val="00724ED7"/>
    <w:rsid w:val="00731E10"/>
    <w:rsid w:val="007338B6"/>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0A1D"/>
    <w:rsid w:val="00A7430C"/>
    <w:rsid w:val="00AA4294"/>
    <w:rsid w:val="00AC112B"/>
    <w:rsid w:val="00AC532E"/>
    <w:rsid w:val="00AE315E"/>
    <w:rsid w:val="00AF5ED5"/>
    <w:rsid w:val="00AF623A"/>
    <w:rsid w:val="00B03EFF"/>
    <w:rsid w:val="00B0553E"/>
    <w:rsid w:val="00B108F0"/>
    <w:rsid w:val="00B249C9"/>
    <w:rsid w:val="00B3034B"/>
    <w:rsid w:val="00B329CF"/>
    <w:rsid w:val="00B5153F"/>
    <w:rsid w:val="00B5197B"/>
    <w:rsid w:val="00B53B02"/>
    <w:rsid w:val="00B57E80"/>
    <w:rsid w:val="00B6161E"/>
    <w:rsid w:val="00B71E3A"/>
    <w:rsid w:val="00B81A52"/>
    <w:rsid w:val="00B81D9E"/>
    <w:rsid w:val="00BA1FD2"/>
    <w:rsid w:val="00BC2F62"/>
    <w:rsid w:val="00BC75CA"/>
    <w:rsid w:val="00BD3DF2"/>
    <w:rsid w:val="00BF6319"/>
    <w:rsid w:val="00C050E6"/>
    <w:rsid w:val="00C05853"/>
    <w:rsid w:val="00C12717"/>
    <w:rsid w:val="00C23B5D"/>
    <w:rsid w:val="00C31ED1"/>
    <w:rsid w:val="00C35A97"/>
    <w:rsid w:val="00C41FC3"/>
    <w:rsid w:val="00C63ADD"/>
    <w:rsid w:val="00C7149F"/>
    <w:rsid w:val="00C94422"/>
    <w:rsid w:val="00C958E2"/>
    <w:rsid w:val="00CA263C"/>
    <w:rsid w:val="00CB1532"/>
    <w:rsid w:val="00CB5385"/>
    <w:rsid w:val="00CC0689"/>
    <w:rsid w:val="00CC7E46"/>
    <w:rsid w:val="00CD310F"/>
    <w:rsid w:val="00CE1588"/>
    <w:rsid w:val="00D128F0"/>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653BD"/>
    <w:rsid w:val="00E75F8F"/>
    <w:rsid w:val="00E80032"/>
    <w:rsid w:val="00E82193"/>
    <w:rsid w:val="00EA3E26"/>
    <w:rsid w:val="00EC0792"/>
    <w:rsid w:val="00ED0FD9"/>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4BD6"/>
    <w:rsid w:val="00FE2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uiPriority w:val="1"/>
    <w:qFormat/>
    <w:rsid w:val="00BF6319"/>
    <w:pPr>
      <w:spacing w:after="0" w:line="240" w:lineRule="auto"/>
    </w:pPr>
  </w:style>
  <w:style w:type="paragraph" w:styleId="NormalWeb">
    <w:name w:val="Normal (Web)"/>
    <w:basedOn w:val="Normal"/>
    <w:uiPriority w:val="99"/>
    <w:semiHidden/>
    <w:unhideWhenUsed/>
    <w:rsid w:val="00085F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682">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7910733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12477191">
      <w:bodyDiv w:val="1"/>
      <w:marLeft w:val="0"/>
      <w:marRight w:val="0"/>
      <w:marTop w:val="0"/>
      <w:marBottom w:val="0"/>
      <w:divBdr>
        <w:top w:val="none" w:sz="0" w:space="0" w:color="auto"/>
        <w:left w:val="none" w:sz="0" w:space="0" w:color="auto"/>
        <w:bottom w:val="none" w:sz="0" w:space="0" w:color="auto"/>
        <w:right w:val="none" w:sz="0" w:space="0" w:color="auto"/>
      </w:divBdr>
    </w:div>
    <w:div w:id="1117456541">
      <w:bodyDiv w:val="1"/>
      <w:marLeft w:val="0"/>
      <w:marRight w:val="0"/>
      <w:marTop w:val="0"/>
      <w:marBottom w:val="0"/>
      <w:divBdr>
        <w:top w:val="none" w:sz="0" w:space="0" w:color="auto"/>
        <w:left w:val="none" w:sz="0" w:space="0" w:color="auto"/>
        <w:bottom w:val="none" w:sz="0" w:space="0" w:color="auto"/>
        <w:right w:val="none" w:sz="0" w:space="0" w:color="auto"/>
      </w:divBdr>
    </w:div>
    <w:div w:id="1194687303">
      <w:bodyDiv w:val="1"/>
      <w:marLeft w:val="0"/>
      <w:marRight w:val="0"/>
      <w:marTop w:val="0"/>
      <w:marBottom w:val="0"/>
      <w:divBdr>
        <w:top w:val="none" w:sz="0" w:space="0" w:color="auto"/>
        <w:left w:val="none" w:sz="0" w:space="0" w:color="auto"/>
        <w:bottom w:val="none" w:sz="0" w:space="0" w:color="auto"/>
        <w:right w:val="none" w:sz="0" w:space="0" w:color="auto"/>
      </w:divBdr>
    </w:div>
    <w:div w:id="13986248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0500393">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725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7931198-1258-4F48-A19B-80995CA0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10953</Words>
  <Characters>62437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Microsoft account</cp:lastModifiedBy>
  <cp:revision>3</cp:revision>
  <cp:lastPrinted>2019-05-24T02:53:00Z</cp:lastPrinted>
  <dcterms:created xsi:type="dcterms:W3CDTF">2024-05-22T03:20:00Z</dcterms:created>
  <dcterms:modified xsi:type="dcterms:W3CDTF">2024-05-27T09:16:00Z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http://www.zotero.org/styles/e3s-web-of-conferences</vt:lpwstr>
  </property>
  <property fmtid="{D5CDD505-2E9C-101B-9397-08002B2CF9AE}" pid="20" name="Mendeley Recent Style Name 7_1">
    <vt:lpwstr>E3S Web of Conferences</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