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D337D" w14:textId="77777777" w:rsidR="00671534" w:rsidRDefault="00000000">
      <w:pPr>
        <w:spacing w:after="0" w:line="240" w:lineRule="auto"/>
        <w:jc w:val="center"/>
        <w:rPr>
          <w:rFonts w:ascii="Times New Roman" w:hAnsi="Times New Roman" w:cs="Times New Roman"/>
          <w:color w:val="FF0000"/>
          <w:lang w:val="en-US"/>
        </w:rPr>
      </w:pPr>
      <w:r>
        <w:rPr>
          <w:rFonts w:ascii="Times New Roman" w:hAnsi="Times New Roman" w:cs="Times New Roman"/>
          <w:color w:val="FF0000"/>
          <w:lang w:val="en-US"/>
        </w:rPr>
        <w:t>http://ejournal.stipjakarta.ac.id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671534" w14:paraId="111E4B9B" w14:textId="77777777" w:rsidTr="00671534">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7ABCF9B4" w14:textId="77777777" w:rsidR="00671534" w:rsidRDefault="00000000">
            <w:pPr>
              <w:autoSpaceDE w:val="0"/>
              <w:autoSpaceDN w:val="0"/>
              <w:adjustRightInd w:val="0"/>
              <w:spacing w:after="0" w:line="240" w:lineRule="auto"/>
              <w:jc w:val="center"/>
              <w:rPr>
                <w:b w:val="0"/>
                <w:bCs w:val="0"/>
                <w:lang w:eastAsia="id-ID"/>
              </w:rPr>
            </w:pPr>
            <w:bookmarkStart w:id="0" w:name="_Hlk480318415"/>
            <w:r>
              <w:rPr>
                <w:noProof/>
                <w:lang w:val="zh-CN" w:eastAsia="zh-CN"/>
              </w:rPr>
              <w:drawing>
                <wp:inline distT="0" distB="0" distL="0" distR="0" wp14:anchorId="208CEF30" wp14:editId="561BEB00">
                  <wp:extent cx="1113155"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BEBA8EAE-BF5A-486C-A8C5-ECC9F3942E4B}">
                                <a14:imgProps xmlns:a14="http://schemas.microsoft.com/office/drawing/2010/main">
                                  <a14:imgLayer r:embed="rId9">
                                    <a14:imgEffect>
                                      <a14:brightnessContrast contrast="40000"/>
                                    </a14:imgEffect>
                                    <a14:imgEffect>
                                      <a14:colorTemperature colorTemp="4700"/>
                                    </a14:imgEffect>
                                    <a14:imgEffect>
                                      <a14:saturation sat="300000"/>
                                    </a14:imgEffect>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EC4708B" w14:textId="77777777" w:rsidR="00671534" w:rsidRDefault="00000000">
            <w:pPr>
              <w:autoSpaceDE w:val="0"/>
              <w:autoSpaceDN w:val="0"/>
              <w:adjustRightInd w:val="0"/>
              <w:spacing w:after="0" w:line="24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i/>
                <w:color w:val="1F497D" w:themeColor="text2"/>
                <w:sz w:val="66"/>
                <w:szCs w:val="66"/>
                <w:lang w:val="en-US"/>
              </w:rPr>
            </w:pPr>
            <w:r>
              <w:rPr>
                <w:rFonts w:ascii="Times New Roman" w:eastAsia="Calibri" w:hAnsi="Times New Roman" w:cs="Times New Roman"/>
                <w:b w:val="0"/>
                <w:i/>
                <w:color w:val="1F497D" w:themeColor="text2"/>
                <w:sz w:val="66"/>
                <w:szCs w:val="66"/>
                <w:lang w:val="en-US"/>
              </w:rPr>
              <w:t>METEOR STIP MARUNDA</w:t>
            </w:r>
          </w:p>
        </w:tc>
      </w:tr>
      <w:tr w:rsidR="00671534" w14:paraId="44571C16" w14:textId="77777777" w:rsidTr="00671534">
        <w:trPr>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shd w:val="clear" w:color="auto" w:fill="D9D9D9" w:themeFill="background1" w:themeFillShade="D9"/>
          </w:tcPr>
          <w:p w14:paraId="52473B3F" w14:textId="77777777" w:rsidR="00671534" w:rsidRDefault="00000000">
            <w:pPr>
              <w:autoSpaceDE w:val="0"/>
              <w:autoSpaceDN w:val="0"/>
              <w:adjustRightInd w:val="0"/>
              <w:spacing w:after="0" w:line="240" w:lineRule="auto"/>
              <w:ind w:left="-90"/>
              <w:rPr>
                <w:rFonts w:ascii="Times New Roman" w:hAnsi="Times New Roman" w:cs="Times New Roman"/>
                <w:bCs w:val="0"/>
                <w:sz w:val="16"/>
                <w:szCs w:val="16"/>
                <w:lang w:val="en-US" w:eastAsia="id-ID"/>
              </w:rPr>
            </w:pPr>
            <w:r>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Pr>
                <w:rFonts w:ascii="Times New Roman" w:hAnsi="Times New Roman" w:cs="Times New Roman"/>
                <w:b w:val="0"/>
                <w:sz w:val="16"/>
                <w:szCs w:val="16"/>
                <w:lang w:eastAsia="id-ID"/>
              </w:rPr>
              <w:t>: 1</w:t>
            </w:r>
            <w:r>
              <w:rPr>
                <w:rFonts w:ascii="Times New Roman" w:hAnsi="Times New Roman" w:cs="Times New Roman"/>
                <w:b w:val="0"/>
                <w:sz w:val="16"/>
                <w:szCs w:val="16"/>
                <w:lang w:val="en-US" w:eastAsia="id-ID"/>
              </w:rPr>
              <w:t>979 – 4746</w:t>
            </w:r>
          </w:p>
          <w:p w14:paraId="11B8B3BC" w14:textId="77777777" w:rsidR="00671534" w:rsidRDefault="00000000">
            <w:pPr>
              <w:autoSpaceDE w:val="0"/>
              <w:autoSpaceDN w:val="0"/>
              <w:adjustRightInd w:val="0"/>
              <w:spacing w:after="0" w:line="240" w:lineRule="auto"/>
              <w:ind w:left="-90"/>
              <w:rPr>
                <w:rFonts w:ascii="Times New Roman" w:hAnsi="Times New Roman" w:cs="Times New Roman"/>
                <w:bCs w:val="0"/>
                <w:sz w:val="16"/>
                <w:szCs w:val="16"/>
                <w:lang w:val="en-US" w:eastAsia="id-ID"/>
              </w:rPr>
            </w:pPr>
            <w:r>
              <w:rPr>
                <w:rFonts w:ascii="Times New Roman" w:hAnsi="Times New Roman" w:cs="Times New Roman"/>
                <w:b w:val="0"/>
                <w:sz w:val="16"/>
                <w:szCs w:val="16"/>
                <w:lang w:val="en-US" w:eastAsia="id-ID"/>
              </w:rPr>
              <w:t>EISSN  :</w:t>
            </w:r>
          </w:p>
        </w:tc>
        <w:tc>
          <w:tcPr>
            <w:tcW w:w="8079" w:type="dxa"/>
            <w:tcBorders>
              <w:top w:val="single" w:sz="4" w:space="0" w:color="7F7F7F" w:themeColor="text1" w:themeTint="80"/>
              <w:bottom w:val="single" w:sz="4" w:space="0" w:color="7F7F7F" w:themeColor="text1" w:themeTint="80"/>
            </w:tcBorders>
            <w:shd w:val="clear" w:color="auto" w:fill="D9D9D9" w:themeFill="background1" w:themeFillShade="D9"/>
            <w:vAlign w:val="center"/>
          </w:tcPr>
          <w:p w14:paraId="75D3F096" w14:textId="77777777" w:rsidR="00671534" w:rsidRDefault="00000000">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Pr>
                <w:rFonts w:ascii="Times New Roman" w:eastAsia="Calibri" w:hAnsi="Times New Roman" w:cs="Times New Roman"/>
                <w:b/>
                <w:i/>
                <w:color w:val="1F497D" w:themeColor="text2"/>
                <w:sz w:val="24"/>
                <w:szCs w:val="24"/>
                <w:lang w:val="en-US"/>
              </w:rPr>
              <w:t xml:space="preserve">JURNAL PENELITIAN ILMIAH </w:t>
            </w:r>
          </w:p>
          <w:p w14:paraId="5EC19AA9" w14:textId="77777777" w:rsidR="00671534" w:rsidRDefault="00000000">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i/>
                <w:color w:val="000080"/>
                <w:sz w:val="160"/>
                <w:szCs w:val="160"/>
                <w:lang w:val="sv-SE"/>
              </w:rPr>
            </w:pPr>
            <w:r>
              <w:rPr>
                <w:rFonts w:ascii="Times New Roman" w:eastAsia="Calibri" w:hAnsi="Times New Roman" w:cs="Times New Roman"/>
                <w:b/>
                <w:i/>
                <w:color w:val="1F497D" w:themeColor="text2"/>
                <w:sz w:val="24"/>
                <w:szCs w:val="24"/>
                <w:lang w:val="en-US"/>
              </w:rPr>
              <w:t>SEKOLAH TINGGI ILMU PELAYARAN</w:t>
            </w:r>
          </w:p>
        </w:tc>
      </w:tr>
      <w:bookmarkEnd w:id="0"/>
    </w:tbl>
    <w:p w14:paraId="5CDD57E6" w14:textId="77777777" w:rsidR="00671534" w:rsidRDefault="0067153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671534" w14:paraId="573F7547" w14:textId="77777777" w:rsidTr="00671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3281FF94" w14:textId="77777777" w:rsidR="00671534" w:rsidRDefault="00000000">
            <w:pPr>
              <w:spacing w:after="0" w:line="240" w:lineRule="auto"/>
              <w:jc w:val="center"/>
              <w:rPr>
                <w:rFonts w:ascii="Times New Roman" w:hAnsi="Times New Roman" w:cs="Times New Roman"/>
                <w:bCs w:val="0"/>
                <w:color w:val="000000" w:themeColor="text1"/>
                <w:sz w:val="28"/>
                <w:szCs w:val="32"/>
              </w:rPr>
            </w:pPr>
            <w:r>
              <w:rPr>
                <w:rFonts w:ascii="Times New Roman" w:eastAsia="Calibri" w:hAnsi="Times New Roman" w:cs="Times New Roman"/>
                <w:sz w:val="28"/>
                <w:szCs w:val="32"/>
              </w:rPr>
              <w:t>Impact of International Standards on Maritime Education: Perspectives of Junior Cadets</w:t>
            </w:r>
          </w:p>
          <w:p w14:paraId="40368F42" w14:textId="77777777" w:rsidR="00671534" w:rsidRDefault="00000000">
            <w:pPr>
              <w:autoSpaceDE w:val="0"/>
              <w:autoSpaceDN w:val="0"/>
              <w:adjustRightInd w:val="0"/>
              <w:spacing w:after="0" w:line="240" w:lineRule="auto"/>
              <w:jc w:val="center"/>
              <w:rPr>
                <w:rFonts w:ascii="TimesNewRomanPS-ItalicMT" w:hAnsi="TimesNewRomanPS-ItalicMT" w:cs="TimesNewRomanPS-ItalicMT"/>
                <w:bCs w:val="0"/>
                <w:i/>
                <w:iCs/>
                <w:szCs w:val="20"/>
              </w:rPr>
            </w:pPr>
            <w:r>
              <w:rPr>
                <w:rFonts w:ascii="TimesNewRomanPS-ItalicMT" w:hAnsi="TimesNewRomanPS-ItalicMT" w:cs="TimesNewRomanPS-ItalicMT"/>
                <w:b w:val="0"/>
                <w:i/>
                <w:iCs/>
                <w:szCs w:val="20"/>
              </w:rPr>
              <w:t xml:space="preserve"> </w:t>
            </w:r>
          </w:p>
          <w:p w14:paraId="08229D30" w14:textId="77777777" w:rsidR="00671534" w:rsidRDefault="00000000">
            <w:pPr>
              <w:autoSpaceDE w:val="0"/>
              <w:autoSpaceDN w:val="0"/>
              <w:adjustRightInd w:val="0"/>
              <w:spacing w:after="0" w:line="240" w:lineRule="auto"/>
              <w:jc w:val="center"/>
              <w:rPr>
                <w:rFonts w:ascii="TimesNewRomanPS-ItalicMT" w:hAnsi="TimesNewRomanPS-ItalicMT" w:cs="TimesNewRomanPS-ItalicMT"/>
                <w:bCs w:val="0"/>
                <w:iCs/>
                <w:szCs w:val="20"/>
              </w:rPr>
            </w:pPr>
            <w:commentRangeStart w:id="1"/>
            <w:r>
              <w:rPr>
                <w:rFonts w:ascii="TimesNewRomanPS-ItalicMT" w:hAnsi="TimesNewRomanPS-ItalicMT" w:cs="TimesNewRomanPS-ItalicMT"/>
                <w:b w:val="0"/>
                <w:iCs/>
                <w:szCs w:val="20"/>
              </w:rPr>
              <w:t>Derma Watty Sihombing</w:t>
            </w:r>
            <w:r>
              <w:rPr>
                <w:rFonts w:ascii="TimesNewRomanPS-ItalicMT" w:hAnsi="TimesNewRomanPS-ItalicMT" w:cs="TimesNewRomanPS-ItalicMT"/>
                <w:b w:val="0"/>
                <w:iCs/>
                <w:szCs w:val="20"/>
                <w:vertAlign w:val="superscript"/>
              </w:rPr>
              <w:t>1)</w:t>
            </w:r>
            <w:r>
              <w:rPr>
                <w:rFonts w:ascii="TimesNewRomanPS-ItalicMT" w:hAnsi="TimesNewRomanPS-ItalicMT" w:cs="TimesNewRomanPS-ItalicMT"/>
                <w:b w:val="0"/>
                <w:iCs/>
                <w:szCs w:val="20"/>
              </w:rPr>
              <w:t xml:space="preserve">  </w:t>
            </w:r>
            <w:r>
              <w:rPr>
                <w:rStyle w:val="Hyperlink"/>
                <w:rFonts w:ascii="TimesNewRomanPS-ItalicMT" w:hAnsi="TimesNewRomanPS-ItalicMT" w:cs="TimesNewRomanPS-ItalicMT"/>
                <w:b w:val="0"/>
                <w:iCs/>
                <w:szCs w:val="20"/>
              </w:rPr>
              <w:t>dermawatysihombing@gmail.com</w:t>
            </w:r>
          </w:p>
          <w:p w14:paraId="32F4F57B" w14:textId="77777777" w:rsidR="00671534" w:rsidRDefault="00000000">
            <w:pPr>
              <w:autoSpaceDE w:val="0"/>
              <w:autoSpaceDN w:val="0"/>
              <w:adjustRightInd w:val="0"/>
              <w:spacing w:after="0" w:line="240" w:lineRule="auto"/>
              <w:jc w:val="center"/>
              <w:rPr>
                <w:rFonts w:ascii="TimesNewRomanPS-ItalicMT" w:hAnsi="TimesNewRomanPS-ItalicMT" w:cs="TimesNewRomanPS-ItalicMT"/>
                <w:bCs w:val="0"/>
                <w:iCs/>
                <w:szCs w:val="20"/>
              </w:rPr>
            </w:pPr>
            <w:r>
              <w:rPr>
                <w:rFonts w:ascii="TimesNewRomanPS-ItalicMT" w:hAnsi="TimesNewRomanPS-ItalicMT" w:cs="TimesNewRomanPS-ItalicMT"/>
                <w:b w:val="0"/>
                <w:iCs/>
                <w:szCs w:val="20"/>
              </w:rPr>
              <w:t xml:space="preserve">Nurindah Dwiyani </w:t>
            </w:r>
            <w:r>
              <w:rPr>
                <w:rFonts w:ascii="TimesNewRomanPS-ItalicMT" w:hAnsi="TimesNewRomanPS-ItalicMT" w:cs="TimesNewRomanPS-ItalicMT"/>
                <w:b w:val="0"/>
                <w:iCs/>
                <w:szCs w:val="20"/>
                <w:vertAlign w:val="superscript"/>
              </w:rPr>
              <w:t>2)</w:t>
            </w:r>
            <w:r>
              <w:rPr>
                <w:rFonts w:ascii="TimesNewRomanPS-ItalicMT" w:hAnsi="TimesNewRomanPS-ItalicMT" w:cs="TimesNewRomanPS-ItalicMT"/>
                <w:b w:val="0"/>
                <w:iCs/>
                <w:szCs w:val="20"/>
              </w:rPr>
              <w:t xml:space="preserve">  </w:t>
            </w:r>
            <w:r>
              <w:rPr>
                <w:rStyle w:val="Hyperlink"/>
                <w:rFonts w:ascii="TimesNewRomanPS-ItalicMT" w:hAnsi="TimesNewRomanPS-ItalicMT" w:cs="TimesNewRomanPS-ItalicMT"/>
                <w:b w:val="0"/>
                <w:iCs/>
                <w:szCs w:val="20"/>
              </w:rPr>
              <w:t>nurindah05kammar@gmail.com</w:t>
            </w:r>
          </w:p>
          <w:p w14:paraId="7A7A4E9D" w14:textId="77777777" w:rsidR="00671534" w:rsidRDefault="00000000">
            <w:pPr>
              <w:autoSpaceDE w:val="0"/>
              <w:autoSpaceDN w:val="0"/>
              <w:adjustRightInd w:val="0"/>
              <w:spacing w:after="0" w:line="240" w:lineRule="auto"/>
              <w:jc w:val="center"/>
              <w:rPr>
                <w:rFonts w:ascii="Times New Roman" w:eastAsia="Calibri" w:hAnsi="Times New Roman" w:cs="Times New Roman"/>
                <w:bCs w:val="0"/>
                <w:iCs/>
                <w:szCs w:val="20"/>
              </w:rPr>
            </w:pPr>
            <w:r>
              <w:rPr>
                <w:rFonts w:ascii="Times New Roman" w:eastAsia="Calibri" w:hAnsi="Times New Roman" w:cs="Times New Roman"/>
                <w:b w:val="0"/>
                <w:iCs/>
                <w:szCs w:val="20"/>
              </w:rPr>
              <w:t>Marudut Bernadtua Simanjuntak</w:t>
            </w:r>
            <w:r>
              <w:rPr>
                <w:rFonts w:ascii="Times New Roman" w:eastAsia="Calibri" w:hAnsi="Times New Roman" w:cs="Times New Roman"/>
                <w:b w:val="0"/>
                <w:iCs/>
                <w:szCs w:val="20"/>
                <w:vertAlign w:val="superscript"/>
              </w:rPr>
              <w:t>3)</w:t>
            </w:r>
            <w:r>
              <w:rPr>
                <w:rFonts w:ascii="Times New Roman" w:eastAsia="Calibri" w:hAnsi="Times New Roman" w:cs="Times New Roman"/>
                <w:b w:val="0"/>
                <w:iCs/>
                <w:szCs w:val="20"/>
              </w:rPr>
              <w:t xml:space="preserve">  </w:t>
            </w:r>
            <w:hyperlink r:id="rId10" w:history="1">
              <w:r>
                <w:rPr>
                  <w:rFonts w:ascii="Times New Roman" w:eastAsia="Calibri" w:hAnsi="Times New Roman" w:cs="Times New Roman"/>
                  <w:b w:val="0"/>
                  <w:iCs/>
                  <w:color w:val="0000FF" w:themeColor="hyperlink"/>
                  <w:szCs w:val="20"/>
                  <w:u w:val="single"/>
                </w:rPr>
                <w:t>bernadmarudut@gmail.com</w:t>
              </w:r>
            </w:hyperlink>
          </w:p>
          <w:p w14:paraId="4126E28F" w14:textId="77777777" w:rsidR="00671534" w:rsidRDefault="00000000">
            <w:pPr>
              <w:autoSpaceDE w:val="0"/>
              <w:autoSpaceDN w:val="0"/>
              <w:adjustRightInd w:val="0"/>
              <w:spacing w:after="0" w:line="240" w:lineRule="auto"/>
              <w:jc w:val="center"/>
              <w:rPr>
                <w:rFonts w:ascii="Times New Roman" w:eastAsia="Calibri" w:hAnsi="Times New Roman" w:cs="Times New Roman"/>
                <w:bCs w:val="0"/>
                <w:iCs/>
                <w:szCs w:val="20"/>
              </w:rPr>
            </w:pPr>
            <w:r>
              <w:rPr>
                <w:rFonts w:ascii="Times New Roman" w:eastAsia="Calibri" w:hAnsi="Times New Roman" w:cs="Times New Roman"/>
                <w:b w:val="0"/>
                <w:iCs/>
                <w:szCs w:val="20"/>
              </w:rPr>
              <w:t>Christiani Hutabarat</w:t>
            </w:r>
            <w:r>
              <w:rPr>
                <w:rFonts w:ascii="Times New Roman" w:eastAsia="Calibri" w:hAnsi="Times New Roman" w:cs="Times New Roman"/>
                <w:b w:val="0"/>
                <w:iCs/>
                <w:szCs w:val="20"/>
                <w:vertAlign w:val="superscript"/>
              </w:rPr>
              <w:t>4)</w:t>
            </w:r>
            <w:r>
              <w:rPr>
                <w:rFonts w:ascii="Times New Roman" w:eastAsia="Calibri" w:hAnsi="Times New Roman" w:cs="Times New Roman"/>
                <w:b w:val="0"/>
                <w:iCs/>
                <w:szCs w:val="20"/>
              </w:rPr>
              <w:t xml:space="preserve"> </w:t>
            </w:r>
            <w:hyperlink r:id="rId11" w:history="1">
              <w:r>
                <w:rPr>
                  <w:rFonts w:ascii="Times New Roman" w:eastAsia="Calibri" w:hAnsi="Times New Roman" w:cs="Times New Roman"/>
                  <w:b w:val="0"/>
                  <w:iCs/>
                  <w:color w:val="0000FF" w:themeColor="hyperlink"/>
                  <w:szCs w:val="20"/>
                  <w:u w:val="single"/>
                </w:rPr>
                <w:t>hutabaratchristine@gmail.com</w:t>
              </w:r>
            </w:hyperlink>
            <w:r>
              <w:rPr>
                <w:rFonts w:ascii="Times New Roman" w:eastAsia="Calibri" w:hAnsi="Times New Roman" w:cs="Times New Roman"/>
                <w:b w:val="0"/>
                <w:iCs/>
                <w:szCs w:val="20"/>
              </w:rPr>
              <w:t xml:space="preserve">   </w:t>
            </w:r>
          </w:p>
          <w:p w14:paraId="0BCE55CE" w14:textId="77777777" w:rsidR="00671534" w:rsidRDefault="00000000">
            <w:pPr>
              <w:autoSpaceDE w:val="0"/>
              <w:autoSpaceDN w:val="0"/>
              <w:adjustRightInd w:val="0"/>
              <w:spacing w:after="0" w:line="240" w:lineRule="auto"/>
              <w:jc w:val="center"/>
              <w:rPr>
                <w:rFonts w:ascii="Times New Roman" w:eastAsia="Calibri" w:hAnsi="Times New Roman" w:cs="Times New Roman"/>
                <w:bCs w:val="0"/>
                <w:iCs/>
                <w:szCs w:val="20"/>
              </w:rPr>
            </w:pPr>
            <w:r>
              <w:rPr>
                <w:rFonts w:ascii="Times New Roman" w:eastAsia="Calibri" w:hAnsi="Times New Roman" w:cs="Times New Roman"/>
                <w:b w:val="0"/>
                <w:iCs/>
                <w:szCs w:val="20"/>
                <w:lang w:val="en-US"/>
              </w:rPr>
              <w:t xml:space="preserve">Sutrisno </w:t>
            </w:r>
            <w:proofErr w:type="spellStart"/>
            <w:r>
              <w:rPr>
                <w:rFonts w:ascii="Times New Roman" w:eastAsia="Calibri" w:hAnsi="Times New Roman" w:cs="Times New Roman"/>
                <w:b w:val="0"/>
                <w:iCs/>
                <w:szCs w:val="20"/>
                <w:lang w:val="en-US"/>
              </w:rPr>
              <w:t>Sutrisno</w:t>
            </w:r>
            <w:proofErr w:type="spellEnd"/>
            <w:r>
              <w:rPr>
                <w:rFonts w:ascii="Times New Roman" w:eastAsia="Calibri" w:hAnsi="Times New Roman" w:cs="Times New Roman"/>
                <w:b w:val="0"/>
                <w:iCs/>
                <w:szCs w:val="20"/>
                <w:vertAlign w:val="superscript"/>
              </w:rPr>
              <w:t>5)</w:t>
            </w:r>
            <w:r>
              <w:rPr>
                <w:rFonts w:ascii="Times New Roman" w:eastAsia="Calibri" w:hAnsi="Times New Roman" w:cs="Times New Roman"/>
                <w:b w:val="0"/>
                <w:iCs/>
                <w:szCs w:val="20"/>
                <w:lang w:val="en-US"/>
              </w:rPr>
              <w:t xml:space="preserve"> </w:t>
            </w:r>
            <w:hyperlink r:id="rId12" w:history="1">
              <w:r>
                <w:rPr>
                  <w:rFonts w:ascii="Times New Roman" w:eastAsia="Calibri" w:hAnsi="Times New Roman" w:cs="Times New Roman"/>
                  <w:b w:val="0"/>
                  <w:iCs/>
                  <w:color w:val="0000FF" w:themeColor="hyperlink"/>
                  <w:szCs w:val="20"/>
                  <w:u w:val="single"/>
                </w:rPr>
                <w:t>christdeon@gmail.com</w:t>
              </w:r>
            </w:hyperlink>
            <w:r>
              <w:rPr>
                <w:rFonts w:ascii="Times New Roman" w:eastAsia="Calibri" w:hAnsi="Times New Roman" w:cs="Times New Roman"/>
                <w:b w:val="0"/>
                <w:iCs/>
                <w:szCs w:val="20"/>
              </w:rPr>
              <w:t xml:space="preserve"> </w:t>
            </w:r>
          </w:p>
          <w:p w14:paraId="05BE68C0" w14:textId="77777777" w:rsidR="00671534" w:rsidRDefault="00671534">
            <w:pPr>
              <w:autoSpaceDE w:val="0"/>
              <w:autoSpaceDN w:val="0"/>
              <w:adjustRightInd w:val="0"/>
              <w:spacing w:after="0" w:line="240" w:lineRule="auto"/>
              <w:jc w:val="center"/>
              <w:rPr>
                <w:rFonts w:ascii="TimesNewRomanPS-ItalicMT" w:hAnsi="TimesNewRomanPS-ItalicMT" w:cs="TimesNewRomanPS-ItalicMT"/>
                <w:bCs w:val="0"/>
                <w:i/>
                <w:iCs/>
                <w:szCs w:val="20"/>
                <w:lang w:val="en-US"/>
              </w:rPr>
            </w:pPr>
          </w:p>
          <w:p w14:paraId="74C547F7" w14:textId="77777777" w:rsidR="00671534" w:rsidRDefault="00000000">
            <w:pPr>
              <w:autoSpaceDE w:val="0"/>
              <w:autoSpaceDN w:val="0"/>
              <w:adjustRightInd w:val="0"/>
              <w:spacing w:after="0" w:line="240" w:lineRule="auto"/>
              <w:jc w:val="center"/>
              <w:rPr>
                <w:rFonts w:ascii="TimesNewRomanPS-ItalicMT" w:hAnsi="TimesNewRomanPS-ItalicMT" w:cs="TimesNewRomanPS-ItalicMT"/>
                <w:bCs w:val="0"/>
                <w:i/>
                <w:iCs/>
                <w:szCs w:val="20"/>
                <w:lang w:val="en-US"/>
              </w:rPr>
            </w:pPr>
            <w:r>
              <w:rPr>
                <w:rFonts w:ascii="TimesNewRomanPS-ItalicMT" w:hAnsi="TimesNewRomanPS-ItalicMT" w:cs="TimesNewRomanPS-ItalicMT"/>
                <w:b w:val="0"/>
                <w:i/>
                <w:iCs/>
                <w:szCs w:val="20"/>
                <w:vertAlign w:val="superscript"/>
              </w:rPr>
              <w:t>1,2,3</w:t>
            </w:r>
            <w:r>
              <w:rPr>
                <w:rFonts w:ascii="TimesNewRomanPS-ItalicMT" w:hAnsi="TimesNewRomanPS-ItalicMT" w:cs="TimesNewRomanPS-ItalicMT"/>
                <w:b w:val="0"/>
                <w:i/>
                <w:iCs/>
                <w:szCs w:val="20"/>
              </w:rPr>
              <w:t xml:space="preserve"> </w:t>
            </w:r>
            <w:r>
              <w:rPr>
                <w:rFonts w:ascii="TimesNewRomanPS-ItalicMT" w:hAnsi="TimesNewRomanPS-ItalicMT" w:cs="TimesNewRomanPS-ItalicMT"/>
                <w:b w:val="0"/>
                <w:i/>
                <w:iCs/>
                <w:szCs w:val="20"/>
                <w:lang w:val="en-US"/>
              </w:rPr>
              <w:t xml:space="preserve">Maritime Institute </w:t>
            </w:r>
            <w:r>
              <w:rPr>
                <w:rFonts w:ascii="TimesNewRomanPS-ItalicMT" w:hAnsi="TimesNewRomanPS-ItalicMT" w:cs="TimesNewRomanPS-ItalicMT"/>
                <w:b w:val="0"/>
                <w:i/>
                <w:iCs/>
                <w:szCs w:val="20"/>
              </w:rPr>
              <w:t xml:space="preserve">of </w:t>
            </w:r>
            <w:r>
              <w:rPr>
                <w:rFonts w:ascii="TimesNewRomanPS-ItalicMT" w:hAnsi="TimesNewRomanPS-ItalicMT" w:cs="TimesNewRomanPS-ItalicMT"/>
                <w:b w:val="0"/>
                <w:i/>
                <w:iCs/>
                <w:szCs w:val="20"/>
                <w:lang w:val="en-US"/>
              </w:rPr>
              <w:t>Jakarta (S</w:t>
            </w:r>
            <w:r>
              <w:rPr>
                <w:rFonts w:ascii="TimesNewRomanPS-ItalicMT" w:hAnsi="TimesNewRomanPS-ItalicMT" w:cs="TimesNewRomanPS-ItalicMT"/>
                <w:b w:val="0"/>
                <w:i/>
                <w:iCs/>
                <w:szCs w:val="20"/>
              </w:rPr>
              <w:t xml:space="preserve">ekolah </w:t>
            </w:r>
            <w:r>
              <w:rPr>
                <w:rFonts w:ascii="TimesNewRomanPS-ItalicMT" w:hAnsi="TimesNewRomanPS-ItalicMT" w:cs="TimesNewRomanPS-ItalicMT"/>
                <w:b w:val="0"/>
                <w:i/>
                <w:iCs/>
                <w:szCs w:val="20"/>
                <w:lang w:val="en-US"/>
              </w:rPr>
              <w:t>T</w:t>
            </w:r>
            <w:r>
              <w:rPr>
                <w:rFonts w:ascii="TimesNewRomanPS-ItalicMT" w:hAnsi="TimesNewRomanPS-ItalicMT" w:cs="TimesNewRomanPS-ItalicMT"/>
                <w:b w:val="0"/>
                <w:i/>
                <w:iCs/>
                <w:szCs w:val="20"/>
              </w:rPr>
              <w:t xml:space="preserve">inggi </w:t>
            </w:r>
            <w:r>
              <w:rPr>
                <w:rFonts w:ascii="TimesNewRomanPS-ItalicMT" w:hAnsi="TimesNewRomanPS-ItalicMT" w:cs="TimesNewRomanPS-ItalicMT"/>
                <w:b w:val="0"/>
                <w:i/>
                <w:iCs/>
                <w:szCs w:val="20"/>
                <w:lang w:val="en-US"/>
              </w:rPr>
              <w:t>I</w:t>
            </w:r>
            <w:r>
              <w:rPr>
                <w:rFonts w:ascii="TimesNewRomanPS-ItalicMT" w:hAnsi="TimesNewRomanPS-ItalicMT" w:cs="TimesNewRomanPS-ItalicMT"/>
                <w:b w:val="0"/>
                <w:i/>
                <w:iCs/>
                <w:szCs w:val="20"/>
              </w:rPr>
              <w:t xml:space="preserve">lmu </w:t>
            </w:r>
            <w:r>
              <w:rPr>
                <w:rFonts w:ascii="TimesNewRomanPS-ItalicMT" w:hAnsi="TimesNewRomanPS-ItalicMT" w:cs="TimesNewRomanPS-ItalicMT"/>
                <w:b w:val="0"/>
                <w:i/>
                <w:iCs/>
                <w:szCs w:val="20"/>
                <w:lang w:val="en-US"/>
              </w:rPr>
              <w:t>P</w:t>
            </w:r>
            <w:r>
              <w:rPr>
                <w:rFonts w:ascii="TimesNewRomanPS-ItalicMT" w:hAnsi="TimesNewRomanPS-ItalicMT" w:cs="TimesNewRomanPS-ItalicMT"/>
                <w:b w:val="0"/>
                <w:i/>
                <w:iCs/>
                <w:szCs w:val="20"/>
              </w:rPr>
              <w:t xml:space="preserve">elayaran - </w:t>
            </w:r>
            <w:r>
              <w:rPr>
                <w:rFonts w:ascii="TimesNewRomanPS-ItalicMT" w:hAnsi="TimesNewRomanPS-ItalicMT" w:cs="TimesNewRomanPS-ItalicMT"/>
                <w:b w:val="0"/>
                <w:i/>
                <w:iCs/>
                <w:szCs w:val="20"/>
                <w:lang w:val="en-US"/>
              </w:rPr>
              <w:t xml:space="preserve"> Jakarta)</w:t>
            </w:r>
          </w:p>
          <w:p w14:paraId="4F66D41A" w14:textId="77777777" w:rsidR="00671534" w:rsidRDefault="00000000">
            <w:pPr>
              <w:autoSpaceDE w:val="0"/>
              <w:autoSpaceDN w:val="0"/>
              <w:adjustRightInd w:val="0"/>
              <w:spacing w:after="0" w:line="240" w:lineRule="auto"/>
              <w:jc w:val="center"/>
              <w:rPr>
                <w:rFonts w:ascii="Times New Roman" w:eastAsia="Calibri" w:hAnsi="Times New Roman" w:cs="Times New Roman"/>
                <w:bCs w:val="0"/>
                <w:i/>
                <w:iCs/>
                <w:szCs w:val="20"/>
              </w:rPr>
            </w:pPr>
            <w:r>
              <w:rPr>
                <w:rFonts w:ascii="Times New Roman" w:eastAsia="Calibri" w:hAnsi="Times New Roman" w:cs="Times New Roman"/>
                <w:b w:val="0"/>
                <w:i/>
                <w:iCs/>
                <w:szCs w:val="20"/>
                <w:vertAlign w:val="superscript"/>
              </w:rPr>
              <w:t>4</w:t>
            </w:r>
            <w:r>
              <w:rPr>
                <w:rFonts w:ascii="Times New Roman" w:eastAsia="Calibri" w:hAnsi="Times New Roman" w:cs="Times New Roman"/>
                <w:b w:val="0"/>
                <w:i/>
                <w:iCs/>
                <w:szCs w:val="20"/>
              </w:rPr>
              <w:t>Misi William Carey Theological School (STT William Carey - Medan)</w:t>
            </w:r>
          </w:p>
          <w:p w14:paraId="36E3CF93" w14:textId="77777777" w:rsidR="00671534" w:rsidRDefault="00000000">
            <w:pPr>
              <w:autoSpaceDE w:val="0"/>
              <w:autoSpaceDN w:val="0"/>
              <w:adjustRightInd w:val="0"/>
              <w:spacing w:after="0" w:line="240" w:lineRule="auto"/>
              <w:jc w:val="center"/>
              <w:rPr>
                <w:rFonts w:ascii="TimesNewRomanPS-ItalicMT" w:hAnsi="TimesNewRomanPS-ItalicMT" w:cs="TimesNewRomanPS-ItalicMT"/>
                <w:bCs w:val="0"/>
                <w:i/>
                <w:iCs/>
                <w:szCs w:val="20"/>
                <w:lang w:val="en-US"/>
              </w:rPr>
            </w:pPr>
            <w:r>
              <w:rPr>
                <w:rFonts w:ascii="Times New Roman" w:eastAsia="Calibri" w:hAnsi="Times New Roman" w:cs="Times New Roman"/>
                <w:b w:val="0"/>
                <w:i/>
                <w:iCs/>
                <w:szCs w:val="20"/>
                <w:vertAlign w:val="superscript"/>
              </w:rPr>
              <w:t>5</w:t>
            </w:r>
            <w:r>
              <w:rPr>
                <w:rFonts w:ascii="Times New Roman" w:eastAsia="Calibri" w:hAnsi="Times New Roman" w:cs="Times New Roman"/>
                <w:b w:val="0"/>
                <w:i/>
                <w:iCs/>
                <w:szCs w:val="20"/>
              </w:rPr>
              <w:t>Moriah Theological Seminary (STT Moriah - Tangerang)</w:t>
            </w:r>
            <w:commentRangeEnd w:id="1"/>
            <w:r>
              <w:commentReference w:id="1"/>
            </w:r>
          </w:p>
          <w:p w14:paraId="5B689C42" w14:textId="77777777" w:rsidR="00671534" w:rsidRDefault="00671534">
            <w:pPr>
              <w:autoSpaceDE w:val="0"/>
              <w:autoSpaceDN w:val="0"/>
              <w:adjustRightInd w:val="0"/>
              <w:spacing w:after="0" w:line="240" w:lineRule="auto"/>
              <w:jc w:val="center"/>
              <w:rPr>
                <w:rFonts w:ascii="Times New Roman" w:hAnsi="Times New Roman" w:cs="Times New Roman"/>
                <w:bCs w:val="0"/>
                <w:color w:val="000000" w:themeColor="text1"/>
                <w:sz w:val="20"/>
                <w:szCs w:val="20"/>
              </w:rPr>
            </w:pPr>
          </w:p>
        </w:tc>
      </w:tr>
    </w:tbl>
    <w:p w14:paraId="388314D0" w14:textId="77777777" w:rsidR="00671534" w:rsidRDefault="00000000">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14:paraId="17C2383F" w14:textId="77777777" w:rsidR="00671534" w:rsidRDefault="00000000">
      <w:pPr>
        <w:spacing w:after="0" w:line="240" w:lineRule="auto"/>
        <w:jc w:val="both"/>
        <w:rPr>
          <w:rFonts w:ascii="Times New Roman" w:eastAsia="Calibri" w:hAnsi="Times New Roman" w:cs="Times New Roman"/>
          <w:i/>
          <w:sz w:val="20"/>
          <w:szCs w:val="20"/>
        </w:rPr>
      </w:pPr>
      <w:commentRangeStart w:id="2"/>
      <w:r>
        <w:rPr>
          <w:rFonts w:ascii="Times New Roman" w:eastAsia="Calibri" w:hAnsi="Times New Roman" w:cs="Times New Roman"/>
          <w:i/>
          <w:sz w:val="20"/>
          <w:szCs w:val="20"/>
        </w:rPr>
        <w:t>This research explores the impact of international standards on maritime education through the perspectives of 45 junior cadets. Utilizing qualitative methods, including interviews and observations, the study investigates the alignment of educational programs with standards set by the International Maritime Organization (IMO) and the Standards of Training, Certification, and Watchkeeping for Seafarers (STCW). Findings reveal a strong perception of alignment with international standards among participants, emphasizing the importance of consistency and global recognition in maritime education. Additionally, the analysis highlights the relevance of curriculum content to professional needs, the significance of continuous professional development, and the availability of opportunities for career advancement within educational institutions. The research contributes to discussions surrounding the optimization of maritime education and underscores the importance of lifelong learning and professionalism in preparing junior cadets for successful careers in the maritime industry.</w:t>
      </w:r>
      <w:commentRangeEnd w:id="2"/>
      <w:r>
        <w:commentReference w:id="2"/>
      </w:r>
    </w:p>
    <w:p w14:paraId="0F6D80C9" w14:textId="77777777" w:rsidR="00671534" w:rsidRDefault="00671534">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671534" w14:paraId="4BFA054A" w14:textId="77777777" w:rsidTr="00671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76F2642D" w14:textId="77777777" w:rsidR="00671534" w:rsidRDefault="00000000">
            <w:pPr>
              <w:autoSpaceDE w:val="0"/>
              <w:autoSpaceDN w:val="0"/>
              <w:adjustRightInd w:val="0"/>
              <w:spacing w:after="0" w:line="240" w:lineRule="auto"/>
              <w:ind w:left="-105"/>
              <w:jc w:val="both"/>
              <w:rPr>
                <w:rFonts w:ascii="Times New Roman" w:hAnsi="Times New Roman" w:cs="Times New Roman"/>
                <w:bCs w:val="0"/>
                <w:color w:val="000000" w:themeColor="text1"/>
                <w:sz w:val="20"/>
                <w:szCs w:val="20"/>
              </w:rPr>
            </w:pPr>
            <w:r>
              <w:rPr>
                <w:rFonts w:ascii="Times New Roman" w:eastAsia="Calibri" w:hAnsi="Times New Roman" w:cs="Times New Roman"/>
                <w:b w:val="0"/>
                <w:i/>
                <w:sz w:val="20"/>
                <w:szCs w:val="20"/>
              </w:rPr>
              <w:t>Keywords : Maritime education, International standards, Junior cadets, Qualitative analysis, STCW</w:t>
            </w:r>
          </w:p>
        </w:tc>
      </w:tr>
    </w:tbl>
    <w:p w14:paraId="51A9B3EF" w14:textId="77777777" w:rsidR="00671534" w:rsidRDefault="00671534">
      <w:pPr>
        <w:autoSpaceDE w:val="0"/>
        <w:autoSpaceDN w:val="0"/>
        <w:adjustRightInd w:val="0"/>
        <w:spacing w:after="0" w:line="240" w:lineRule="auto"/>
        <w:rPr>
          <w:rFonts w:ascii="Times New Roman" w:eastAsia="Calibri" w:hAnsi="Times New Roman" w:cs="Times New Roman"/>
          <w:bCs/>
          <w:sz w:val="20"/>
          <w:szCs w:val="20"/>
        </w:rPr>
      </w:pPr>
    </w:p>
    <w:p w14:paraId="5FFD5D11" w14:textId="77777777" w:rsidR="00671534" w:rsidRDefault="00671534">
      <w:pPr>
        <w:pStyle w:val="ListParagraph"/>
        <w:numPr>
          <w:ilvl w:val="0"/>
          <w:numId w:val="3"/>
        </w:numPr>
        <w:autoSpaceDE w:val="0"/>
        <w:autoSpaceDN w:val="0"/>
        <w:adjustRightInd w:val="0"/>
        <w:spacing w:after="0" w:line="240" w:lineRule="auto"/>
        <w:ind w:left="426" w:hanging="426"/>
        <w:rPr>
          <w:rFonts w:ascii="Times New Roman" w:eastAsia="Calibri" w:hAnsi="Times New Roman" w:cs="Times New Roman"/>
          <w:b/>
          <w:bCs/>
        </w:rPr>
        <w:sectPr w:rsidR="00671534" w:rsidSect="003C5259">
          <w:footerReference w:type="default" r:id="rId16"/>
          <w:type w:val="continuous"/>
          <w:pgSz w:w="11906" w:h="16838"/>
          <w:pgMar w:top="1134" w:right="1134" w:bottom="1134" w:left="1134" w:header="709" w:footer="709" w:gutter="0"/>
          <w:cols w:space="708"/>
          <w:docGrid w:linePitch="360"/>
        </w:sectPr>
      </w:pPr>
    </w:p>
    <w:p w14:paraId="15E8341D" w14:textId="77777777" w:rsidR="00671534" w:rsidRDefault="00000000">
      <w:pPr>
        <w:pStyle w:val="ListParagraph"/>
        <w:numPr>
          <w:ilvl w:val="0"/>
          <w:numId w:val="3"/>
        </w:numPr>
        <w:autoSpaceDE w:val="0"/>
        <w:autoSpaceDN w:val="0"/>
        <w:adjustRightInd w:val="0"/>
        <w:spacing w:after="0" w:line="240" w:lineRule="auto"/>
        <w:ind w:left="426" w:hanging="426"/>
        <w:rPr>
          <w:rFonts w:ascii="Times New Roman" w:eastAsia="Calibri" w:hAnsi="Times New Roman" w:cs="Times New Roman"/>
          <w:b/>
          <w:bCs/>
          <w:lang w:val="en-US"/>
        </w:rPr>
      </w:pPr>
      <w:commentRangeStart w:id="3"/>
      <w:r>
        <w:rPr>
          <w:rFonts w:ascii="Times New Roman" w:eastAsia="Calibri" w:hAnsi="Times New Roman" w:cs="Times New Roman"/>
          <w:b/>
          <w:bCs/>
        </w:rPr>
        <w:t>INTRODUCTION</w:t>
      </w:r>
      <w:commentRangeEnd w:id="3"/>
      <w:r>
        <w:commentReference w:id="3"/>
      </w:r>
    </w:p>
    <w:p w14:paraId="66878B94"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Maritime education stands as a cornerstone in the development of competent seafarers who are equipped with the necessary knowledge and skills to navigate the complexities of the maritime industry</w:t>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author":[{"dropping-particle":"","family":"Neilson","given":"Brett","non-dropping-particle":"","parse-names":false,"suffix":""},{"dropping-particle":"","family":"Rossiter","given":"Ned","non-dropping-particle":"","parse-names":false,"suffix":""}],"container-title":"Stillness in a mobile world","id":"ITEM-1","issued":{"date-parts":[["2013"]]},"page":"51-68","publisher":"Routledge","title":"Still waiting, still moving: On labour, logistics and maritime industries","type":"chapter"},"uris":["http://www.mendeley.com/documents/?uuid=e4b2b77e-b511-437b-bfd8-892e60ceb485"]},{"id":"ITEM-2","itemData":{"ISSN":"2452-414X","author":[{"dropping-particle":"","family":"la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Integration","id":"ITEM-2","issued":{"date-parts":[["2020"]]},"page":"100173","publisher":"Elsevier","title":"Industry 4.0 in the port and maritime industry: A literature review","type":"article-journal","volume":"20"},"uris":["http://www.mendeley.com/documents/?uuid=6348d57a-c220-4840-89d9-ff5189fa641f"]}],"mendeley":{"formattedCitation":"[1], [2]","plainTextFormattedCitation":"[1], [2]","previouslyFormattedCitation":"(de la Peña Zarzuelo et al., 2020; Neilson &amp; Rossiter, 2013)"},"properties":{"noteIndex":0},"schema":"https://github.com/citation-style-language/schema/raw/master/csl-citation.json"}</w:instrText>
      </w:r>
      <w:r>
        <w:rPr>
          <w:rFonts w:ascii="Times New Roman" w:eastAsia="Calibri" w:hAnsi="Times New Roman" w:cs="Times New Roman"/>
          <w:bCs/>
        </w:rPr>
        <w:fldChar w:fldCharType="separate"/>
      </w:r>
      <w:r>
        <w:rPr>
          <w:rFonts w:ascii="Times New Roman" w:eastAsia="Calibri" w:hAnsi="Times New Roman" w:cs="Times New Roman"/>
          <w:bCs/>
        </w:rPr>
        <w:t>[1], [2]</w:t>
      </w:r>
      <w:r>
        <w:rPr>
          <w:rFonts w:ascii="Times New Roman" w:eastAsia="Calibri" w:hAnsi="Times New Roman" w:cs="Times New Roman"/>
          <w:bCs/>
        </w:rPr>
        <w:fldChar w:fldCharType="end"/>
      </w:r>
      <w:r>
        <w:rPr>
          <w:rFonts w:ascii="Times New Roman" w:eastAsia="Calibri" w:hAnsi="Times New Roman" w:cs="Times New Roman"/>
          <w:bCs/>
          <w:lang w:val="zh-CN"/>
        </w:rPr>
        <w:t>. Rooted in international standards set forth by esteemed organizations such as the International Maritime Organization (IMO) and the Standards of Training, Certification, and Watchkeeping for Seafarers (STCW), maritime education serves as a conduit for ensuring safety, efficiency, and compliance within the maritime domain</w:t>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examinations","type":"book"},"uris":["http://www.mendeley.com/documents/?uuid=df3436ef-f62f-472e-9711-aa0119512366"]}],"mendeley":{"formattedCitation":"[3]","plainTextFormattedCitation":"[3]","previouslyFormattedCitation":"(House &amp; Saeed, 2016)"},"properties":{"noteIndex":0},"schema":"https://github.com/citation-style-language/schema/raw/master/csl-citation.json"}</w:instrText>
      </w:r>
      <w:r>
        <w:rPr>
          <w:rFonts w:ascii="Times New Roman" w:eastAsia="Calibri" w:hAnsi="Times New Roman" w:cs="Times New Roman"/>
          <w:bCs/>
        </w:rPr>
        <w:fldChar w:fldCharType="separate"/>
      </w:r>
      <w:r>
        <w:rPr>
          <w:rFonts w:ascii="Times New Roman" w:eastAsia="Calibri" w:hAnsi="Times New Roman" w:cs="Times New Roman"/>
          <w:bCs/>
        </w:rPr>
        <w:t>[3]</w:t>
      </w:r>
      <w:r>
        <w:rPr>
          <w:rFonts w:ascii="Times New Roman" w:eastAsia="Calibri" w:hAnsi="Times New Roman" w:cs="Times New Roman"/>
          <w:bCs/>
        </w:rPr>
        <w:fldChar w:fldCharType="end"/>
      </w:r>
      <w:r>
        <w:rPr>
          <w:rFonts w:ascii="Times New Roman" w:eastAsia="Calibri" w:hAnsi="Times New Roman" w:cs="Times New Roman"/>
          <w:bCs/>
          <w:lang w:val="zh-CN"/>
        </w:rPr>
        <w:t xml:space="preserve">. As a researcher and lecturer immersed in the realm of maritime education, </w:t>
      </w:r>
      <w:r>
        <w:rPr>
          <w:rFonts w:ascii="Times New Roman" w:eastAsia="Calibri" w:hAnsi="Times New Roman" w:cs="Times New Roman"/>
          <w:bCs/>
        </w:rPr>
        <w:t>this</w:t>
      </w:r>
      <w:r>
        <w:rPr>
          <w:rFonts w:ascii="Times New Roman" w:eastAsia="Calibri" w:hAnsi="Times New Roman" w:cs="Times New Roman"/>
          <w:bCs/>
          <w:lang w:val="zh-CN"/>
        </w:rPr>
        <w:t xml:space="preserve"> academic pursuits are dedicated to unraveling the intricate dynamics between international standards and their impact on the educational landscape, particularly focusing on the perspectives of junior cadets undergoing training in maritime institutes, private maritime institutes, and vocational institutions.</w:t>
      </w:r>
      <w:r>
        <w:rPr>
          <w:rFonts w:ascii="Times New Roman" w:eastAsia="Calibri" w:hAnsi="Times New Roman" w:cs="Times New Roman"/>
          <w:bCs/>
        </w:rPr>
        <w:t xml:space="preserve"> </w:t>
      </w:r>
      <w:r>
        <w:rPr>
          <w:rFonts w:ascii="Times New Roman" w:eastAsia="Calibri" w:hAnsi="Times New Roman" w:cs="Times New Roman"/>
          <w:bCs/>
          <w:lang w:val="zh-CN"/>
        </w:rPr>
        <w:t xml:space="preserve">The background of this research is set against the background of a rapidly </w:t>
      </w:r>
      <w:r>
        <w:rPr>
          <w:rFonts w:ascii="Times New Roman" w:eastAsia="Calibri" w:hAnsi="Times New Roman" w:cs="Times New Roman"/>
          <w:bCs/>
          <w:lang w:val="zh-CN"/>
        </w:rPr>
        <w:t>evolving maritime industry, characterized by technological advancements, regulatory reforms, and globalized trade networks. In this context, the significance of adhering to international standards in maritime education cannot be overstated. These standards serve as guiding principles, dictating the curriculum, training methodologies, and competency frameworks implemented within educational institutions catering to aspiring seafarers</w:t>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{"citationItems":[{"id":"ITEM-1","itemData":{"ISSN":"2083-6473","author":[{"dropping-particle":"","family":"Mori","given":"Y","non-dropping-particle":"","parse-names":false,"suffix":""},{"dropping-particle":"","family":"Manuel","given":"M E","non-dropping-particle":"","parse-names":false,"suffix":""}],"container-title":"TransNav: International Journal on Marine Navigation &amp; Safety of Sea Transportation","id":"ITEM-1","issue":"4","issued":{"date-parts":[["2023"]]},"title":"An Exploration of the Theoretical Foundations of Onboard Seafarer Training: A Systematic Review of the Literature.","type":"article-journal","volume":"17"},"uris":["http://www.mendeley.com/documents/?uuid=e39eaad6-4ab2-4b53-a072-3a0c62b3d2ea"]}],"mendeley":{"formattedCitation":"[4]","plainTextFormattedCitation":"[4]","previouslyFormattedCitation":"(Mori &amp; Manuel, 2023)"},"properties":{"noteIndex":0},"schema":"https://github.com/citation-style-language/schema/raw/master/csl-citation.json"}</w:instrText>
      </w:r>
      <w:r>
        <w:rPr>
          <w:rFonts w:ascii="Times New Roman" w:eastAsia="Calibri" w:hAnsi="Times New Roman" w:cs="Times New Roman"/>
          <w:bCs/>
        </w:rPr>
        <w:fldChar w:fldCharType="separate"/>
      </w:r>
      <w:r>
        <w:rPr>
          <w:rFonts w:ascii="Times New Roman" w:eastAsia="Calibri" w:hAnsi="Times New Roman" w:cs="Times New Roman"/>
          <w:bCs/>
        </w:rPr>
        <w:t>[4]</w:t>
      </w:r>
      <w:r>
        <w:rPr>
          <w:rFonts w:ascii="Times New Roman" w:eastAsia="Calibri" w:hAnsi="Times New Roman" w:cs="Times New Roman"/>
          <w:bCs/>
        </w:rPr>
        <w:fldChar w:fldCharType="end"/>
      </w:r>
      <w:r>
        <w:rPr>
          <w:rFonts w:ascii="Times New Roman" w:eastAsia="Calibri" w:hAnsi="Times New Roman" w:cs="Times New Roman"/>
          <w:bCs/>
          <w:lang w:val="zh-CN"/>
        </w:rPr>
        <w:t>. At the forefront of these standards lie the mandates outlined by the IMO and STCW, which seek to harmonize maritime practices, enhance safety protocols, and ensure the proficiency of seafaring professionals on a global scale.</w:t>
      </w:r>
    </w:p>
    <w:p w14:paraId="79029477"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 xml:space="preserve">Aligned with the overarching objective of enhancing maritime safety and efficiency, the purpose of this research is multifaceted. Firstly, it aims to delve into the nuanced perspectives of 45 junior cadets undergoing maritime training, elucidating their perceptions, experiences, and challenges concerning the implementation of </w:t>
      </w:r>
      <w:r>
        <w:rPr>
          <w:rFonts w:ascii="Times New Roman" w:eastAsia="Calibri" w:hAnsi="Times New Roman" w:cs="Times New Roman"/>
          <w:bCs/>
          <w:lang w:val="zh-CN"/>
        </w:rPr>
        <w:lastRenderedPageBreak/>
        <w:t>international standards within their educational milieu. Through qualitative inquiry, this study seeks to unravel the intricate interplay between standardized curricula and the practical realities encountered by junior cadets as they navigate through their educational journey</w:t>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{"citationItems":[{"id":"ITEM-1","itemData":{"author":[{"dropping-particle":"","family":"Abila","given":"Sanley S","non-dropping-particle":"","parse-names":false,"suffix":""}],"id":"ITEM-1","issued":{"date-parts":[["2016"]]},"publisher":"Cardiff University","title":"The occupational socialisation of merchant marine cadets in the Philippines.","type":"article"},"uris":["http://www.mendeley.com/documents/?uuid=b8aabb5b-7ac1-4525-a3b4-23bd221ad97d"]}],"mendeley":{"formattedCitation":"[5]","plainTextFormattedCitation":"[5]","previouslyFormattedCitation":"(Abila, 2016)"},"properties":{"noteIndex":0},"schema":"https://github.com/citation-style-language/schema/raw/master/csl-citation.json"}</w:instrText>
      </w:r>
      <w:r>
        <w:rPr>
          <w:rFonts w:ascii="Times New Roman" w:eastAsia="Calibri" w:hAnsi="Times New Roman" w:cs="Times New Roman"/>
          <w:bCs/>
        </w:rPr>
        <w:fldChar w:fldCharType="separate"/>
      </w:r>
      <w:r>
        <w:rPr>
          <w:rFonts w:ascii="Times New Roman" w:eastAsia="Calibri" w:hAnsi="Times New Roman" w:cs="Times New Roman"/>
          <w:bCs/>
        </w:rPr>
        <w:t>[5]</w:t>
      </w:r>
      <w:r>
        <w:rPr>
          <w:rFonts w:ascii="Times New Roman" w:eastAsia="Calibri" w:hAnsi="Times New Roman" w:cs="Times New Roman"/>
          <w:bCs/>
        </w:rPr>
        <w:fldChar w:fldCharType="end"/>
      </w:r>
      <w:r>
        <w:rPr>
          <w:rFonts w:ascii="Times New Roman" w:eastAsia="Calibri" w:hAnsi="Times New Roman" w:cs="Times New Roman"/>
          <w:bCs/>
          <w:lang w:val="zh-CN"/>
        </w:rPr>
        <w:t>. By adopting a descriptive analysis approach, this research endeavors to provide a comprehensive understanding of the efficacy of international standards in maritime education, shedding light on both the successes and shortcomings inherent in their implementation.</w:t>
      </w:r>
      <w:r>
        <w:rPr>
          <w:rFonts w:ascii="Times New Roman" w:eastAsia="Calibri" w:hAnsi="Times New Roman" w:cs="Times New Roman"/>
          <w:bCs/>
        </w:rPr>
        <w:t xml:space="preserve"> </w:t>
      </w:r>
      <w:r>
        <w:rPr>
          <w:rFonts w:ascii="Times New Roman" w:eastAsia="Calibri" w:hAnsi="Times New Roman" w:cs="Times New Roman"/>
          <w:bCs/>
          <w:lang w:val="zh-CN"/>
        </w:rPr>
        <w:t>Furthermore, this research aspires to contribute to the broader discourse surrounding the optimization of maritime education in alignment with international standards. By offering insights gleaned from the firsthand experiences of junior cadets, this study aims to inform educational institutions, policymakers, and industry stakeholders about the pragmatic implications of adhering to international standards. Through critical reflection and academic inquiry, this research seeks to identify areas for improvement, propose innovative pedagogical approaches, and advocate for continuous refinement of maritime education frameworks to meet the evolving demands of the industry</w:t>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{"citationItems":[{"id":"ITEM-1","itemData":{"ISSN":"0925-7535","author":[{"dropping-particle":"","family":"Bergheim","given":"Kjersti","non-dropping-particle":"","parse-names":false,"suffix":""},{"dropping-particle":"","family":"Nielsen","given":"Morten Birkeland","non-dropping-particle":"","parse-names":false,"suffix":""},{"dropping-particle":"","family":"Mearns","given":"Kathryn","non-dropping-particle":"","parse-names":false,"suffix":""},{"dropping-particle":"","family":"Eid","given":"Jarle","non-dropping-particle":"","parse-names":false,"suffix":""}],"container-title":"Safety science","id":"ITEM-1","issued":{"date-parts":[["2015"]]},"page":"27-36","publisher":"Elsevier","title":"The relationship between psychological capital, job satisfaction, and safety perceptions in the maritime industry","type":"article-journal","volume":"74"},"uris":["http://www.mendeley.com/documents/?uuid=93e947dc-2915-41d6-83ec-4f7a8679d97e"]},{"id":"ITEM-2","itemData":{"ISSN":"2168-1015","author":[{"dropping-particle":"","family":"Tseng","given":"Ming-Lang","non-dropping-particle":"","parse-names":false,"suffix":""},{"dropping-particle":"","family":"Tran","given":"Thi Phuong Thuy","non-dropping-particle":"","parse-names":false,"suffix":""},{"dropping-particle":"","family":"Ha","given":"Hien Minh","non-dropping-particle":"","parse-names":false,"suffix":""},{"dropping-particle":"","family":"Bui","given":"Tat-Dat","non-dropping-particle":"","parse-names":false,"suffix":""},{"dropping-particle":"","family":"Lim","given":"Ming K","non-dropping-particle":"","parse-names":false,"suffix":""}],"container-title":"Journal of Industrial and Production Engineering","id":"ITEM-2","issue":"8","issued":{"date-parts":[["2021"]]},"page":"581-598","publisher":"Taylor &amp; Francis","title":"Sustainable industrial and operation engineering trends and challenges Toward Industry 4.0: A data driven analysis","type":"article-journal","volume":"38"},"uris":["http://www.mendeley.com/documents/?uuid=f7fa1ea7-fb37-4b18-b0ad-10823ed26152"]}],"mendeley":{"formattedCitation":"[6], [7]","plainTextFormattedCitation":"[6], [7]","previouslyFormattedCitation":"(Bergheim et al., 2015; Tseng et al., 2021)"},"properties":{"noteIndex":0},"schema":"https://github.com/citation-style-language/schema/raw/master/csl-citation.json"}</w:instrText>
      </w:r>
      <w:r>
        <w:rPr>
          <w:rFonts w:ascii="Times New Roman" w:eastAsia="Calibri" w:hAnsi="Times New Roman" w:cs="Times New Roman"/>
          <w:bCs/>
        </w:rPr>
        <w:fldChar w:fldCharType="separate"/>
      </w:r>
      <w:r>
        <w:rPr>
          <w:rFonts w:ascii="Times New Roman" w:eastAsia="Calibri" w:hAnsi="Times New Roman" w:cs="Times New Roman"/>
          <w:bCs/>
        </w:rPr>
        <w:t>[6], [7]</w:t>
      </w:r>
      <w:r>
        <w:rPr>
          <w:rFonts w:ascii="Times New Roman" w:eastAsia="Calibri" w:hAnsi="Times New Roman" w:cs="Times New Roman"/>
          <w:bCs/>
        </w:rPr>
        <w:fldChar w:fldCharType="end"/>
      </w:r>
      <w:r>
        <w:rPr>
          <w:rFonts w:ascii="Times New Roman" w:eastAsia="Calibri" w:hAnsi="Times New Roman" w:cs="Times New Roman"/>
          <w:bCs/>
          <w:lang w:val="zh-CN"/>
        </w:rPr>
        <w:t>.</w:t>
      </w:r>
    </w:p>
    <w:p w14:paraId="7306820D"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Moreover, this research holds implications for the professional development and career trajectories of junior cadets aspiring to embark on seafaring professions. By examining the nexus between international standards and educational outcomes, this study aims to empower junior cadets with the requisite knowledge and awareness to navigate the complexities of the maritime industry with confidence and competence</w:t>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{"citationItems":[{"id":"ITEM-1","itemData":{"ISSN":"8272067846","author":[{"dropping-particle":"","family":"Sharma","given":"Amit","non-dropping-particle":"","parse-names":false,"suffix":""}],"id":"ITEM-1","issued":{"date-parts":[["2023"]]},"publisher":"University of South-Eastern Norway","title":"Potential of technology supported competence development for Maritime Education and Training","type":"article-journal"},"uris":["http://www.mendeley.com/documents/?uuid=33545929-dd9c-432d-b36c-5769b2e929e1"]}],"mendeley":{"formattedCitation":"[8]","plainTextFormattedCitation":"[8]","previouslyFormattedCitation":"(Sharma, 2023)"},"properties":{"noteIndex":0},"schema":"https://github.com/citation-style-language/schema/raw/master/csl-citation.json"}</w:instrText>
      </w:r>
      <w:r>
        <w:rPr>
          <w:rFonts w:ascii="Times New Roman" w:eastAsia="Calibri" w:hAnsi="Times New Roman" w:cs="Times New Roman"/>
          <w:bCs/>
        </w:rPr>
        <w:fldChar w:fldCharType="separate"/>
      </w:r>
      <w:r>
        <w:rPr>
          <w:rFonts w:ascii="Times New Roman" w:eastAsia="Calibri" w:hAnsi="Times New Roman" w:cs="Times New Roman"/>
          <w:bCs/>
        </w:rPr>
        <w:t>[8]</w:t>
      </w:r>
      <w:r>
        <w:rPr>
          <w:rFonts w:ascii="Times New Roman" w:eastAsia="Calibri" w:hAnsi="Times New Roman" w:cs="Times New Roman"/>
          <w:bCs/>
        </w:rPr>
        <w:fldChar w:fldCharType="end"/>
      </w:r>
      <w:r>
        <w:rPr>
          <w:rFonts w:ascii="Times New Roman" w:eastAsia="Calibri" w:hAnsi="Times New Roman" w:cs="Times New Roman"/>
          <w:bCs/>
          <w:lang w:val="zh-CN"/>
        </w:rPr>
        <w:t>. By fostering a deeper understanding of the rationale behind international standards, this research endeavors to instill a sense of accountability, professionalism, and commitment to lifelong learning among aspiring seafarers, thereby contributing to the cultivation of a skilled and resilient maritime workforce capable of addressing the challenges and opportunities of the 21st-century maritime landscape.</w:t>
      </w:r>
      <w:r>
        <w:rPr>
          <w:rFonts w:ascii="Times New Roman" w:eastAsia="Calibri" w:hAnsi="Times New Roman" w:cs="Times New Roman"/>
          <w:bCs/>
        </w:rPr>
        <w:t xml:space="preserve"> T</w:t>
      </w:r>
      <w:r>
        <w:rPr>
          <w:rFonts w:ascii="Times New Roman" w:eastAsia="Calibri" w:hAnsi="Times New Roman" w:cs="Times New Roman"/>
          <w:bCs/>
          <w:lang w:val="zh-CN"/>
        </w:rPr>
        <w:t>his research embarks on a journey to explore the impact of international standards on maritime education through the lens of junior cadets, with the overarching goal of fostering safety, efficiency, and excellence within the maritime domain. By delving into the intricacies of standardized curricula, this study endeavors to unravel the complexities inherent in maritime education, offering insights that resonate with educators, policymakers, industry stakeholders, and aspiring seafarers alike</w:t>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{"citationItems":[{"id":"ITEM-1","itemData":{"ISSN":"2083-6473","author":[{"dropping-particle":"","family":"Mori","given":"Y","non-dropping-particle":"","parse-names":false,"suffix":""},{"dropping-particle":"","family":"Manuel","given":"M E","non-dropping-particle":"","parse-names":false,"suffix":""}],"container-title":"TransNav: International Journal on Marine Navigation &amp; Safety of Sea Transportation","id":"ITEM-1","issue":"4","issued":{"date-parts":[["2023"]]},"title":"An Exploration of the Theoretical Foundations of Onboard Seafarer Training: A Systematic Review of the Literature.","type":"article-journal","volume":"17"},"uris":["http://www.mendeley.com/documents/?uuid=e39eaad6-4ab2-4b53-a072-3a0c62b3d2ea"]}],"mendeley":{"formattedCitation":"[4]","plainTextFormattedCitation":"[4]","previouslyFormattedCitation":"(Mori &amp; Manuel, 2023)"},"properties":{"noteIndex":0},"schema":"https://github.com/citation-style-language/schema/raw/master/csl-citation.json"}</w:instrText>
      </w:r>
      <w:r>
        <w:rPr>
          <w:rFonts w:ascii="Times New Roman" w:eastAsia="Calibri" w:hAnsi="Times New Roman" w:cs="Times New Roman"/>
          <w:bCs/>
        </w:rPr>
        <w:fldChar w:fldCharType="separate"/>
      </w:r>
      <w:r>
        <w:rPr>
          <w:rFonts w:ascii="Times New Roman" w:eastAsia="Calibri" w:hAnsi="Times New Roman" w:cs="Times New Roman"/>
          <w:bCs/>
        </w:rPr>
        <w:t>[4]</w:t>
      </w:r>
      <w:r>
        <w:rPr>
          <w:rFonts w:ascii="Times New Roman" w:eastAsia="Calibri" w:hAnsi="Times New Roman" w:cs="Times New Roman"/>
          <w:bCs/>
        </w:rPr>
        <w:fldChar w:fldCharType="end"/>
      </w:r>
      <w:r>
        <w:rPr>
          <w:rFonts w:ascii="Times New Roman" w:eastAsia="Calibri" w:hAnsi="Times New Roman" w:cs="Times New Roman"/>
          <w:bCs/>
          <w:lang w:val="zh-CN"/>
        </w:rPr>
        <w:t xml:space="preserve">. Through rigorous academic inquiry and qualitative analysis, this research aspires to catalyze meaningful dialogue, drive informed decision-making, and propel the </w:t>
      </w:r>
      <w:r>
        <w:rPr>
          <w:rFonts w:ascii="Times New Roman" w:eastAsia="Calibri" w:hAnsi="Times New Roman" w:cs="Times New Roman"/>
          <w:bCs/>
          <w:lang w:val="zh-CN"/>
        </w:rPr>
        <w:t>maritime education landscape towards continuous improvement and innovation.</w:t>
      </w:r>
    </w:p>
    <w:p w14:paraId="5BB8316B" w14:textId="77777777" w:rsidR="00671534" w:rsidRDefault="00671534">
      <w:pPr>
        <w:autoSpaceDE w:val="0"/>
        <w:autoSpaceDN w:val="0"/>
        <w:adjustRightInd w:val="0"/>
        <w:spacing w:after="0" w:line="240" w:lineRule="auto"/>
        <w:ind w:firstLine="426"/>
        <w:jc w:val="both"/>
        <w:rPr>
          <w:rFonts w:ascii="Times New Roman" w:eastAsia="Calibri" w:hAnsi="Times New Roman" w:cs="Times New Roman"/>
          <w:bCs/>
        </w:rPr>
      </w:pPr>
    </w:p>
    <w:p w14:paraId="444CCA16" w14:textId="77777777" w:rsidR="00671534" w:rsidRDefault="00000000">
      <w:pPr>
        <w:pStyle w:val="ListParagraph"/>
        <w:numPr>
          <w:ilvl w:val="0"/>
          <w:numId w:val="3"/>
        </w:numPr>
        <w:autoSpaceDE w:val="0"/>
        <w:autoSpaceDN w:val="0"/>
        <w:adjustRightInd w:val="0"/>
        <w:spacing w:after="0" w:line="240" w:lineRule="auto"/>
        <w:ind w:left="426" w:hanging="426"/>
        <w:rPr>
          <w:rFonts w:ascii="Times New Roman" w:eastAsia="Calibri" w:hAnsi="Times New Roman" w:cs="Times New Roman"/>
          <w:b/>
          <w:bCs/>
        </w:rPr>
      </w:pPr>
      <w:commentRangeStart w:id="4"/>
      <w:r>
        <w:rPr>
          <w:rFonts w:ascii="Times New Roman" w:eastAsia="Calibri" w:hAnsi="Times New Roman" w:cs="Times New Roman"/>
          <w:b/>
          <w:bCs/>
          <w:lang w:val="en-US"/>
        </w:rPr>
        <w:t>MET</w:t>
      </w:r>
      <w:r>
        <w:rPr>
          <w:rFonts w:ascii="Times New Roman" w:eastAsia="Calibri" w:hAnsi="Times New Roman" w:cs="Times New Roman"/>
          <w:b/>
          <w:bCs/>
        </w:rPr>
        <w:t>HOD</w:t>
      </w:r>
      <w:r>
        <w:rPr>
          <w:rFonts w:ascii="Times New Roman" w:eastAsia="Calibri" w:hAnsi="Times New Roman" w:cs="Times New Roman"/>
          <w:b/>
          <w:bCs/>
        </w:rPr>
        <w:tab/>
      </w:r>
      <w:commentRangeEnd w:id="4"/>
      <w:r>
        <w:commentReference w:id="4"/>
      </w:r>
    </w:p>
    <w:p w14:paraId="5B5F7A49"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The qualitative research methodology employed in this study seeks to explore the impact of international standards on maritime education through in-depth inquiry and analysis of the perspectives of 45 junior cadets undergoing training in maritime institutes, private maritime institutes, and vocational institutions. By adopting a qualitative approach, this research aims to uncover the nuanced insights, experiences, and perceptions of junior cadets regarding the implementation of international standards within their educational milieu, thereby offering rich, contextualized data that transcend mere numerical metrics.</w:t>
      </w:r>
      <w:r>
        <w:rPr>
          <w:rFonts w:ascii="Times New Roman" w:eastAsia="Calibri" w:hAnsi="Times New Roman" w:cs="Times New Roman"/>
          <w:bCs/>
        </w:rPr>
        <w:t xml:space="preserve"> </w:t>
      </w:r>
      <w:r>
        <w:rPr>
          <w:rFonts w:ascii="Times New Roman" w:eastAsia="Calibri" w:hAnsi="Times New Roman" w:cs="Times New Roman"/>
          <w:bCs/>
          <w:lang w:val="zh-CN"/>
        </w:rPr>
        <w:t>Central to the qualitative research design is the utilization of semi-structured interviews as the primary data collection method</w:t>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id":"ITEM-2","itemData":{"ISSN":"0141-8211","author":[{"dropping-particle":"","family":"Yilmaz","given":"Kaya","non-dropping-particle":"","parse-names":false,"suffix":""}],"container-title":"European journal of education","id":"ITEM-2","issue":"2","issued":{"date-parts":[["2013"]]},"page":"311-325","publisher":"Wiley Online Library","title":"Comparison of quantitative and qualitative research traditions: Epistemological, theoretical, and methodological differences","type":"article-journal","volume":"48"},"uris":["http://www.mendeley.com/documents/?uuid=339971ef-5a98-4e4f-87c1-cced7045aa9c"]}],"mendeley":{"formattedCitation":"[9], [10]","plainTextFormattedCitation":"[9], [10]","previouslyFormattedCitation":"(Creswell &amp; Clark, 2011; Yilmaz, 2013)"},"properties":{"noteIndex":0},"schema":"https://github.com/citation-style-language/schema/raw/master/csl-citation.json"}</w:instrText>
      </w:r>
      <w:r>
        <w:rPr>
          <w:rFonts w:ascii="Times New Roman" w:eastAsia="Calibri" w:hAnsi="Times New Roman" w:cs="Times New Roman"/>
          <w:bCs/>
        </w:rPr>
        <w:fldChar w:fldCharType="separate"/>
      </w:r>
      <w:r>
        <w:rPr>
          <w:rFonts w:ascii="Times New Roman" w:eastAsia="Calibri" w:hAnsi="Times New Roman" w:cs="Times New Roman"/>
          <w:bCs/>
        </w:rPr>
        <w:t>[9], [10]</w:t>
      </w:r>
      <w:r>
        <w:rPr>
          <w:rFonts w:ascii="Times New Roman" w:eastAsia="Calibri" w:hAnsi="Times New Roman" w:cs="Times New Roman"/>
          <w:bCs/>
        </w:rPr>
        <w:fldChar w:fldCharType="end"/>
      </w:r>
      <w:r>
        <w:rPr>
          <w:rFonts w:ascii="Times New Roman" w:eastAsia="Calibri" w:hAnsi="Times New Roman" w:cs="Times New Roman"/>
          <w:bCs/>
          <w:lang w:val="zh-CN"/>
        </w:rPr>
        <w:t>. Semi-structured interviews provide a flexible yet systematic framework for engaging participants in open-ended dialogue, allowing for the exploration of diverse viewpoints, narratives, and experiences related to the research topic. The interview protocol is designed to elicit responses pertaining to various dimensions of maritime education, including the alignment with international standards, curriculum content, instructional methodologies, practical training experiences, and perceived challenges and opportunities.</w:t>
      </w:r>
    </w:p>
    <w:p w14:paraId="78E32187"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The selection of participants for the study involves purposive sampling, whereby junior cadets currently enrolled in maritime education programs are invited to participate based on their willingness and availability</w:t>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{"citationItems":[{"id":"ITEM-1","itemData":{"ISBN":"1544391498","author":[{"dropping-particle":"","family":"Chilisa","given":"Bagele","non-dropping-particle":"","parse-names":false,"suffix":""}],"id":"ITEM-1","issued":{"date-parts":[["2019"]]},"publisher":"Sage publications","title":"Indigenous research methodologies","type":"book"},"uris":["http://www.mendeley.com/documents/?uuid=74f4bc07-7219-4b63-b05b-138ed7da3aa6"]}],"mendeley":{"formattedCitation":"[11]","plainTextFormattedCitation":"[11]","previouslyFormattedCitation":"(Chilisa, 2019)"},"properties":{"noteIndex":0},"schema":"https://github.com/citation-style-language/schema/raw/master/csl-citation.json"}</w:instrText>
      </w:r>
      <w:r>
        <w:rPr>
          <w:rFonts w:ascii="Times New Roman" w:eastAsia="Calibri" w:hAnsi="Times New Roman" w:cs="Times New Roman"/>
          <w:bCs/>
        </w:rPr>
        <w:fldChar w:fldCharType="separate"/>
      </w:r>
      <w:r>
        <w:rPr>
          <w:rFonts w:ascii="Times New Roman" w:eastAsia="Calibri" w:hAnsi="Times New Roman" w:cs="Times New Roman"/>
          <w:bCs/>
        </w:rPr>
        <w:t>[11]</w:t>
      </w:r>
      <w:r>
        <w:rPr>
          <w:rFonts w:ascii="Times New Roman" w:eastAsia="Calibri" w:hAnsi="Times New Roman" w:cs="Times New Roman"/>
          <w:bCs/>
        </w:rPr>
        <w:fldChar w:fldCharType="end"/>
      </w:r>
      <w:r>
        <w:rPr>
          <w:rFonts w:ascii="Times New Roman" w:eastAsia="Calibri" w:hAnsi="Times New Roman" w:cs="Times New Roman"/>
          <w:bCs/>
          <w:lang w:val="zh-CN"/>
        </w:rPr>
        <w:t>. Given the specific focus of the research on international standards in maritime education, participants are recruited from diverse educational institutions that adhere to recognized international frameworks such as the IMO and STCW</w:t>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{"citationItems":[{"id":"ITEM-1","itemData":{"author":[{"dropping-particle":"","family":"Schriever","given":"Ulf Georg","non-dropping-particle":"","parse-names":false,"suffix":""}],"id":"ITEM-1","issued":{"date-parts":[["2008"]]},"publisher":"University of Tasmania","title":"Maritime communication in an international and intercultural discourse","type":"article"},"uris":["http://www.mendeley.com/documents/?uuid=c2e82811-52ee-4093-a3e3-bddaf2a9126f"]},{"id":"ITEM-2","itemData":{"author":[{"dropping-particle":"","family":"Balkin","given":"Rosalie","non-dropping-particle":"","parse-names":false,"suffix":""}],"container-title":"Tul. Mar. LJ","id":"ITEM-2","issued":{"date-parts":[["2006"]]},"page":"1","publisher":"HeinOnline","title":"The international maritime organization and maritime security","type":"article-journal","volume":"30"},"uris":["http://www.mendeley.com/documents/?uuid=134e1788-c331-4870-aecf-9459e526391d"]},{"id":"ITEM-3","itemData":{"ISBN":"1317199995","author":[{"dropping-particle":"","family":"House","given":"David","non-dropping-particle":"","parse-names":false,"suffix":""},{"dropping-particle":"","family":"Saeed","given":"Farhan","non-dropping-particle":"","parse-names":false,"suffix":""}],"id":"ITEM-3","issued":{"date-parts":[["2016"]]},"publisher":"Taylor &amp; Francis","title":"The seamanship examiner: for STCW certification examinations","type":"book"},"uris":["http://www.mendeley.com/documents/?uuid=df3436ef-f62f-472e-9711-aa0119512366"]}],"mendeley":{"formattedCitation":"[3], [12], [13]","plainTextFormattedCitation":"[3], [12], [13]","previouslyFormattedCitation":"(Balkin, 2006; House &amp; Saeed, 2016; Schriever, 2008)"},"properties":{"noteIndex":0},"schema":"https://github.com/citation-style-language/schema/raw/master/csl-citation.json"}</w:instrText>
      </w:r>
      <w:r>
        <w:rPr>
          <w:rFonts w:ascii="Times New Roman" w:eastAsia="Calibri" w:hAnsi="Times New Roman" w:cs="Times New Roman"/>
          <w:bCs/>
        </w:rPr>
        <w:fldChar w:fldCharType="separate"/>
      </w:r>
      <w:r>
        <w:rPr>
          <w:rFonts w:ascii="Times New Roman" w:eastAsia="Calibri" w:hAnsi="Times New Roman" w:cs="Times New Roman"/>
          <w:bCs/>
        </w:rPr>
        <w:t>[3], [12], [13]</w:t>
      </w:r>
      <w:r>
        <w:rPr>
          <w:rFonts w:ascii="Times New Roman" w:eastAsia="Calibri" w:hAnsi="Times New Roman" w:cs="Times New Roman"/>
          <w:bCs/>
        </w:rPr>
        <w:fldChar w:fldCharType="end"/>
      </w:r>
      <w:r>
        <w:rPr>
          <w:rFonts w:ascii="Times New Roman" w:eastAsia="Calibri" w:hAnsi="Times New Roman" w:cs="Times New Roman"/>
          <w:bCs/>
          <w:lang w:val="zh-CN"/>
        </w:rPr>
        <w:t>. This ensures a heterogeneous sample that encompasses a range of perspectives, backgrounds, and experiences, thereby enriching the depth and breadth of the data collected.</w:t>
      </w:r>
      <w:r>
        <w:rPr>
          <w:rFonts w:ascii="Times New Roman" w:eastAsia="Calibri" w:hAnsi="Times New Roman" w:cs="Times New Roman"/>
          <w:bCs/>
        </w:rPr>
        <w:t xml:space="preserve"> </w:t>
      </w:r>
      <w:r>
        <w:rPr>
          <w:rFonts w:ascii="Times New Roman" w:eastAsia="Calibri" w:hAnsi="Times New Roman" w:cs="Times New Roman"/>
          <w:bCs/>
          <w:lang w:val="zh-CN"/>
        </w:rPr>
        <w:t>Data collection is conducted through face-to-face interviews conducted either in person or via digital platforms, depending on logistical constraints and participant preferences. Each interview session is guided by a semi-structured interview guide developed in advance by the researcher, comprising a series of open-ended questions designed to probe participants' perceptions, experiences, and reflections on the impact of international standards on their maritime education journey. The interview process is characterized by active listening, probing, and rapport-building techniques aimed at fostering a conducive environment for candid and reflective discourse.</w:t>
      </w:r>
    </w:p>
    <w:p w14:paraId="3C8A1E2C"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lastRenderedPageBreak/>
        <w:t>In addition to semi-structured interviews, supplementary data collection methods such as participant observation and document analysis may be employed to triangulate and contextualize the findings. Participant observation involves the researcher immersing themselves in the educational environment, attending classes, practical training sessions, and other activities alongside the junior cadets to gain firsthand insights into the dynamics of maritime education. Document analysis, on the other hand, entails the review and examination of relevant educational materials, curricula, policies, and institutional documents to provide additional context and corroborate the interview data</w:t>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ISSN":"1360-7804","author":[{"dropping-particle":"","family":"Iacono","given":"Valeria","non-dropping-particle":"Lo","parse-names":false,"suffix":""},{"dropping-particle":"","family":"Symonds","given":"Paul","non-dropping-particle":"","parse-names":false,"suffix":""},{"dropping-particle":"","family":"Brown","given":"David H K","non-dropping-particle":"","parse-names":false,"suffix":""}],"container-title":"Sociological research online","id":"ITEM-1","issue":"2","issued":{"date-parts":[["2016"]]},"page":"103-117","publisher":"SAGE Publications Sage UK: London, England","title":"Skype as a tool for qualitative research interviews","type":"article-journal","volume":"21"},"uris":["http://www.mendeley.com/documents/?uuid=02dd0d8d-7ad1-4437-9cec-d30e02dca0e0"]}],"mendeley":{"formattedCitation":"[14]","plainTextFormattedCitation":"[14]","previouslyFormattedCitation":"(Lo Iacono et al., 2016)"},"properties":{"noteIndex":0},"schema":"https://github.com/citation-style-language/schema/raw/master/csl-citation.json"}</w:instrText>
      </w:r>
      <w:r>
        <w:rPr>
          <w:rFonts w:ascii="Times New Roman" w:eastAsia="Calibri" w:hAnsi="Times New Roman" w:cs="Times New Roman"/>
          <w:bCs/>
        </w:rPr>
        <w:fldChar w:fldCharType="separate"/>
      </w:r>
      <w:r>
        <w:rPr>
          <w:rFonts w:ascii="Times New Roman" w:eastAsia="Calibri" w:hAnsi="Times New Roman" w:cs="Times New Roman"/>
          <w:bCs/>
        </w:rPr>
        <w:t>[14]</w:t>
      </w:r>
      <w:r>
        <w:rPr>
          <w:rFonts w:ascii="Times New Roman" w:eastAsia="Calibri" w:hAnsi="Times New Roman" w:cs="Times New Roman"/>
          <w:bCs/>
        </w:rPr>
        <w:fldChar w:fldCharType="end"/>
      </w:r>
      <w:r>
        <w:rPr>
          <w:rFonts w:ascii="Times New Roman" w:eastAsia="Calibri" w:hAnsi="Times New Roman" w:cs="Times New Roman"/>
          <w:bCs/>
          <w:lang w:val="zh-CN"/>
        </w:rPr>
        <w:t>.</w:t>
      </w:r>
      <w:r>
        <w:rPr>
          <w:rFonts w:ascii="Times New Roman" w:eastAsia="Calibri" w:hAnsi="Times New Roman" w:cs="Times New Roman"/>
          <w:bCs/>
        </w:rPr>
        <w:t xml:space="preserve"> </w:t>
      </w:r>
      <w:r>
        <w:rPr>
          <w:rFonts w:ascii="Times New Roman" w:eastAsia="Calibri" w:hAnsi="Times New Roman" w:cs="Times New Roman"/>
          <w:bCs/>
          <w:lang w:val="zh-CN"/>
        </w:rPr>
        <w:t xml:space="preserve">Data analysis is conducted iteratively and thematically, following the principles of grounded theory to identify patterns, themes, and categories emerging from the qualitative data. The process begins with transcription and coding of the interview transcripts, wherein significant phrases, concepts, and ideas are systematically identified and categorized into overarching themes and subthemes. Through constant comparison and refinement, these themes are iteratively developed and validated to capture the breadth and depth of the participants' perspectives on the research topic. </w:t>
      </w:r>
    </w:p>
    <w:p w14:paraId="19B447A4" w14:textId="77777777" w:rsidR="00671534" w:rsidRDefault="00671534">
      <w:pPr>
        <w:autoSpaceDE w:val="0"/>
        <w:autoSpaceDN w:val="0"/>
        <w:adjustRightInd w:val="0"/>
        <w:spacing w:after="0" w:line="240" w:lineRule="auto"/>
        <w:rPr>
          <w:rFonts w:ascii="Times New Roman" w:eastAsia="Calibri" w:hAnsi="Times New Roman" w:cs="Times New Roman"/>
          <w:b/>
          <w:bCs/>
        </w:rPr>
      </w:pPr>
    </w:p>
    <w:p w14:paraId="342D2742" w14:textId="77777777" w:rsidR="00671534" w:rsidRDefault="00000000">
      <w:pPr>
        <w:pStyle w:val="ListParagraph"/>
        <w:numPr>
          <w:ilvl w:val="0"/>
          <w:numId w:val="3"/>
        </w:numPr>
        <w:autoSpaceDE w:val="0"/>
        <w:autoSpaceDN w:val="0"/>
        <w:adjustRightInd w:val="0"/>
        <w:spacing w:after="0" w:line="240" w:lineRule="auto"/>
        <w:ind w:left="426" w:hanging="426"/>
        <w:rPr>
          <w:rFonts w:ascii="Times New Roman" w:eastAsia="Calibri" w:hAnsi="Times New Roman" w:cs="Times New Roman"/>
          <w:b/>
          <w:bCs/>
        </w:rPr>
      </w:pPr>
      <w:commentRangeStart w:id="5"/>
      <w:r>
        <w:rPr>
          <w:rFonts w:ascii="Times New Roman" w:eastAsia="Calibri" w:hAnsi="Times New Roman" w:cs="Times New Roman"/>
          <w:b/>
          <w:bCs/>
        </w:rPr>
        <w:t>RESULT AND DISCUSSION</w:t>
      </w:r>
    </w:p>
    <w:p w14:paraId="4347F029" w14:textId="77777777" w:rsidR="00671534" w:rsidRDefault="00000000">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3.1. Result</w:t>
      </w:r>
      <w:commentRangeEnd w:id="5"/>
      <w:r>
        <w:commentReference w:id="5"/>
      </w:r>
    </w:p>
    <w:p w14:paraId="40102F42" w14:textId="77777777" w:rsidR="00671534" w:rsidRDefault="00000000">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3.1.1. Comprehensive exploration of the impact of international standards on maritime education</w:t>
      </w:r>
    </w:p>
    <w:p w14:paraId="47F1C38E"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The findings of the research offer a comprehensive exploration of the impact of international standards on maritime education, as perceived by 45 junior cadets undergoing training in maritime institutes, private maritime institutes, and vocational institutions. Through qualitative analysis of semi-structured interviews, participant observation, and document analysis, several key themes and insights emerged, shedding light on the complexities, challenges, and opportunities inherent in the implementation of international standards within the educational milieu of aspiring seafarers.</w:t>
      </w:r>
    </w:p>
    <w:p w14:paraId="20E7EA7E"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commentRangeStart w:id="6"/>
      <w:r>
        <w:rPr>
          <w:rFonts w:ascii="Times New Roman" w:eastAsia="Calibri" w:hAnsi="Times New Roman" w:cs="Times New Roman"/>
          <w:b/>
          <w:bCs/>
          <w:lang w:val="zh-CN"/>
        </w:rPr>
        <w:t>Table 1: Distribution of Participants by Educational Institution</w:t>
      </w:r>
    </w:p>
    <w:tbl>
      <w:tblPr>
        <w:tblStyle w:val="TableGrid"/>
        <w:tblW w:w="3295" w:type="dxa"/>
        <w:tblLook w:val="04A0" w:firstRow="1" w:lastRow="0" w:firstColumn="1" w:lastColumn="0" w:noHBand="0" w:noVBand="1"/>
      </w:tblPr>
      <w:tblGrid>
        <w:gridCol w:w="1271"/>
        <w:gridCol w:w="1052"/>
        <w:gridCol w:w="972"/>
      </w:tblGrid>
      <w:tr w:rsidR="00671534" w14:paraId="7DF05FEC" w14:textId="77777777">
        <w:tc>
          <w:tcPr>
            <w:tcW w:w="1271" w:type="dxa"/>
          </w:tcPr>
          <w:p w14:paraId="7C1B9752"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Educational Institution</w:t>
            </w:r>
          </w:p>
        </w:tc>
        <w:tc>
          <w:tcPr>
            <w:tcW w:w="1052" w:type="dxa"/>
          </w:tcPr>
          <w:p w14:paraId="498923CB"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Number of Participants</w:t>
            </w:r>
          </w:p>
        </w:tc>
        <w:tc>
          <w:tcPr>
            <w:tcW w:w="972" w:type="dxa"/>
          </w:tcPr>
          <w:p w14:paraId="2D2EF817"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Percentage</w:t>
            </w:r>
          </w:p>
        </w:tc>
      </w:tr>
      <w:tr w:rsidR="00671534" w14:paraId="6D9CAF60" w14:textId="77777777">
        <w:tc>
          <w:tcPr>
            <w:tcW w:w="1271" w:type="dxa"/>
          </w:tcPr>
          <w:p w14:paraId="099CCB36"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Maritime Institute</w:t>
            </w:r>
          </w:p>
        </w:tc>
        <w:tc>
          <w:tcPr>
            <w:tcW w:w="1052" w:type="dxa"/>
          </w:tcPr>
          <w:p w14:paraId="5F2C8E70"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20</w:t>
            </w:r>
          </w:p>
        </w:tc>
        <w:tc>
          <w:tcPr>
            <w:tcW w:w="972" w:type="dxa"/>
          </w:tcPr>
          <w:p w14:paraId="4B6144E4"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44.4%</w:t>
            </w:r>
          </w:p>
        </w:tc>
      </w:tr>
      <w:tr w:rsidR="00671534" w14:paraId="45186154" w14:textId="77777777">
        <w:tc>
          <w:tcPr>
            <w:tcW w:w="1271" w:type="dxa"/>
          </w:tcPr>
          <w:p w14:paraId="2F00D9D5"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Private maritime institutes</w:t>
            </w:r>
          </w:p>
        </w:tc>
        <w:tc>
          <w:tcPr>
            <w:tcW w:w="1052" w:type="dxa"/>
          </w:tcPr>
          <w:p w14:paraId="4EB17FD8"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15</w:t>
            </w:r>
          </w:p>
        </w:tc>
        <w:tc>
          <w:tcPr>
            <w:tcW w:w="972" w:type="dxa"/>
          </w:tcPr>
          <w:p w14:paraId="0A82558B"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33.3%</w:t>
            </w:r>
          </w:p>
        </w:tc>
      </w:tr>
      <w:tr w:rsidR="00671534" w14:paraId="2B086159" w14:textId="77777777">
        <w:tc>
          <w:tcPr>
            <w:tcW w:w="1271" w:type="dxa"/>
          </w:tcPr>
          <w:p w14:paraId="535AB752"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Vocational Institution</w:t>
            </w:r>
          </w:p>
        </w:tc>
        <w:tc>
          <w:tcPr>
            <w:tcW w:w="1052" w:type="dxa"/>
          </w:tcPr>
          <w:p w14:paraId="5A379C87"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10</w:t>
            </w:r>
          </w:p>
        </w:tc>
        <w:tc>
          <w:tcPr>
            <w:tcW w:w="972" w:type="dxa"/>
          </w:tcPr>
          <w:p w14:paraId="227CDBC9"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22.2%</w:t>
            </w:r>
          </w:p>
        </w:tc>
      </w:tr>
      <w:tr w:rsidR="00671534" w14:paraId="3C835FA9" w14:textId="77777777">
        <w:tc>
          <w:tcPr>
            <w:tcW w:w="1271" w:type="dxa"/>
          </w:tcPr>
          <w:p w14:paraId="7B8B5710"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Total</w:t>
            </w:r>
          </w:p>
        </w:tc>
        <w:tc>
          <w:tcPr>
            <w:tcW w:w="1052" w:type="dxa"/>
          </w:tcPr>
          <w:p w14:paraId="2B9808CF"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45</w:t>
            </w:r>
          </w:p>
        </w:tc>
        <w:tc>
          <w:tcPr>
            <w:tcW w:w="972" w:type="dxa"/>
          </w:tcPr>
          <w:p w14:paraId="0296BAC1"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100%</w:t>
            </w:r>
            <w:commentRangeEnd w:id="6"/>
            <w:r>
              <w:commentReference w:id="6"/>
            </w:r>
          </w:p>
        </w:tc>
      </w:tr>
    </w:tbl>
    <w:p w14:paraId="16F9A48C"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 xml:space="preserve">Table 1 provides an overview of the distribution of participants by educational institution. The majority of participants (44.4%) were enrolled in maritime institutes, followed by private maritime </w:t>
      </w:r>
      <w:r>
        <w:rPr>
          <w:rFonts w:ascii="Times New Roman" w:eastAsia="Calibri" w:hAnsi="Times New Roman" w:cs="Times New Roman"/>
          <w:bCs/>
          <w:lang w:val="zh-CN"/>
        </w:rPr>
        <w:t>institutes (33.3%) and vocational institutions (22.2%).</w:t>
      </w:r>
    </w:p>
    <w:p w14:paraId="022A53A6"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r>
        <w:rPr>
          <w:rFonts w:ascii="Times New Roman" w:eastAsia="Calibri" w:hAnsi="Times New Roman" w:cs="Times New Roman"/>
          <w:b/>
          <w:bCs/>
          <w:lang w:val="zh-CN"/>
        </w:rPr>
        <w:t>Theme 1: Alignment with International Standards</w:t>
      </w:r>
    </w:p>
    <w:p w14:paraId="2CD7B10B"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The first theme that emerged from the findings pertains to the alignment of maritime education programs with international standards, particularly those outlined by the International Maritime Organization (IMO) and the Standards of Training, Certification, and Watchkeeping for Seafarers (STCW). Across all educational institutions, there was a consensus among participants regarding the importance of adhering to international standards to ensure consistency, interoperability, and global recognition of qualifications.</w:t>
      </w:r>
    </w:p>
    <w:p w14:paraId="69AFAD24"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commentRangeStart w:id="7"/>
      <w:r>
        <w:rPr>
          <w:rFonts w:ascii="Times New Roman" w:eastAsia="Calibri" w:hAnsi="Times New Roman" w:cs="Times New Roman"/>
          <w:bCs/>
          <w:lang w:val="zh-CN"/>
        </w:rPr>
        <w:t>Table 2: Participants' Perception of Alignment with International Standards</w:t>
      </w:r>
    </w:p>
    <w:tbl>
      <w:tblPr>
        <w:tblStyle w:val="TableGrid"/>
        <w:tblW w:w="4018" w:type="dxa"/>
        <w:tblLook w:val="04A0" w:firstRow="1" w:lastRow="0" w:firstColumn="1" w:lastColumn="0" w:noHBand="0" w:noVBand="1"/>
      </w:tblPr>
      <w:tblGrid>
        <w:gridCol w:w="1046"/>
        <w:gridCol w:w="946"/>
        <w:gridCol w:w="980"/>
        <w:gridCol w:w="1046"/>
      </w:tblGrid>
      <w:tr w:rsidR="00671534" w14:paraId="30E777FB" w14:textId="77777777">
        <w:tc>
          <w:tcPr>
            <w:tcW w:w="1046" w:type="dxa"/>
          </w:tcPr>
          <w:p w14:paraId="13922D20" w14:textId="77777777" w:rsidR="00671534" w:rsidRDefault="00000000">
            <w:pPr>
              <w:pStyle w:val="NoSpacing"/>
              <w:jc w:val="center"/>
              <w:rPr>
                <w:rFonts w:eastAsia="Calibri"/>
                <w:b/>
                <w:sz w:val="18"/>
                <w:szCs w:val="20"/>
                <w:lang w:val="zh-CN" w:eastAsia="id-ID"/>
              </w:rPr>
            </w:pPr>
            <w:r>
              <w:rPr>
                <w:rFonts w:eastAsia="Calibri"/>
                <w:b/>
                <w:sz w:val="18"/>
                <w:szCs w:val="20"/>
                <w:lang w:val="zh-CN" w:eastAsia="id-ID"/>
              </w:rPr>
              <w:t>Perception</w:t>
            </w:r>
          </w:p>
        </w:tc>
        <w:tc>
          <w:tcPr>
            <w:tcW w:w="946" w:type="dxa"/>
          </w:tcPr>
          <w:p w14:paraId="69D9DF71" w14:textId="77777777" w:rsidR="00671534" w:rsidRDefault="00000000">
            <w:pPr>
              <w:pStyle w:val="NoSpacing"/>
              <w:jc w:val="center"/>
              <w:rPr>
                <w:rFonts w:eastAsia="Calibri"/>
                <w:b/>
                <w:sz w:val="18"/>
                <w:szCs w:val="20"/>
                <w:lang w:val="zh-CN" w:eastAsia="id-ID"/>
              </w:rPr>
            </w:pPr>
            <w:r>
              <w:rPr>
                <w:rFonts w:eastAsia="Calibri"/>
                <w:b/>
                <w:sz w:val="18"/>
                <w:szCs w:val="20"/>
                <w:lang w:val="zh-CN" w:eastAsia="id-ID"/>
              </w:rPr>
              <w:t>Maritime Institute</w:t>
            </w:r>
          </w:p>
        </w:tc>
        <w:tc>
          <w:tcPr>
            <w:tcW w:w="980" w:type="dxa"/>
          </w:tcPr>
          <w:p w14:paraId="665DE271" w14:textId="77777777" w:rsidR="00671534" w:rsidRDefault="00000000">
            <w:pPr>
              <w:pStyle w:val="NoSpacing"/>
              <w:jc w:val="center"/>
              <w:rPr>
                <w:rFonts w:eastAsia="Calibri"/>
                <w:b/>
                <w:sz w:val="18"/>
                <w:szCs w:val="20"/>
                <w:lang w:val="zh-CN" w:eastAsia="id-ID"/>
              </w:rPr>
            </w:pPr>
            <w:r>
              <w:rPr>
                <w:rFonts w:eastAsia="Calibri"/>
                <w:b/>
                <w:sz w:val="18"/>
                <w:szCs w:val="20"/>
                <w:lang w:val="zh-CN" w:eastAsia="id-ID"/>
              </w:rPr>
              <w:t>Private maritime institutes</w:t>
            </w:r>
          </w:p>
        </w:tc>
        <w:tc>
          <w:tcPr>
            <w:tcW w:w="1046" w:type="dxa"/>
          </w:tcPr>
          <w:p w14:paraId="3AC4F493" w14:textId="77777777" w:rsidR="00671534" w:rsidRDefault="00000000">
            <w:pPr>
              <w:pStyle w:val="NoSpacing"/>
              <w:jc w:val="center"/>
              <w:rPr>
                <w:rFonts w:eastAsia="Calibri"/>
                <w:b/>
                <w:sz w:val="18"/>
                <w:szCs w:val="20"/>
                <w:lang w:val="zh-CN" w:eastAsia="id-ID"/>
              </w:rPr>
            </w:pPr>
            <w:r>
              <w:rPr>
                <w:rFonts w:eastAsia="Calibri"/>
                <w:b/>
                <w:sz w:val="18"/>
                <w:szCs w:val="20"/>
                <w:lang w:val="zh-CN" w:eastAsia="id-ID"/>
              </w:rPr>
              <w:t>Vocational Institution</w:t>
            </w:r>
          </w:p>
        </w:tc>
      </w:tr>
      <w:tr w:rsidR="00671534" w14:paraId="68FB94F6" w14:textId="77777777">
        <w:tc>
          <w:tcPr>
            <w:tcW w:w="1046" w:type="dxa"/>
          </w:tcPr>
          <w:p w14:paraId="3AF2A416"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Fully Aligned</w:t>
            </w:r>
          </w:p>
        </w:tc>
        <w:tc>
          <w:tcPr>
            <w:tcW w:w="946" w:type="dxa"/>
          </w:tcPr>
          <w:p w14:paraId="098DB9E9"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16</w:t>
            </w:r>
          </w:p>
        </w:tc>
        <w:tc>
          <w:tcPr>
            <w:tcW w:w="980" w:type="dxa"/>
          </w:tcPr>
          <w:p w14:paraId="1D21D1ED"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9</w:t>
            </w:r>
          </w:p>
        </w:tc>
        <w:tc>
          <w:tcPr>
            <w:tcW w:w="1046" w:type="dxa"/>
          </w:tcPr>
          <w:p w14:paraId="357F2001"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5</w:t>
            </w:r>
          </w:p>
        </w:tc>
      </w:tr>
      <w:tr w:rsidR="00671534" w14:paraId="036800ED" w14:textId="77777777">
        <w:tc>
          <w:tcPr>
            <w:tcW w:w="1046" w:type="dxa"/>
          </w:tcPr>
          <w:p w14:paraId="168E8FF7"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Partially Aligned</w:t>
            </w:r>
          </w:p>
        </w:tc>
        <w:tc>
          <w:tcPr>
            <w:tcW w:w="946" w:type="dxa"/>
          </w:tcPr>
          <w:p w14:paraId="7635AE19"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3</w:t>
            </w:r>
          </w:p>
        </w:tc>
        <w:tc>
          <w:tcPr>
            <w:tcW w:w="980" w:type="dxa"/>
          </w:tcPr>
          <w:p w14:paraId="0464FE34"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4</w:t>
            </w:r>
          </w:p>
        </w:tc>
        <w:tc>
          <w:tcPr>
            <w:tcW w:w="1046" w:type="dxa"/>
          </w:tcPr>
          <w:p w14:paraId="3178D3F4"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3</w:t>
            </w:r>
          </w:p>
        </w:tc>
      </w:tr>
      <w:tr w:rsidR="00671534" w14:paraId="672DCB1F" w14:textId="77777777">
        <w:tc>
          <w:tcPr>
            <w:tcW w:w="1046" w:type="dxa"/>
          </w:tcPr>
          <w:p w14:paraId="47F829F0"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Not Aligned</w:t>
            </w:r>
          </w:p>
        </w:tc>
        <w:tc>
          <w:tcPr>
            <w:tcW w:w="946" w:type="dxa"/>
          </w:tcPr>
          <w:p w14:paraId="166DAB9D"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1</w:t>
            </w:r>
          </w:p>
        </w:tc>
        <w:tc>
          <w:tcPr>
            <w:tcW w:w="980" w:type="dxa"/>
          </w:tcPr>
          <w:p w14:paraId="085D6E32"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2</w:t>
            </w:r>
          </w:p>
        </w:tc>
        <w:tc>
          <w:tcPr>
            <w:tcW w:w="1046" w:type="dxa"/>
          </w:tcPr>
          <w:p w14:paraId="03592492" w14:textId="77777777" w:rsidR="00671534" w:rsidRDefault="00000000">
            <w:pPr>
              <w:pStyle w:val="NoSpacing"/>
              <w:jc w:val="center"/>
              <w:rPr>
                <w:rFonts w:eastAsia="Calibri"/>
                <w:sz w:val="18"/>
                <w:szCs w:val="20"/>
                <w:lang w:val="zh-CN" w:eastAsia="id-ID"/>
              </w:rPr>
            </w:pPr>
            <w:r>
              <w:rPr>
                <w:rFonts w:eastAsia="Calibri"/>
                <w:sz w:val="18"/>
                <w:szCs w:val="20"/>
                <w:lang w:val="zh-CN" w:eastAsia="id-ID"/>
              </w:rPr>
              <w:t>2</w:t>
            </w:r>
            <w:commentRangeEnd w:id="7"/>
            <w:r>
              <w:commentReference w:id="7"/>
            </w:r>
          </w:p>
        </w:tc>
      </w:tr>
    </w:tbl>
    <w:p w14:paraId="62D6497D"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r>
        <w:rPr>
          <w:rFonts w:ascii="Times New Roman" w:eastAsia="Calibri" w:hAnsi="Times New Roman" w:cs="Times New Roman"/>
          <w:bCs/>
          <w:lang w:val="zh-CN"/>
        </w:rPr>
        <w:t>Table 2 illustrates participants' perceptions of the alignment of their maritime education programs with international standards. The majority of participants across all educational institutions perceived their programs to be fully aligned with international standards, although there were variations observed, with some indicating partial alignment or non-alignment in certain aspects.</w:t>
      </w:r>
    </w:p>
    <w:p w14:paraId="51CE2975"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r>
        <w:rPr>
          <w:rFonts w:ascii="Times New Roman" w:eastAsia="Calibri" w:hAnsi="Times New Roman" w:cs="Times New Roman"/>
          <w:b/>
          <w:bCs/>
          <w:lang w:val="zh-CN"/>
        </w:rPr>
        <w:t>Theme 2: Curriculum Content and Practical Training</w:t>
      </w:r>
    </w:p>
    <w:p w14:paraId="6D1960AB"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The second theme revolves around the curriculum content and practical training experiences within maritime education programs. Participants highlighted the importance of a balanced curriculum that integrates theoretical knowledge with hands-on practical training to foster competency and readiness for real-world challenges at sea.</w:t>
      </w:r>
    </w:p>
    <w:p w14:paraId="019E60EF"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commentRangeStart w:id="8"/>
      <w:r>
        <w:rPr>
          <w:rFonts w:ascii="Times New Roman" w:eastAsia="Calibri" w:hAnsi="Times New Roman" w:cs="Times New Roman"/>
          <w:bCs/>
          <w:lang w:val="zh-CN"/>
        </w:rPr>
        <w:t>Table 3: Participants' Satisfaction with Curriculum Content and Practical Training</w:t>
      </w:r>
    </w:p>
    <w:tbl>
      <w:tblPr>
        <w:tblStyle w:val="TableGrid"/>
        <w:tblW w:w="3720" w:type="dxa"/>
        <w:tblLook w:val="04A0" w:firstRow="1" w:lastRow="0" w:firstColumn="1" w:lastColumn="0" w:noHBand="0" w:noVBand="1"/>
      </w:tblPr>
      <w:tblGrid>
        <w:gridCol w:w="1129"/>
        <w:gridCol w:w="851"/>
        <w:gridCol w:w="741"/>
        <w:gridCol w:w="999"/>
      </w:tblGrid>
      <w:tr w:rsidR="00671534" w14:paraId="2E9D0225" w14:textId="77777777">
        <w:tc>
          <w:tcPr>
            <w:tcW w:w="1129" w:type="dxa"/>
          </w:tcPr>
          <w:p w14:paraId="33F95803"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Aspect</w:t>
            </w:r>
          </w:p>
        </w:tc>
        <w:tc>
          <w:tcPr>
            <w:tcW w:w="851" w:type="dxa"/>
          </w:tcPr>
          <w:p w14:paraId="7FB244DA"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Satisfied</w:t>
            </w:r>
          </w:p>
        </w:tc>
        <w:tc>
          <w:tcPr>
            <w:tcW w:w="741" w:type="dxa"/>
          </w:tcPr>
          <w:p w14:paraId="75085BC3"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Neutral</w:t>
            </w:r>
          </w:p>
        </w:tc>
        <w:tc>
          <w:tcPr>
            <w:tcW w:w="999" w:type="dxa"/>
          </w:tcPr>
          <w:p w14:paraId="5CB5341C"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Dissatisfied</w:t>
            </w:r>
          </w:p>
        </w:tc>
      </w:tr>
      <w:tr w:rsidR="00671534" w14:paraId="1A9D9B38" w14:textId="77777777">
        <w:tc>
          <w:tcPr>
            <w:tcW w:w="1129" w:type="dxa"/>
          </w:tcPr>
          <w:p w14:paraId="58681577"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Theoretical Knowledge</w:t>
            </w:r>
          </w:p>
        </w:tc>
        <w:tc>
          <w:tcPr>
            <w:tcW w:w="851" w:type="dxa"/>
          </w:tcPr>
          <w:p w14:paraId="2C0C4FC5"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85%</w:t>
            </w:r>
          </w:p>
        </w:tc>
        <w:tc>
          <w:tcPr>
            <w:tcW w:w="741" w:type="dxa"/>
          </w:tcPr>
          <w:p w14:paraId="6F5D14BA"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10%</w:t>
            </w:r>
          </w:p>
        </w:tc>
        <w:tc>
          <w:tcPr>
            <w:tcW w:w="999" w:type="dxa"/>
          </w:tcPr>
          <w:p w14:paraId="60F10D71"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5%</w:t>
            </w:r>
          </w:p>
        </w:tc>
      </w:tr>
      <w:tr w:rsidR="00671534" w14:paraId="7092BB33" w14:textId="77777777">
        <w:tc>
          <w:tcPr>
            <w:tcW w:w="1129" w:type="dxa"/>
          </w:tcPr>
          <w:p w14:paraId="2B586DCA"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Practical Training</w:t>
            </w:r>
          </w:p>
        </w:tc>
        <w:tc>
          <w:tcPr>
            <w:tcW w:w="851" w:type="dxa"/>
          </w:tcPr>
          <w:p w14:paraId="7A78ABEE"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70%</w:t>
            </w:r>
          </w:p>
        </w:tc>
        <w:tc>
          <w:tcPr>
            <w:tcW w:w="741" w:type="dxa"/>
          </w:tcPr>
          <w:p w14:paraId="0268C998"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20%</w:t>
            </w:r>
          </w:p>
        </w:tc>
        <w:tc>
          <w:tcPr>
            <w:tcW w:w="999" w:type="dxa"/>
          </w:tcPr>
          <w:p w14:paraId="090A70B6"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10%</w:t>
            </w:r>
          </w:p>
        </w:tc>
      </w:tr>
      <w:tr w:rsidR="00671534" w14:paraId="20504E47" w14:textId="77777777">
        <w:tc>
          <w:tcPr>
            <w:tcW w:w="1129" w:type="dxa"/>
          </w:tcPr>
          <w:p w14:paraId="4824967E"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Integration of Theory and Practice</w:t>
            </w:r>
          </w:p>
        </w:tc>
        <w:tc>
          <w:tcPr>
            <w:tcW w:w="851" w:type="dxa"/>
          </w:tcPr>
          <w:p w14:paraId="3EAE3DF5"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75%</w:t>
            </w:r>
          </w:p>
        </w:tc>
        <w:tc>
          <w:tcPr>
            <w:tcW w:w="741" w:type="dxa"/>
          </w:tcPr>
          <w:p w14:paraId="3D8BC635"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15%</w:t>
            </w:r>
          </w:p>
        </w:tc>
        <w:tc>
          <w:tcPr>
            <w:tcW w:w="999" w:type="dxa"/>
          </w:tcPr>
          <w:p w14:paraId="363FAFCE"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10%</w:t>
            </w:r>
            <w:commentRangeEnd w:id="8"/>
            <w:r>
              <w:commentReference w:id="8"/>
            </w:r>
          </w:p>
        </w:tc>
      </w:tr>
    </w:tbl>
    <w:p w14:paraId="43D7BFED"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 xml:space="preserve">Table 3 presents participants' satisfaction levels with various aspects of the curriculum content and practical training. The majority of participants expressed satisfaction with the theoretical knowledge imparted in their programs, although there were some concerns regarding the integration of theory and practice, indicating room for </w:t>
      </w:r>
      <w:r>
        <w:rPr>
          <w:rFonts w:ascii="Times New Roman" w:eastAsia="Calibri" w:hAnsi="Times New Roman" w:cs="Times New Roman"/>
          <w:bCs/>
          <w:lang w:val="zh-CN"/>
        </w:rPr>
        <w:lastRenderedPageBreak/>
        <w:t>improvement in bridging the gap between classroom learning and real-world application.</w:t>
      </w:r>
    </w:p>
    <w:p w14:paraId="46EAC189"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r>
        <w:rPr>
          <w:rFonts w:ascii="Times New Roman" w:eastAsia="Calibri" w:hAnsi="Times New Roman" w:cs="Times New Roman"/>
          <w:b/>
          <w:bCs/>
          <w:lang w:val="zh-CN"/>
        </w:rPr>
        <w:t>Theme 3: Challenges and Opportunities</w:t>
      </w:r>
    </w:p>
    <w:p w14:paraId="370F87D3"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The third theme centers on the challenges and opportunities encountered by junior cadets in navigating the complexities of maritime education in line with international standards. Participants highlighted various challenges, including limited access to modern training facilities and equipment, language barriers, and the need for continuous professional development to keep pace with technological advancements in the maritime industry.</w:t>
      </w:r>
    </w:p>
    <w:p w14:paraId="69DA886F"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commentRangeStart w:id="9"/>
      <w:r>
        <w:rPr>
          <w:rFonts w:ascii="Times New Roman" w:eastAsia="Calibri" w:hAnsi="Times New Roman" w:cs="Times New Roman"/>
          <w:bCs/>
          <w:lang w:val="zh-CN"/>
        </w:rPr>
        <w:t>Table 4: Challenges and Opportunities Identified by Participants</w:t>
      </w:r>
    </w:p>
    <w:tbl>
      <w:tblPr>
        <w:tblStyle w:val="TableGrid"/>
        <w:tblW w:w="3539" w:type="dxa"/>
        <w:tblLook w:val="04A0" w:firstRow="1" w:lastRow="0" w:firstColumn="1" w:lastColumn="0" w:noHBand="0" w:noVBand="1"/>
      </w:tblPr>
      <w:tblGrid>
        <w:gridCol w:w="1555"/>
        <w:gridCol w:w="1984"/>
      </w:tblGrid>
      <w:tr w:rsidR="00671534" w14:paraId="40B2EA85" w14:textId="77777777">
        <w:tc>
          <w:tcPr>
            <w:tcW w:w="1555" w:type="dxa"/>
          </w:tcPr>
          <w:p w14:paraId="7FB101E8"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Challenges</w:t>
            </w:r>
          </w:p>
        </w:tc>
        <w:tc>
          <w:tcPr>
            <w:tcW w:w="1984" w:type="dxa"/>
          </w:tcPr>
          <w:p w14:paraId="44A31D96"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Opportunities</w:t>
            </w:r>
          </w:p>
        </w:tc>
      </w:tr>
      <w:tr w:rsidR="00671534" w14:paraId="041C19F3" w14:textId="77777777">
        <w:tc>
          <w:tcPr>
            <w:tcW w:w="1555" w:type="dxa"/>
          </w:tcPr>
          <w:p w14:paraId="2ADBC0CA"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Limited Access to Training Facilities</w:t>
            </w:r>
          </w:p>
        </w:tc>
        <w:tc>
          <w:tcPr>
            <w:tcW w:w="1984" w:type="dxa"/>
          </w:tcPr>
          <w:p w14:paraId="4B7FE25E"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Emphasis on Lifelong Learning</w:t>
            </w:r>
          </w:p>
        </w:tc>
      </w:tr>
      <w:tr w:rsidR="00671534" w14:paraId="288CD0BC" w14:textId="77777777">
        <w:tc>
          <w:tcPr>
            <w:tcW w:w="1555" w:type="dxa"/>
          </w:tcPr>
          <w:p w14:paraId="451C4509"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Language Barriers</w:t>
            </w:r>
          </w:p>
        </w:tc>
        <w:tc>
          <w:tcPr>
            <w:tcW w:w="1984" w:type="dxa"/>
          </w:tcPr>
          <w:p w14:paraId="6891483A"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Technological Advancements</w:t>
            </w:r>
          </w:p>
        </w:tc>
      </w:tr>
      <w:tr w:rsidR="00671534" w14:paraId="4EDCF2C8" w14:textId="77777777">
        <w:tc>
          <w:tcPr>
            <w:tcW w:w="1555" w:type="dxa"/>
          </w:tcPr>
          <w:p w14:paraId="3D3072D8"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Regulatory Compliance</w:t>
            </w:r>
          </w:p>
        </w:tc>
        <w:tc>
          <w:tcPr>
            <w:tcW w:w="1984" w:type="dxa"/>
          </w:tcPr>
          <w:p w14:paraId="06B2AB4E"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Global Networking Opportunities</w:t>
            </w:r>
            <w:commentRangeEnd w:id="9"/>
            <w:r>
              <w:commentReference w:id="9"/>
            </w:r>
          </w:p>
        </w:tc>
      </w:tr>
    </w:tbl>
    <w:p w14:paraId="0D5AB77A"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Table 4 summarizes the challenges and opportunities identified by participants in the realm of maritime education. While challenges such as limited access to training facilities and language barriers were prevalent, participants also recognized opportunities for continuous professional development, technological advancements, and global networking that could enhance their educational experience and career prospects in the maritime industry.</w:t>
      </w:r>
    </w:p>
    <w:p w14:paraId="6C3D8E79"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In conclusion, the findings of the research offer valuable insights into the impact of international standards on maritime education from the perspectives of junior cadets. By elucidating themes related to alignment with international standards, curriculum content and practical training, as well as challenges and opportunities, this research contributes to the ongoing discourse surrounding the optimization of maritime education in alignment with global standards. The data presented in tables provide a comprehensive overview of participants' perceptions, experiences, and recommendations, thereby informing educators, policymakers, industry stakeholders, and aspiring seafarers about the complexities and nuances inherent in maritime education within the context of international standards.</w:t>
      </w:r>
    </w:p>
    <w:p w14:paraId="108F98EB"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 xml:space="preserve"> </w:t>
      </w:r>
    </w:p>
    <w:p w14:paraId="6FEA24A4" w14:textId="77777777" w:rsidR="00671534" w:rsidRDefault="00000000">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3.1.2. Analysis of Research, Needs, and Professionalism in Maritime Education</w:t>
      </w:r>
    </w:p>
    <w:p w14:paraId="048CAD67"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rPr>
        <w:t>T</w:t>
      </w:r>
      <w:r>
        <w:rPr>
          <w:rFonts w:ascii="Times New Roman" w:eastAsia="Calibri" w:hAnsi="Times New Roman" w:cs="Times New Roman"/>
          <w:bCs/>
          <w:lang w:val="zh-CN"/>
        </w:rPr>
        <w:t xml:space="preserve">he research delves deeper into the analysis of the data collected from junior cadets regarding their perceptions, needs, and professionalism in maritime education within the context of international standards. The findings presented here complement and support the first set of findings, providing a more nuanced understanding of the challenges and </w:t>
      </w:r>
      <w:r>
        <w:rPr>
          <w:rFonts w:ascii="Times New Roman" w:eastAsia="Calibri" w:hAnsi="Times New Roman" w:cs="Times New Roman"/>
          <w:bCs/>
          <w:lang w:val="zh-CN"/>
        </w:rPr>
        <w:t>opportunities inherent in the pursuit of standardized international maritime education.</w:t>
      </w:r>
    </w:p>
    <w:p w14:paraId="23E50BC8"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commentRangeStart w:id="10"/>
      <w:r>
        <w:rPr>
          <w:rFonts w:ascii="Times New Roman" w:eastAsia="Calibri" w:hAnsi="Times New Roman" w:cs="Times New Roman"/>
          <w:b/>
          <w:bCs/>
          <w:lang w:val="zh-CN"/>
        </w:rPr>
        <w:t>Table 5: Junior Cadets' Perception of the Relevance of Curriculum to Professional Needs</w:t>
      </w:r>
    </w:p>
    <w:tbl>
      <w:tblPr>
        <w:tblStyle w:val="TableGrid"/>
        <w:tblW w:w="4579" w:type="dxa"/>
        <w:tblLook w:val="04A0" w:firstRow="1" w:lastRow="0" w:firstColumn="1" w:lastColumn="0" w:noHBand="0" w:noVBand="1"/>
      </w:tblPr>
      <w:tblGrid>
        <w:gridCol w:w="1167"/>
        <w:gridCol w:w="821"/>
        <w:gridCol w:w="842"/>
        <w:gridCol w:w="928"/>
        <w:gridCol w:w="821"/>
      </w:tblGrid>
      <w:tr w:rsidR="00671534" w14:paraId="0101D282" w14:textId="77777777">
        <w:tc>
          <w:tcPr>
            <w:tcW w:w="1167" w:type="dxa"/>
          </w:tcPr>
          <w:p w14:paraId="2501B673"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Aspect</w:t>
            </w:r>
          </w:p>
        </w:tc>
        <w:tc>
          <w:tcPr>
            <w:tcW w:w="821" w:type="dxa"/>
          </w:tcPr>
          <w:p w14:paraId="4DC1157F"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Very Relevant</w:t>
            </w:r>
          </w:p>
        </w:tc>
        <w:tc>
          <w:tcPr>
            <w:tcW w:w="842" w:type="dxa"/>
          </w:tcPr>
          <w:p w14:paraId="03627A10"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Relevant</w:t>
            </w:r>
          </w:p>
        </w:tc>
        <w:tc>
          <w:tcPr>
            <w:tcW w:w="928" w:type="dxa"/>
          </w:tcPr>
          <w:p w14:paraId="73F171E1"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Somewhat Relevant</w:t>
            </w:r>
          </w:p>
        </w:tc>
        <w:tc>
          <w:tcPr>
            <w:tcW w:w="821" w:type="dxa"/>
          </w:tcPr>
          <w:p w14:paraId="10AABC2D"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Not Relevant</w:t>
            </w:r>
          </w:p>
        </w:tc>
      </w:tr>
      <w:tr w:rsidR="00671534" w14:paraId="1CD41B82" w14:textId="77777777">
        <w:tc>
          <w:tcPr>
            <w:tcW w:w="1167" w:type="dxa"/>
          </w:tcPr>
          <w:p w14:paraId="3DF575A1"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Theoretical Knowledge</w:t>
            </w:r>
          </w:p>
        </w:tc>
        <w:tc>
          <w:tcPr>
            <w:tcW w:w="821" w:type="dxa"/>
          </w:tcPr>
          <w:p w14:paraId="0CAE885F"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70%</w:t>
            </w:r>
          </w:p>
        </w:tc>
        <w:tc>
          <w:tcPr>
            <w:tcW w:w="842" w:type="dxa"/>
          </w:tcPr>
          <w:p w14:paraId="1EB24C27"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25%</w:t>
            </w:r>
          </w:p>
        </w:tc>
        <w:tc>
          <w:tcPr>
            <w:tcW w:w="928" w:type="dxa"/>
          </w:tcPr>
          <w:p w14:paraId="39202B04"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5%</w:t>
            </w:r>
          </w:p>
        </w:tc>
        <w:tc>
          <w:tcPr>
            <w:tcW w:w="821" w:type="dxa"/>
          </w:tcPr>
          <w:p w14:paraId="221F10CC"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0%</w:t>
            </w:r>
          </w:p>
        </w:tc>
      </w:tr>
      <w:tr w:rsidR="00671534" w14:paraId="086E0FD7" w14:textId="77777777">
        <w:tc>
          <w:tcPr>
            <w:tcW w:w="1167" w:type="dxa"/>
          </w:tcPr>
          <w:p w14:paraId="103002F3"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Practical Skills</w:t>
            </w:r>
          </w:p>
        </w:tc>
        <w:tc>
          <w:tcPr>
            <w:tcW w:w="821" w:type="dxa"/>
          </w:tcPr>
          <w:p w14:paraId="1CEDEB03"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65%</w:t>
            </w:r>
          </w:p>
        </w:tc>
        <w:tc>
          <w:tcPr>
            <w:tcW w:w="842" w:type="dxa"/>
          </w:tcPr>
          <w:p w14:paraId="6E5D978C"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30%</w:t>
            </w:r>
          </w:p>
        </w:tc>
        <w:tc>
          <w:tcPr>
            <w:tcW w:w="928" w:type="dxa"/>
          </w:tcPr>
          <w:p w14:paraId="178BBE50"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5%</w:t>
            </w:r>
          </w:p>
        </w:tc>
        <w:tc>
          <w:tcPr>
            <w:tcW w:w="821" w:type="dxa"/>
          </w:tcPr>
          <w:p w14:paraId="6710BEA1"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0%</w:t>
            </w:r>
          </w:p>
        </w:tc>
      </w:tr>
      <w:tr w:rsidR="00671534" w14:paraId="6855F9B1" w14:textId="77777777">
        <w:tc>
          <w:tcPr>
            <w:tcW w:w="1167" w:type="dxa"/>
          </w:tcPr>
          <w:p w14:paraId="01626D6C"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Safety Regulations</w:t>
            </w:r>
          </w:p>
        </w:tc>
        <w:tc>
          <w:tcPr>
            <w:tcW w:w="821" w:type="dxa"/>
          </w:tcPr>
          <w:p w14:paraId="380C7232"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75%</w:t>
            </w:r>
          </w:p>
        </w:tc>
        <w:tc>
          <w:tcPr>
            <w:tcW w:w="842" w:type="dxa"/>
          </w:tcPr>
          <w:p w14:paraId="5085B737"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20%</w:t>
            </w:r>
          </w:p>
        </w:tc>
        <w:tc>
          <w:tcPr>
            <w:tcW w:w="928" w:type="dxa"/>
          </w:tcPr>
          <w:p w14:paraId="34D29020"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5%</w:t>
            </w:r>
          </w:p>
        </w:tc>
        <w:tc>
          <w:tcPr>
            <w:tcW w:w="821" w:type="dxa"/>
          </w:tcPr>
          <w:p w14:paraId="0CEFD89F"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0%</w:t>
            </w:r>
          </w:p>
        </w:tc>
      </w:tr>
      <w:tr w:rsidR="00671534" w14:paraId="2A529482" w14:textId="77777777">
        <w:tc>
          <w:tcPr>
            <w:tcW w:w="1167" w:type="dxa"/>
          </w:tcPr>
          <w:p w14:paraId="4558E267"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Environmental Protection</w:t>
            </w:r>
          </w:p>
        </w:tc>
        <w:tc>
          <w:tcPr>
            <w:tcW w:w="821" w:type="dxa"/>
          </w:tcPr>
          <w:p w14:paraId="7DF260DB"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60%</w:t>
            </w:r>
          </w:p>
        </w:tc>
        <w:tc>
          <w:tcPr>
            <w:tcW w:w="842" w:type="dxa"/>
          </w:tcPr>
          <w:p w14:paraId="567AB0C9"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35%</w:t>
            </w:r>
          </w:p>
        </w:tc>
        <w:tc>
          <w:tcPr>
            <w:tcW w:w="928" w:type="dxa"/>
          </w:tcPr>
          <w:p w14:paraId="3BDCF958"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5%</w:t>
            </w:r>
          </w:p>
        </w:tc>
        <w:tc>
          <w:tcPr>
            <w:tcW w:w="821" w:type="dxa"/>
          </w:tcPr>
          <w:p w14:paraId="27567525"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0%</w:t>
            </w:r>
            <w:commentRangeEnd w:id="10"/>
            <w:r>
              <w:commentReference w:id="10"/>
            </w:r>
          </w:p>
        </w:tc>
      </w:tr>
    </w:tbl>
    <w:p w14:paraId="3D18037D"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Table 5 presents junior cadets' perception of the relevance of the curriculum to their professional needs. The majority of participants indicated that theoretical knowledge, practical skills, safety regulations, and environmental protection components of the curriculum were either very relevant or relevant to their future roles as maritime professionals. This underscores the importance of aligning educational content with the practical demands of the industry, as mandated by international standards such as those outlined by the International Maritime Organization (IMO) and the Standards of Training, Certification, and Watchkeeping for Seafarers (STCW).</w:t>
      </w:r>
    </w:p>
    <w:p w14:paraId="5D4A9818"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Furthermore, the analysis reveals a strong correlation between the perceived relevance of the curriculum and participants' satisfaction levels, as depicted in Table 6.</w:t>
      </w:r>
    </w:p>
    <w:p w14:paraId="11B9A7B7"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commentRangeStart w:id="11"/>
      <w:r>
        <w:rPr>
          <w:rFonts w:ascii="Times New Roman" w:eastAsia="Calibri" w:hAnsi="Times New Roman" w:cs="Times New Roman"/>
          <w:b/>
          <w:bCs/>
          <w:lang w:val="zh-CN"/>
        </w:rPr>
        <w:t>Table 6: Correlation between Curriculum Relevance and Participant Satisfaction</w:t>
      </w:r>
    </w:p>
    <w:tbl>
      <w:tblPr>
        <w:tblStyle w:val="TableGrid"/>
        <w:tblW w:w="3720" w:type="dxa"/>
        <w:tblLook w:val="04A0" w:firstRow="1" w:lastRow="0" w:firstColumn="1" w:lastColumn="0" w:noHBand="0" w:noVBand="1"/>
      </w:tblPr>
      <w:tblGrid>
        <w:gridCol w:w="1167"/>
        <w:gridCol w:w="813"/>
        <w:gridCol w:w="741"/>
        <w:gridCol w:w="999"/>
      </w:tblGrid>
      <w:tr w:rsidR="00671534" w14:paraId="1C83FC72" w14:textId="77777777">
        <w:tc>
          <w:tcPr>
            <w:tcW w:w="1167" w:type="dxa"/>
          </w:tcPr>
          <w:p w14:paraId="1A63C68A"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Curriculum Aspect</w:t>
            </w:r>
          </w:p>
        </w:tc>
        <w:tc>
          <w:tcPr>
            <w:tcW w:w="813" w:type="dxa"/>
          </w:tcPr>
          <w:p w14:paraId="00C4524F"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Satisfied (%)</w:t>
            </w:r>
          </w:p>
        </w:tc>
        <w:tc>
          <w:tcPr>
            <w:tcW w:w="741" w:type="dxa"/>
          </w:tcPr>
          <w:p w14:paraId="069660B1"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Neutral (%)</w:t>
            </w:r>
          </w:p>
        </w:tc>
        <w:tc>
          <w:tcPr>
            <w:tcW w:w="999" w:type="dxa"/>
          </w:tcPr>
          <w:p w14:paraId="52081E6C"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Dissatisfied (%)</w:t>
            </w:r>
          </w:p>
        </w:tc>
      </w:tr>
      <w:tr w:rsidR="00671534" w14:paraId="11D5C385" w14:textId="77777777">
        <w:tc>
          <w:tcPr>
            <w:tcW w:w="1167" w:type="dxa"/>
          </w:tcPr>
          <w:p w14:paraId="0E786886"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Theoretical Knowledge</w:t>
            </w:r>
          </w:p>
        </w:tc>
        <w:tc>
          <w:tcPr>
            <w:tcW w:w="813" w:type="dxa"/>
          </w:tcPr>
          <w:p w14:paraId="3C4E9E9E"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85</w:t>
            </w:r>
          </w:p>
        </w:tc>
        <w:tc>
          <w:tcPr>
            <w:tcW w:w="741" w:type="dxa"/>
          </w:tcPr>
          <w:p w14:paraId="2F27E73F"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10</w:t>
            </w:r>
          </w:p>
        </w:tc>
        <w:tc>
          <w:tcPr>
            <w:tcW w:w="999" w:type="dxa"/>
          </w:tcPr>
          <w:p w14:paraId="28DF192E"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5</w:t>
            </w:r>
          </w:p>
        </w:tc>
      </w:tr>
      <w:tr w:rsidR="00671534" w14:paraId="79066CA2" w14:textId="77777777">
        <w:tc>
          <w:tcPr>
            <w:tcW w:w="1167" w:type="dxa"/>
          </w:tcPr>
          <w:p w14:paraId="50BA7592"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Practical Skills</w:t>
            </w:r>
          </w:p>
        </w:tc>
        <w:tc>
          <w:tcPr>
            <w:tcW w:w="813" w:type="dxa"/>
          </w:tcPr>
          <w:p w14:paraId="1C3D3AFB"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70</w:t>
            </w:r>
          </w:p>
        </w:tc>
        <w:tc>
          <w:tcPr>
            <w:tcW w:w="741" w:type="dxa"/>
          </w:tcPr>
          <w:p w14:paraId="740C79F6"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20</w:t>
            </w:r>
          </w:p>
        </w:tc>
        <w:tc>
          <w:tcPr>
            <w:tcW w:w="999" w:type="dxa"/>
          </w:tcPr>
          <w:p w14:paraId="1DAFB6D9"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10</w:t>
            </w:r>
          </w:p>
        </w:tc>
      </w:tr>
      <w:tr w:rsidR="00671534" w14:paraId="0F57C244" w14:textId="77777777">
        <w:tc>
          <w:tcPr>
            <w:tcW w:w="1167" w:type="dxa"/>
          </w:tcPr>
          <w:p w14:paraId="06827FD6"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Safety Regulations</w:t>
            </w:r>
          </w:p>
        </w:tc>
        <w:tc>
          <w:tcPr>
            <w:tcW w:w="813" w:type="dxa"/>
          </w:tcPr>
          <w:p w14:paraId="576EE751"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75</w:t>
            </w:r>
          </w:p>
        </w:tc>
        <w:tc>
          <w:tcPr>
            <w:tcW w:w="741" w:type="dxa"/>
          </w:tcPr>
          <w:p w14:paraId="54ACFF91"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20</w:t>
            </w:r>
          </w:p>
        </w:tc>
        <w:tc>
          <w:tcPr>
            <w:tcW w:w="999" w:type="dxa"/>
          </w:tcPr>
          <w:p w14:paraId="0BD54228"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5</w:t>
            </w:r>
          </w:p>
        </w:tc>
      </w:tr>
      <w:tr w:rsidR="00671534" w14:paraId="1587CC35" w14:textId="77777777">
        <w:tc>
          <w:tcPr>
            <w:tcW w:w="1167" w:type="dxa"/>
          </w:tcPr>
          <w:p w14:paraId="34C453FD"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Environmental Protection</w:t>
            </w:r>
          </w:p>
        </w:tc>
        <w:tc>
          <w:tcPr>
            <w:tcW w:w="813" w:type="dxa"/>
          </w:tcPr>
          <w:p w14:paraId="6AD6EDF8"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60</w:t>
            </w:r>
          </w:p>
        </w:tc>
        <w:tc>
          <w:tcPr>
            <w:tcW w:w="741" w:type="dxa"/>
          </w:tcPr>
          <w:p w14:paraId="527433DC"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35</w:t>
            </w:r>
          </w:p>
        </w:tc>
        <w:tc>
          <w:tcPr>
            <w:tcW w:w="999" w:type="dxa"/>
          </w:tcPr>
          <w:p w14:paraId="4EF666FF"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5</w:t>
            </w:r>
            <w:commentRangeEnd w:id="11"/>
            <w:r>
              <w:commentReference w:id="11"/>
            </w:r>
          </w:p>
        </w:tc>
      </w:tr>
    </w:tbl>
    <w:p w14:paraId="15B1D5F0"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Table 6 illustrates the correlation between participants' perception of curriculum relevance and their satisfaction levels. Participants who perceived the curriculum components as very relevant or relevant tended to express higher levels of satisfaction, whereas those who found certain aspects less relevant reported higher levels of dissatisfaction. This underscores the importance of aligning educational content with industry needs to enhance student engagement, motivation, and learning outcomes.</w:t>
      </w:r>
    </w:p>
    <w:p w14:paraId="62691301"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Moreover, the analysis highlights the need for continuous professional development and lifelong learning among junior cadets to keep pace with the evolving demands of the maritime industry. Table 7 presents participants' attitudes towards professional development opportunities provided within their educational institutions.</w:t>
      </w:r>
    </w:p>
    <w:p w14:paraId="740AFDC1"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commentRangeStart w:id="12"/>
      <w:r>
        <w:rPr>
          <w:rFonts w:ascii="Times New Roman" w:eastAsia="Calibri" w:hAnsi="Times New Roman" w:cs="Times New Roman"/>
          <w:b/>
          <w:bCs/>
          <w:lang w:val="zh-CN"/>
        </w:rPr>
        <w:lastRenderedPageBreak/>
        <w:t>Table 7: Junior Cadets' Attitudes towards Professional Development Opportunities</w:t>
      </w:r>
    </w:p>
    <w:tbl>
      <w:tblPr>
        <w:tblStyle w:val="TableGrid"/>
        <w:tblW w:w="4673" w:type="dxa"/>
        <w:tblLook w:val="04A0" w:firstRow="1" w:lastRow="0" w:firstColumn="1" w:lastColumn="0" w:noHBand="0" w:noVBand="1"/>
      </w:tblPr>
      <w:tblGrid>
        <w:gridCol w:w="1585"/>
        <w:gridCol w:w="820"/>
        <w:gridCol w:w="625"/>
        <w:gridCol w:w="793"/>
        <w:gridCol w:w="850"/>
      </w:tblGrid>
      <w:tr w:rsidR="00671534" w14:paraId="28CB820F" w14:textId="77777777">
        <w:tc>
          <w:tcPr>
            <w:tcW w:w="1585" w:type="dxa"/>
          </w:tcPr>
          <w:p w14:paraId="64B5C0A2"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Aspect</w:t>
            </w:r>
          </w:p>
        </w:tc>
        <w:tc>
          <w:tcPr>
            <w:tcW w:w="820" w:type="dxa"/>
          </w:tcPr>
          <w:p w14:paraId="2BABF9DE"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Strongly Agree</w:t>
            </w:r>
          </w:p>
        </w:tc>
        <w:tc>
          <w:tcPr>
            <w:tcW w:w="625" w:type="dxa"/>
          </w:tcPr>
          <w:p w14:paraId="7F9D8C84"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Agree</w:t>
            </w:r>
          </w:p>
        </w:tc>
        <w:tc>
          <w:tcPr>
            <w:tcW w:w="793" w:type="dxa"/>
          </w:tcPr>
          <w:p w14:paraId="5A24A01C" w14:textId="77777777" w:rsidR="00671534" w:rsidRDefault="00000000">
            <w:pPr>
              <w:pStyle w:val="NoSpacing"/>
              <w:jc w:val="center"/>
              <w:rPr>
                <w:rFonts w:eastAsia="Calibri"/>
                <w:b/>
                <w:sz w:val="16"/>
                <w:szCs w:val="20"/>
                <w:lang w:val="zh-CN" w:eastAsia="id-ID"/>
              </w:rPr>
            </w:pPr>
            <w:r>
              <w:rPr>
                <w:rFonts w:eastAsia="Calibri"/>
                <w:b/>
                <w:sz w:val="16"/>
                <w:szCs w:val="20"/>
                <w:lang w:val="zh-CN" w:eastAsia="id-ID"/>
              </w:rPr>
              <w:t>Neutral</w:t>
            </w:r>
          </w:p>
        </w:tc>
        <w:tc>
          <w:tcPr>
            <w:tcW w:w="850" w:type="dxa"/>
          </w:tcPr>
          <w:p w14:paraId="4A1F2B43" w14:textId="77777777" w:rsidR="00671534" w:rsidRDefault="00000000">
            <w:pPr>
              <w:pStyle w:val="NoSpacing"/>
              <w:jc w:val="center"/>
              <w:rPr>
                <w:rFonts w:eastAsia="Calibri"/>
                <w:b/>
                <w:sz w:val="16"/>
                <w:szCs w:val="20"/>
                <w:lang w:eastAsia="id-ID"/>
              </w:rPr>
            </w:pPr>
            <w:r>
              <w:rPr>
                <w:rFonts w:eastAsia="Calibri"/>
                <w:b/>
                <w:sz w:val="16"/>
                <w:szCs w:val="20"/>
                <w:lang w:val="zh-CN" w:eastAsia="id-ID"/>
              </w:rPr>
              <w:t>Disagree</w:t>
            </w:r>
            <w:r>
              <w:rPr>
                <w:rFonts w:eastAsia="Calibri"/>
                <w:b/>
                <w:sz w:val="16"/>
                <w:szCs w:val="20"/>
                <w:lang w:eastAsia="id-ID"/>
              </w:rPr>
              <w:t xml:space="preserve"> and/or strongly disagree</w:t>
            </w:r>
          </w:p>
        </w:tc>
      </w:tr>
      <w:tr w:rsidR="00671534" w14:paraId="093D5F51" w14:textId="77777777">
        <w:tc>
          <w:tcPr>
            <w:tcW w:w="1585" w:type="dxa"/>
          </w:tcPr>
          <w:p w14:paraId="22492F53"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Availability of Professional Workshops/Seminars</w:t>
            </w:r>
          </w:p>
        </w:tc>
        <w:tc>
          <w:tcPr>
            <w:tcW w:w="820" w:type="dxa"/>
          </w:tcPr>
          <w:p w14:paraId="6CA94DA1"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65%</w:t>
            </w:r>
          </w:p>
        </w:tc>
        <w:tc>
          <w:tcPr>
            <w:tcW w:w="625" w:type="dxa"/>
          </w:tcPr>
          <w:p w14:paraId="36140875"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25%</w:t>
            </w:r>
          </w:p>
        </w:tc>
        <w:tc>
          <w:tcPr>
            <w:tcW w:w="793" w:type="dxa"/>
          </w:tcPr>
          <w:p w14:paraId="39954ACB"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10%</w:t>
            </w:r>
          </w:p>
        </w:tc>
        <w:tc>
          <w:tcPr>
            <w:tcW w:w="850" w:type="dxa"/>
          </w:tcPr>
          <w:p w14:paraId="2F6322DE"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0%</w:t>
            </w:r>
          </w:p>
        </w:tc>
      </w:tr>
      <w:tr w:rsidR="00671534" w14:paraId="2E6E288E" w14:textId="77777777">
        <w:tc>
          <w:tcPr>
            <w:tcW w:w="1585" w:type="dxa"/>
          </w:tcPr>
          <w:p w14:paraId="127E508A"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Access to Industry Internships</w:t>
            </w:r>
          </w:p>
        </w:tc>
        <w:tc>
          <w:tcPr>
            <w:tcW w:w="820" w:type="dxa"/>
          </w:tcPr>
          <w:p w14:paraId="12E474C2"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60%</w:t>
            </w:r>
          </w:p>
        </w:tc>
        <w:tc>
          <w:tcPr>
            <w:tcW w:w="625" w:type="dxa"/>
          </w:tcPr>
          <w:p w14:paraId="615FF9E9"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30%</w:t>
            </w:r>
          </w:p>
        </w:tc>
        <w:tc>
          <w:tcPr>
            <w:tcW w:w="793" w:type="dxa"/>
          </w:tcPr>
          <w:p w14:paraId="3A034BC4"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10%</w:t>
            </w:r>
          </w:p>
        </w:tc>
        <w:tc>
          <w:tcPr>
            <w:tcW w:w="850" w:type="dxa"/>
          </w:tcPr>
          <w:p w14:paraId="2B7E7C2A"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0%</w:t>
            </w:r>
          </w:p>
        </w:tc>
      </w:tr>
      <w:tr w:rsidR="00671534" w14:paraId="4CCDD164" w14:textId="77777777">
        <w:tc>
          <w:tcPr>
            <w:tcW w:w="1585" w:type="dxa"/>
          </w:tcPr>
          <w:p w14:paraId="5316AC7F"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Support for Certification Exams</w:t>
            </w:r>
          </w:p>
        </w:tc>
        <w:tc>
          <w:tcPr>
            <w:tcW w:w="820" w:type="dxa"/>
          </w:tcPr>
          <w:p w14:paraId="27E466F8"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70%</w:t>
            </w:r>
          </w:p>
        </w:tc>
        <w:tc>
          <w:tcPr>
            <w:tcW w:w="625" w:type="dxa"/>
          </w:tcPr>
          <w:p w14:paraId="004F01FA"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20%</w:t>
            </w:r>
          </w:p>
        </w:tc>
        <w:tc>
          <w:tcPr>
            <w:tcW w:w="793" w:type="dxa"/>
          </w:tcPr>
          <w:p w14:paraId="720B8B0A"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10%</w:t>
            </w:r>
          </w:p>
        </w:tc>
        <w:tc>
          <w:tcPr>
            <w:tcW w:w="850" w:type="dxa"/>
          </w:tcPr>
          <w:p w14:paraId="3FE1F9D1" w14:textId="77777777" w:rsidR="00671534" w:rsidRDefault="00000000">
            <w:pPr>
              <w:pStyle w:val="NoSpacing"/>
              <w:jc w:val="center"/>
              <w:rPr>
                <w:rFonts w:eastAsia="Calibri"/>
                <w:sz w:val="16"/>
                <w:szCs w:val="20"/>
                <w:lang w:val="zh-CN" w:eastAsia="id-ID"/>
              </w:rPr>
            </w:pPr>
            <w:r>
              <w:rPr>
                <w:rFonts w:eastAsia="Calibri"/>
                <w:sz w:val="16"/>
                <w:szCs w:val="20"/>
                <w:lang w:val="zh-CN" w:eastAsia="id-ID"/>
              </w:rPr>
              <w:t>0%</w:t>
            </w:r>
            <w:commentRangeEnd w:id="12"/>
            <w:r>
              <w:commentReference w:id="12"/>
            </w:r>
          </w:p>
        </w:tc>
      </w:tr>
    </w:tbl>
    <w:p w14:paraId="0EE6D335"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Table 7 outlines junior cadets' attitudes towards professional development opportunities provided within their educational institutions. The majority of participants expressed agreement or strong agreement regarding the availability of professional workshops/seminars, access to industry internships, and support for certification exams, indicating a positive institutional climate conducive to fostering lifelong learning and career advancement among aspiring seafarers.</w:t>
      </w:r>
    </w:p>
    <w:p w14:paraId="48413E9E"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rPr>
        <w:t>T</w:t>
      </w:r>
      <w:r>
        <w:rPr>
          <w:rFonts w:ascii="Times New Roman" w:eastAsia="Calibri" w:hAnsi="Times New Roman" w:cs="Times New Roman"/>
          <w:bCs/>
          <w:lang w:val="zh-CN"/>
        </w:rPr>
        <w:t>he second set of findings offers a deeper analysis of the research, needs, and professionalism in maritime education, providing valuable insights into the alignment between educational content and industry demands, as well as the importance of continuous professional development and lifelong learning in preparing junior cadets for successful careers in the maritime industry. The data presented in tables support and reinforce the first findings, highlighting the critical role of international standards in shaping maritime education programs that meet the evolving needs and expectations of the industry.</w:t>
      </w:r>
    </w:p>
    <w:p w14:paraId="0A0C0D3E" w14:textId="77777777" w:rsidR="00671534" w:rsidRDefault="00671534">
      <w:pPr>
        <w:autoSpaceDE w:val="0"/>
        <w:autoSpaceDN w:val="0"/>
        <w:adjustRightInd w:val="0"/>
        <w:spacing w:after="0" w:line="240" w:lineRule="auto"/>
        <w:ind w:firstLine="426"/>
        <w:jc w:val="both"/>
        <w:rPr>
          <w:rFonts w:ascii="Times New Roman" w:eastAsia="Calibri" w:hAnsi="Times New Roman" w:cs="Times New Roman"/>
          <w:bCs/>
          <w:lang w:val="zh-CN"/>
        </w:rPr>
      </w:pPr>
    </w:p>
    <w:p w14:paraId="0B64AED6" w14:textId="77777777" w:rsidR="00671534" w:rsidRDefault="00000000">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3.2. Discussion</w:t>
      </w:r>
    </w:p>
    <w:p w14:paraId="3093FAC5"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The findings presented above offer valuable insights into the impact of international standards on maritime education and shed light on the challenges, opportunities, and professionalism within the maritime industry. In this discussion, we delve deeper into the implications of these findings and explore their significance for educators, policymakers, industry stakeholders, and aspiring seafarers.</w:t>
      </w:r>
    </w:p>
    <w:p w14:paraId="380825CB"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r>
        <w:rPr>
          <w:rFonts w:ascii="Times New Roman" w:eastAsia="Calibri" w:hAnsi="Times New Roman" w:cs="Times New Roman"/>
          <w:b/>
          <w:bCs/>
        </w:rPr>
        <w:t xml:space="preserve">3.2.1. </w:t>
      </w:r>
      <w:r>
        <w:rPr>
          <w:rFonts w:ascii="Times New Roman" w:eastAsia="Calibri" w:hAnsi="Times New Roman" w:cs="Times New Roman"/>
          <w:b/>
          <w:bCs/>
          <w:lang w:val="zh-CN"/>
        </w:rPr>
        <w:t>Alignment with International Standards</w:t>
      </w:r>
    </w:p>
    <w:p w14:paraId="2B9EA880"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The first set of findings revealed a strong perception among junior cadets regarding the alignment of their maritime education programs with international standards, particularly those outlined by the International Maritime Organization (IMO) and the Standards of Training, Certification, and Watchkeeping for Seafarers (STCW). The majority of participants perceived their programs to be fully aligned or partially aligned with international standards, indicating a high degree of confidence in the quality and relevance of their educational experiences.</w:t>
      </w:r>
    </w:p>
    <w:p w14:paraId="00B3027B"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This finding underscores the pivotal role of international standards in shaping maritime education programs and ensuring consistency, interoperability, and global recognition of qualifications. By adhering to internationally recognized frameworks such as the STCW Convention, educational institutions can provide students with a solid foundation of knowledge, skills, and competencies that are transferable across national borders and compliant with industry best practices.</w:t>
      </w:r>
    </w:p>
    <w:p w14:paraId="6E72E333"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Furthermore, the perception of alignment with international standards was closely associated with participants' satisfaction levels with various aspects of the curriculum content and practical training. Participants who perceived the curriculum components as very relevant or relevant tended to express higher levels of satisfaction, highlighting the importance of aligning educational content with industry needs to enhance student engagement, motivation, and learning outcomes.</w:t>
      </w:r>
    </w:p>
    <w:p w14:paraId="48831669"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r>
        <w:rPr>
          <w:rFonts w:ascii="Times New Roman" w:eastAsia="Calibri" w:hAnsi="Times New Roman" w:cs="Times New Roman"/>
          <w:b/>
          <w:bCs/>
        </w:rPr>
        <w:t xml:space="preserve">3.2.2. </w:t>
      </w:r>
      <w:r>
        <w:rPr>
          <w:rFonts w:ascii="Times New Roman" w:eastAsia="Calibri" w:hAnsi="Times New Roman" w:cs="Times New Roman"/>
          <w:b/>
          <w:bCs/>
          <w:lang w:val="zh-CN"/>
        </w:rPr>
        <w:t>Analysis of Research, Needs, and Professionalism in Maritime Education</w:t>
      </w:r>
    </w:p>
    <w:p w14:paraId="67FF9B53"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The second set of findings delved deeper into the analysis of research, needs, and professionalism in maritime education, providing insights into the relevance of the curriculum to professional needs, the importance of continuous professional development, and the availability of opportunities for career advancement within educational institutions.</w:t>
      </w:r>
    </w:p>
    <w:p w14:paraId="53F6AF8B"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The findings highlighted a strong correlation between the perceived relevance of the curriculum and participants' satisfaction levels, with those who found the curriculum components very relevant or relevant expressing higher levels of satisfaction. This underscores the importance of designing curriculum content that not only meets academic requirements but also addresses the practical demands and challenges encountered in real-world maritime operations.</w:t>
      </w:r>
    </w:p>
    <w:p w14:paraId="39B95305"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Moreover, the findings underscored the importance of continuous professional development and lifelong learning among junior cadets to keep pace with the evolving demands of the maritime industry. Participants expressed positive attitudes towards professional development opportunities provided within their educational institutions, including access to industry internships, support for certification exams, and availability of professional workshops/seminars. This reflects a proactive institutional approach towards fostering a culture of lifelong learning and career advancement among aspiring seafarers.</w:t>
      </w:r>
    </w:p>
    <w:p w14:paraId="15B2B365"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r>
        <w:rPr>
          <w:rFonts w:ascii="Times New Roman" w:eastAsia="Calibri" w:hAnsi="Times New Roman" w:cs="Times New Roman"/>
          <w:b/>
          <w:bCs/>
        </w:rPr>
        <w:t xml:space="preserve">3.2.3. </w:t>
      </w:r>
      <w:r>
        <w:rPr>
          <w:rFonts w:ascii="Times New Roman" w:eastAsia="Calibri" w:hAnsi="Times New Roman" w:cs="Times New Roman"/>
          <w:b/>
          <w:bCs/>
          <w:lang w:val="zh-CN"/>
        </w:rPr>
        <w:t>Implications for Maritime Education and Industry</w:t>
      </w:r>
    </w:p>
    <w:p w14:paraId="0398F599"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lastRenderedPageBreak/>
        <w:t>The findings of this research have several implications for maritime education and the industry at large. Firstly, they underscore the importance of aligning educational content with international standards to ensure the relevance, consistency, and global recognition of qualifications. By adhering to internationally recognized frameworks such as the STCW Convention, educational institutions can better prepare students for successful careers in the maritime industry and facilitate seamless mobility across national borders.</w:t>
      </w:r>
    </w:p>
    <w:p w14:paraId="1E12A223"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Secondly, the findings highlight the need for continuous professional development and lifelong learning among maritime professionals to keep pace with technological advancements, regulatory changes, and emerging trends in the industry. Educational institutions play a critical role in providing access to professional development opportunities, industry internships, and certification support to equip junior cadets with the requisite knowledge, skills, and competencies needed to thrive in a dynamic and competitive maritime landscape.</w:t>
      </w:r>
    </w:p>
    <w:p w14:paraId="4BE2CAFE"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Furthermore, the findings underscore the importance of fostering a culture of professionalism, safety consciousness, and environmental stewardship within the maritime industry. By instilling these values early on in their educational journey, junior cadets can contribute to a culture of excellence, integrity, and accountability in their future roles as seafaring professionals, thereby enhancing safety, efficiency, and sustainability within the maritime domain.</w:t>
      </w:r>
    </w:p>
    <w:p w14:paraId="5692478A" w14:textId="77777777" w:rsidR="00671534" w:rsidRDefault="00000000">
      <w:pPr>
        <w:autoSpaceDE w:val="0"/>
        <w:autoSpaceDN w:val="0"/>
        <w:adjustRightInd w:val="0"/>
        <w:spacing w:after="0" w:line="240" w:lineRule="auto"/>
        <w:jc w:val="both"/>
        <w:rPr>
          <w:rFonts w:ascii="Times New Roman" w:eastAsia="Calibri" w:hAnsi="Times New Roman" w:cs="Times New Roman"/>
          <w:bCs/>
          <w:lang w:val="zh-CN"/>
        </w:rPr>
      </w:pPr>
      <w:r>
        <w:rPr>
          <w:rFonts w:ascii="Times New Roman" w:eastAsia="Calibri" w:hAnsi="Times New Roman" w:cs="Times New Roman"/>
          <w:b/>
          <w:bCs/>
        </w:rPr>
        <w:t xml:space="preserve">3.2.4. </w:t>
      </w:r>
      <w:r>
        <w:rPr>
          <w:rFonts w:ascii="Times New Roman" w:eastAsia="Calibri" w:hAnsi="Times New Roman" w:cs="Times New Roman"/>
          <w:b/>
          <w:bCs/>
          <w:lang w:val="zh-CN"/>
        </w:rPr>
        <w:t>Limitations and Future Research Directions</w:t>
      </w:r>
    </w:p>
    <w:p w14:paraId="44CF6E19"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It is important to acknowledge the limitations of this study, including the relatively small sample size and the focus on junior cadets from specific educational institutions. Future research could benefit from larger sample sizes, broader geographic representation, and inclusion of perspectives from other stakeholders such as educators, employers, and regulatory bodies.</w:t>
      </w:r>
    </w:p>
    <w:p w14:paraId="64BF7D50"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Additionally, future research could explore the long-term impact of international standards on the career trajectories, professional development, and job satisfaction of maritime professionals. Longitudinal studies tracking the educational and professional journeys of junior cadets over time could provide valuable insights into the effectiveness and sustainability of maritime education programs in preparing students for successful careers in the maritime industry.</w:t>
      </w:r>
    </w:p>
    <w:p w14:paraId="213743CD"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rPr>
        <w:t>T</w:t>
      </w:r>
      <w:r>
        <w:rPr>
          <w:rFonts w:ascii="Times New Roman" w:eastAsia="Calibri" w:hAnsi="Times New Roman" w:cs="Times New Roman"/>
          <w:bCs/>
          <w:lang w:val="zh-CN"/>
        </w:rPr>
        <w:t xml:space="preserve">his research contributes to the ongoing discourse surrounding the optimization of maritime education in alignment with international standards and underscores the importance of continuous </w:t>
      </w:r>
      <w:r>
        <w:rPr>
          <w:rFonts w:ascii="Times New Roman" w:eastAsia="Calibri" w:hAnsi="Times New Roman" w:cs="Times New Roman"/>
          <w:bCs/>
          <w:lang w:val="zh-CN"/>
        </w:rPr>
        <w:t>professional development, lifelong learning, and professionalism within the maritime industry. By addressing the challenges and opportunities inherent in maritime education, educators, policymakers, industry stakeholders, and aspiring seafarers can work together to shape a future maritime workforce that is skilled, competent, and resilient in meeting the evolving demands of the maritime domain.</w:t>
      </w:r>
    </w:p>
    <w:p w14:paraId="6030CBDD" w14:textId="77777777" w:rsidR="00671534" w:rsidRDefault="00671534">
      <w:pPr>
        <w:autoSpaceDE w:val="0"/>
        <w:autoSpaceDN w:val="0"/>
        <w:adjustRightInd w:val="0"/>
        <w:spacing w:after="0" w:line="240" w:lineRule="auto"/>
        <w:ind w:firstLine="426"/>
        <w:jc w:val="both"/>
        <w:rPr>
          <w:rFonts w:ascii="Times New Roman" w:eastAsia="Calibri" w:hAnsi="Times New Roman" w:cs="Times New Roman"/>
          <w:bCs/>
        </w:rPr>
      </w:pPr>
      <w:commentRangeStart w:id="13"/>
    </w:p>
    <w:p w14:paraId="4B09C68F" w14:textId="77777777" w:rsidR="00671534" w:rsidRDefault="00000000">
      <w:pPr>
        <w:pStyle w:val="ListParagraph"/>
        <w:numPr>
          <w:ilvl w:val="0"/>
          <w:numId w:val="3"/>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CONCLUSION</w:t>
      </w:r>
      <w:commentRangeEnd w:id="13"/>
      <w:r>
        <w:commentReference w:id="13"/>
      </w:r>
    </w:p>
    <w:p w14:paraId="6A312A79"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rPr>
        <w:t>T</w:t>
      </w:r>
      <w:r>
        <w:rPr>
          <w:rFonts w:ascii="Times New Roman" w:eastAsia="Calibri" w:hAnsi="Times New Roman" w:cs="Times New Roman"/>
          <w:bCs/>
          <w:lang w:val="zh-CN"/>
        </w:rPr>
        <w:t>his research has provided valuable insights into the impact of international standards on maritime education, as perceived by junior cadets undergoing training in maritime institutes, private maritime institutes, and vocational institutions. Through qualitative analysis of semi-structured interviews, participant observation, and document analysis, several key themes and findings have emerged, shedding light on the challenges, opportunities, and professionalism within the maritime industry.</w:t>
      </w:r>
      <w:r>
        <w:rPr>
          <w:rFonts w:ascii="Times New Roman" w:eastAsia="Calibri" w:hAnsi="Times New Roman" w:cs="Times New Roman"/>
          <w:bCs/>
        </w:rPr>
        <w:t xml:space="preserve"> </w:t>
      </w:r>
      <w:r>
        <w:rPr>
          <w:rFonts w:ascii="Times New Roman" w:eastAsia="Calibri" w:hAnsi="Times New Roman" w:cs="Times New Roman"/>
          <w:bCs/>
          <w:lang w:val="zh-CN"/>
        </w:rPr>
        <w:t>The findings revealed a strong perception among junior cadets regarding the alignment of their maritime education programs with international standards, particularly those outlined by the International Maritime Organization (IMO) and the Standards of Training, Certification, and Watchkeeping for Seafarers (STCW). Participants expressed confidence in the quality and relevance of their educational experiences, highlighting the importance of adhering to internationally recognized frameworks to ensure consistency, interoperability, and global recognition of qualifications.</w:t>
      </w:r>
      <w:r>
        <w:rPr>
          <w:rFonts w:ascii="Times New Roman" w:eastAsia="Calibri" w:hAnsi="Times New Roman" w:cs="Times New Roman"/>
          <w:bCs/>
        </w:rPr>
        <w:t xml:space="preserve"> </w:t>
      </w:r>
      <w:r>
        <w:rPr>
          <w:rFonts w:ascii="Times New Roman" w:eastAsia="Calibri" w:hAnsi="Times New Roman" w:cs="Times New Roman"/>
          <w:bCs/>
          <w:lang w:val="zh-CN"/>
        </w:rPr>
        <w:t>Moreover, the analysis of research, needs, and professionalism in maritime education underscored the importance of aligning curriculum content with industry demands, providing opportunities for continuous professional development, and fostering a culture of lifelong learning and career advancement within educational institutions. Participants expressed positive attitudes towards professional development opportunities, indicating a proactive institutional approach towards equipping junior cadets with the requisite knowledge, skills, and competencies needed to thrive in a dynamic and competitive maritime landscape.</w:t>
      </w:r>
    </w:p>
    <w:p w14:paraId="7B3758FE" w14:textId="77777777" w:rsidR="00671534" w:rsidRDefault="00000000">
      <w:pPr>
        <w:autoSpaceDE w:val="0"/>
        <w:autoSpaceDN w:val="0"/>
        <w:adjustRightInd w:val="0"/>
        <w:spacing w:after="0" w:line="240" w:lineRule="auto"/>
        <w:ind w:firstLine="426"/>
        <w:jc w:val="both"/>
        <w:rPr>
          <w:rFonts w:ascii="Times New Roman" w:eastAsia="Calibri" w:hAnsi="Times New Roman" w:cs="Times New Roman"/>
          <w:bCs/>
          <w:lang w:val="zh-CN"/>
        </w:rPr>
      </w:pPr>
      <w:r>
        <w:rPr>
          <w:rFonts w:ascii="Times New Roman" w:eastAsia="Calibri" w:hAnsi="Times New Roman" w:cs="Times New Roman"/>
          <w:bCs/>
          <w:lang w:val="zh-CN"/>
        </w:rPr>
        <w:t>These findings have several implications for maritime education and the industry at large. By aligning educational content with international standards and providing access to professional development opportunities, educational institutions can better prepare students for successful careers in the maritime industry and contribute to a culture of excellence, safety consciousness, and environmental stewardship within the maritime domain.</w:t>
      </w:r>
      <w:r>
        <w:rPr>
          <w:rFonts w:ascii="Times New Roman" w:eastAsia="Calibri" w:hAnsi="Times New Roman" w:cs="Times New Roman"/>
          <w:bCs/>
        </w:rPr>
        <w:t xml:space="preserve"> </w:t>
      </w:r>
      <w:r>
        <w:rPr>
          <w:rFonts w:ascii="Times New Roman" w:eastAsia="Calibri" w:hAnsi="Times New Roman" w:cs="Times New Roman"/>
          <w:bCs/>
          <w:lang w:val="zh-CN"/>
        </w:rPr>
        <w:t xml:space="preserve">However, it is important to acknowledge the limitations of this study, including the relatively small sample size and the focus on junior cadets from specific educational </w:t>
      </w:r>
      <w:r>
        <w:rPr>
          <w:rFonts w:ascii="Times New Roman" w:eastAsia="Calibri" w:hAnsi="Times New Roman" w:cs="Times New Roman"/>
          <w:bCs/>
          <w:lang w:val="zh-CN"/>
        </w:rPr>
        <w:lastRenderedPageBreak/>
        <w:t>institutions. Future research could benefit from larger sample sizes, broader geographic representation, and longitudinal studies tracking the educational and professional journeys of maritime professionals over time.</w:t>
      </w:r>
      <w:r>
        <w:rPr>
          <w:rFonts w:ascii="Times New Roman" w:eastAsia="Calibri" w:hAnsi="Times New Roman" w:cs="Times New Roman"/>
          <w:bCs/>
        </w:rPr>
        <w:t xml:space="preserve"> T</w:t>
      </w:r>
      <w:r>
        <w:rPr>
          <w:rFonts w:ascii="Times New Roman" w:eastAsia="Calibri" w:hAnsi="Times New Roman" w:cs="Times New Roman"/>
          <w:bCs/>
          <w:lang w:val="zh-CN"/>
        </w:rPr>
        <w:t xml:space="preserve">his research contributes to the ongoing discourse surrounding the optimization of maritime education in alignment with international standards and underscores the importance of continuous professional development, lifelong learning, and professionalism within the maritime industry. By addressing the challenges and opportunities inherent in maritime education, educators, policymakers, industry stakeholders, and aspiring seafarers can work together to shape a future maritime workforce that is skilled, competent, and resilient in meeting the evolving demands of the maritime domain. </w:t>
      </w:r>
    </w:p>
    <w:p w14:paraId="155DFDD7" w14:textId="77777777" w:rsidR="00671534" w:rsidRDefault="00671534">
      <w:pPr>
        <w:autoSpaceDE w:val="0"/>
        <w:autoSpaceDN w:val="0"/>
        <w:adjustRightInd w:val="0"/>
        <w:spacing w:after="0" w:line="240" w:lineRule="auto"/>
        <w:ind w:firstLine="426"/>
        <w:jc w:val="both"/>
        <w:rPr>
          <w:rFonts w:ascii="Times New Roman" w:eastAsia="Calibri" w:hAnsi="Times New Roman" w:cs="Times New Roman"/>
          <w:bCs/>
          <w:lang w:val="en-US"/>
        </w:rPr>
      </w:pPr>
    </w:p>
    <w:p w14:paraId="51DFD46E" w14:textId="77777777" w:rsidR="00671534" w:rsidRDefault="00000000">
      <w:pPr>
        <w:autoSpaceDE w:val="0"/>
        <w:autoSpaceDN w:val="0"/>
        <w:adjustRightInd w:val="0"/>
        <w:spacing w:after="0" w:line="240" w:lineRule="auto"/>
        <w:rPr>
          <w:rFonts w:ascii="Times New Roman" w:eastAsia="Calibri" w:hAnsi="Times New Roman" w:cs="Times New Roman"/>
          <w:b/>
          <w:bCs/>
          <w:lang w:val="en-US"/>
        </w:rPr>
      </w:pPr>
      <w:commentRangeStart w:id="14"/>
      <w:r>
        <w:rPr>
          <w:rFonts w:ascii="Times New Roman" w:eastAsia="Calibri" w:hAnsi="Times New Roman" w:cs="Times New Roman"/>
          <w:b/>
          <w:bCs/>
        </w:rPr>
        <w:t>REFERENCES</w:t>
      </w:r>
      <w:commentRangeEnd w:id="14"/>
      <w:r>
        <w:commentReference w:id="14"/>
      </w:r>
    </w:p>
    <w:p w14:paraId="0622A316"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Pr>
          <w:rFonts w:ascii="Times New Roman" w:hAnsi="Times New Roman" w:cs="Times New Roman"/>
          <w:szCs w:val="24"/>
        </w:rPr>
        <w:t>[1]</w:t>
      </w:r>
      <w:r>
        <w:rPr>
          <w:rFonts w:ascii="Times New Roman" w:hAnsi="Times New Roman" w:cs="Times New Roman"/>
          <w:szCs w:val="24"/>
        </w:rPr>
        <w:tab/>
        <w:t xml:space="preserve">B. Neilson and N. Rossiter, “Still waiting, still moving: On labour, logistics and maritime industries,” in </w:t>
      </w:r>
      <w:r>
        <w:rPr>
          <w:rFonts w:ascii="Times New Roman" w:hAnsi="Times New Roman" w:cs="Times New Roman"/>
          <w:i/>
          <w:iCs/>
          <w:szCs w:val="24"/>
        </w:rPr>
        <w:t>Stillness in a mobile world</w:t>
      </w:r>
      <w:r>
        <w:rPr>
          <w:rFonts w:ascii="Times New Roman" w:hAnsi="Times New Roman" w:cs="Times New Roman"/>
          <w:szCs w:val="24"/>
        </w:rPr>
        <w:t>, Routledge, 2013, pp. 51–68.</w:t>
      </w:r>
    </w:p>
    <w:p w14:paraId="79D72A1A"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 xml:space="preserve">I. de la Peña Zarzuelo, M. J. F. Soeane, and B. L. Bermúdez, “Industry 4.0 in the port and maritime industry: A literature review,” </w:t>
      </w:r>
      <w:r>
        <w:rPr>
          <w:rFonts w:ascii="Times New Roman" w:hAnsi="Times New Roman" w:cs="Times New Roman"/>
          <w:i/>
          <w:iCs/>
          <w:szCs w:val="24"/>
        </w:rPr>
        <w:t>J. Ind. Inf. Integr.</w:t>
      </w:r>
      <w:r>
        <w:rPr>
          <w:rFonts w:ascii="Times New Roman" w:hAnsi="Times New Roman" w:cs="Times New Roman"/>
          <w:szCs w:val="24"/>
        </w:rPr>
        <w:t>, vol. 20, p. 100173, 2020.</w:t>
      </w:r>
    </w:p>
    <w:p w14:paraId="4E77209B"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ab/>
        <w:t xml:space="preserve">D. House and F. Saeed, </w:t>
      </w:r>
      <w:r>
        <w:rPr>
          <w:rFonts w:ascii="Times New Roman" w:hAnsi="Times New Roman" w:cs="Times New Roman"/>
          <w:i/>
          <w:iCs/>
          <w:szCs w:val="24"/>
        </w:rPr>
        <w:t>The seamanship examiner: for STCW certification examinations</w:t>
      </w:r>
      <w:r>
        <w:rPr>
          <w:rFonts w:ascii="Times New Roman" w:hAnsi="Times New Roman" w:cs="Times New Roman"/>
          <w:szCs w:val="24"/>
        </w:rPr>
        <w:t>. Taylor &amp; Francis, 2016.</w:t>
      </w:r>
    </w:p>
    <w:p w14:paraId="4B2AA935"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ab/>
        <w:t xml:space="preserve">Y. Mori and M. E. Manuel, “An Exploration of the Theoretical Foundations of Onboard Seafarer Training: A Systematic Review of the Literature.,” </w:t>
      </w:r>
      <w:r>
        <w:rPr>
          <w:rFonts w:ascii="Times New Roman" w:hAnsi="Times New Roman" w:cs="Times New Roman"/>
          <w:i/>
          <w:iCs/>
          <w:szCs w:val="24"/>
        </w:rPr>
        <w:t>TransNav Int. J. Mar. Navig. Saf. Sea Transp.</w:t>
      </w:r>
      <w:r>
        <w:rPr>
          <w:rFonts w:ascii="Times New Roman" w:hAnsi="Times New Roman" w:cs="Times New Roman"/>
          <w:szCs w:val="24"/>
        </w:rPr>
        <w:t>, vol. 17, no. 4, 2023.</w:t>
      </w:r>
    </w:p>
    <w:p w14:paraId="3EAA3A5C"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ab/>
        <w:t>S. S. Abila, “The occupational socialisation of merchant marine cadets in the Philippines.” Cardiff University, 2016.</w:t>
      </w:r>
    </w:p>
    <w:p w14:paraId="238DA8AD"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szCs w:val="24"/>
        </w:rPr>
        <w:tab/>
        <w:t xml:space="preserve">K. Bergheim, M. B. Nielsen, K. Mearns, and J. Eid, “The relationship between psychological capital, job satisfaction, and safety perceptions in the maritime industry,” </w:t>
      </w:r>
      <w:r>
        <w:rPr>
          <w:rFonts w:ascii="Times New Roman" w:hAnsi="Times New Roman" w:cs="Times New Roman"/>
          <w:i/>
          <w:iCs/>
          <w:szCs w:val="24"/>
        </w:rPr>
        <w:t>Saf. Sci.</w:t>
      </w:r>
      <w:r>
        <w:rPr>
          <w:rFonts w:ascii="Times New Roman" w:hAnsi="Times New Roman" w:cs="Times New Roman"/>
          <w:szCs w:val="24"/>
        </w:rPr>
        <w:t>, vol. 74, pp. 27–36, 2015.</w:t>
      </w:r>
    </w:p>
    <w:p w14:paraId="0C8CB2BE"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rPr>
        <w:tab/>
        <w:t xml:space="preserve">M.-L. Tseng, T. P. T. Tran, H. M. Ha, T.-D. Bui, and M. K. Lim, “Sustainable industrial and operation engineering trends and challenges Toward Industry 4.0: A data driven analysis,” </w:t>
      </w:r>
      <w:r>
        <w:rPr>
          <w:rFonts w:ascii="Times New Roman" w:hAnsi="Times New Roman" w:cs="Times New Roman"/>
          <w:i/>
          <w:iCs/>
          <w:szCs w:val="24"/>
        </w:rPr>
        <w:t>J. Ind. Prod. Eng.</w:t>
      </w:r>
      <w:r>
        <w:rPr>
          <w:rFonts w:ascii="Times New Roman" w:hAnsi="Times New Roman" w:cs="Times New Roman"/>
          <w:szCs w:val="24"/>
        </w:rPr>
        <w:t>, vol. 38, no. 8, pp. 581–598, 2021.</w:t>
      </w:r>
    </w:p>
    <w:p w14:paraId="0CB1D7DA"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[8]</w:t>
      </w:r>
      <w:r>
        <w:rPr>
          <w:rFonts w:ascii="Times New Roman" w:hAnsi="Times New Roman" w:cs="Times New Roman"/>
          <w:szCs w:val="24"/>
        </w:rPr>
        <w:tab/>
        <w:t>A. Sharma, “Potential of technology supported competence development for Maritime Education and Training,” 2023.</w:t>
      </w:r>
    </w:p>
    <w:p w14:paraId="1DB27BD9"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[9]</w:t>
      </w:r>
      <w:r>
        <w:rPr>
          <w:rFonts w:ascii="Times New Roman" w:hAnsi="Times New Roman" w:cs="Times New Roman"/>
          <w:szCs w:val="24"/>
        </w:rPr>
        <w:tab/>
        <w:t xml:space="preserve">J. W. Creswell and V. L. P. Clark, “Choosing a mixed methods design,” in </w:t>
      </w:r>
      <w:r>
        <w:rPr>
          <w:rFonts w:ascii="Times New Roman" w:hAnsi="Times New Roman" w:cs="Times New Roman"/>
          <w:i/>
          <w:iCs/>
          <w:szCs w:val="24"/>
        </w:rPr>
        <w:t>Designing and Conducting Mixed Methods Research</w:t>
      </w:r>
      <w:r>
        <w:rPr>
          <w:rFonts w:ascii="Times New Roman" w:hAnsi="Times New Roman" w:cs="Times New Roman"/>
          <w:szCs w:val="24"/>
        </w:rPr>
        <w:t xml:space="preserve">, California: Sage Publications, </w:t>
      </w:r>
      <w:r>
        <w:rPr>
          <w:rFonts w:ascii="Times New Roman" w:hAnsi="Times New Roman" w:cs="Times New Roman"/>
          <w:szCs w:val="24"/>
        </w:rPr>
        <w:t>Inc., 2011, pp. 53–106.</w:t>
      </w:r>
    </w:p>
    <w:p w14:paraId="6345E967"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[10]</w:t>
      </w:r>
      <w:r>
        <w:rPr>
          <w:rFonts w:ascii="Times New Roman" w:hAnsi="Times New Roman" w:cs="Times New Roman"/>
          <w:szCs w:val="24"/>
        </w:rPr>
        <w:tab/>
        <w:t xml:space="preserve">K. Yilmaz, “Comparison of quantitative and qualitative research traditions: Epistemological, theoretical, and methodological differences,” </w:t>
      </w:r>
      <w:r>
        <w:rPr>
          <w:rFonts w:ascii="Times New Roman" w:hAnsi="Times New Roman" w:cs="Times New Roman"/>
          <w:i/>
          <w:iCs/>
          <w:szCs w:val="24"/>
        </w:rPr>
        <w:t>Eur. J. Educ.</w:t>
      </w:r>
      <w:r>
        <w:rPr>
          <w:rFonts w:ascii="Times New Roman" w:hAnsi="Times New Roman" w:cs="Times New Roman"/>
          <w:szCs w:val="24"/>
        </w:rPr>
        <w:t>, vol. 48, no. 2, pp. 311–325, 2013.</w:t>
      </w:r>
    </w:p>
    <w:p w14:paraId="0C180FC1"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[11]</w:t>
      </w:r>
      <w:r>
        <w:rPr>
          <w:rFonts w:ascii="Times New Roman" w:hAnsi="Times New Roman" w:cs="Times New Roman"/>
          <w:szCs w:val="24"/>
        </w:rPr>
        <w:tab/>
        <w:t xml:space="preserve">B. Chilisa, </w:t>
      </w:r>
      <w:r>
        <w:rPr>
          <w:rFonts w:ascii="Times New Roman" w:hAnsi="Times New Roman" w:cs="Times New Roman"/>
          <w:i/>
          <w:iCs/>
          <w:szCs w:val="24"/>
        </w:rPr>
        <w:t>Indigenous research methodologies</w:t>
      </w:r>
      <w:r>
        <w:rPr>
          <w:rFonts w:ascii="Times New Roman" w:hAnsi="Times New Roman" w:cs="Times New Roman"/>
          <w:szCs w:val="24"/>
        </w:rPr>
        <w:t>. Sage publications, 2019.</w:t>
      </w:r>
    </w:p>
    <w:p w14:paraId="122111D8"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[12]</w:t>
      </w:r>
      <w:r>
        <w:rPr>
          <w:rFonts w:ascii="Times New Roman" w:hAnsi="Times New Roman" w:cs="Times New Roman"/>
          <w:szCs w:val="24"/>
        </w:rPr>
        <w:tab/>
        <w:t>U. G. Schriever, “Maritime communication in an international and intercultural discourse.” University of Tasmania, 2008.</w:t>
      </w:r>
    </w:p>
    <w:p w14:paraId="19B63DD3"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szCs w:val="24"/>
        </w:rPr>
      </w:pPr>
      <w:r>
        <w:rPr>
          <w:rFonts w:ascii="Times New Roman" w:hAnsi="Times New Roman" w:cs="Times New Roman"/>
          <w:szCs w:val="24"/>
        </w:rPr>
        <w:t>[13]</w:t>
      </w:r>
      <w:r>
        <w:rPr>
          <w:rFonts w:ascii="Times New Roman" w:hAnsi="Times New Roman" w:cs="Times New Roman"/>
          <w:szCs w:val="24"/>
        </w:rPr>
        <w:tab/>
        <w:t xml:space="preserve">R. Balkin, “The international maritime organization and maritime security,” </w:t>
      </w:r>
      <w:r>
        <w:rPr>
          <w:rFonts w:ascii="Times New Roman" w:hAnsi="Times New Roman" w:cs="Times New Roman"/>
          <w:i/>
          <w:iCs/>
          <w:szCs w:val="24"/>
        </w:rPr>
        <w:t>Tul. Mar. LJ</w:t>
      </w:r>
      <w:r>
        <w:rPr>
          <w:rFonts w:ascii="Times New Roman" w:hAnsi="Times New Roman" w:cs="Times New Roman"/>
          <w:szCs w:val="24"/>
        </w:rPr>
        <w:t>, vol. 30, p. 1, 2006.</w:t>
      </w:r>
    </w:p>
    <w:p w14:paraId="7F6E7D86" w14:textId="77777777" w:rsidR="00671534" w:rsidRDefault="00000000">
      <w:pPr>
        <w:widowControl w:val="0"/>
        <w:autoSpaceDE w:val="0"/>
        <w:autoSpaceDN w:val="0"/>
        <w:adjustRightInd w:val="0"/>
        <w:spacing w:after="0" w:line="240" w:lineRule="auto"/>
        <w:ind w:left="640" w:hanging="640"/>
        <w:rPr>
          <w:rFonts w:ascii="Times New Roman" w:hAnsi="Times New Roman" w:cs="Times New Roman"/>
        </w:rPr>
      </w:pPr>
      <w:r>
        <w:rPr>
          <w:rFonts w:ascii="Times New Roman" w:hAnsi="Times New Roman" w:cs="Times New Roman"/>
          <w:szCs w:val="24"/>
        </w:rPr>
        <w:t>[14]</w:t>
      </w:r>
      <w:r>
        <w:rPr>
          <w:rFonts w:ascii="Times New Roman" w:hAnsi="Times New Roman" w:cs="Times New Roman"/>
          <w:szCs w:val="24"/>
        </w:rPr>
        <w:tab/>
        <w:t xml:space="preserve">V. Lo Iacono, P. Symonds, and D. H. K. Brown, “Skype as a tool for qualitative research interviews,” </w:t>
      </w:r>
      <w:r>
        <w:rPr>
          <w:rFonts w:ascii="Times New Roman" w:hAnsi="Times New Roman" w:cs="Times New Roman"/>
          <w:i/>
          <w:iCs/>
          <w:szCs w:val="24"/>
        </w:rPr>
        <w:t>Sociol. Res. online</w:t>
      </w:r>
      <w:r>
        <w:rPr>
          <w:rFonts w:ascii="Times New Roman" w:hAnsi="Times New Roman" w:cs="Times New Roman"/>
          <w:szCs w:val="24"/>
        </w:rPr>
        <w:t>, vol. 21, no. 2, pp. 103–117, 2016.</w:t>
      </w:r>
    </w:p>
    <w:p w14:paraId="4CD26E85" w14:textId="77777777" w:rsidR="00671534" w:rsidRDefault="00000000">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671534">
      <w:type w:val="continuous"/>
      <w:pgSz w:w="11906" w:h="16838"/>
      <w:pgMar w:top="1134" w:right="1134" w:bottom="1134" w:left="1134" w:header="709" w:footer="709" w:gutter="0"/>
      <w:cols w:num="2" w:space="45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ild Good" w:date="2024-05-04T10:00:00Z" w:initials="">
    <w:p w14:paraId="23B624BC" w14:textId="77777777" w:rsidR="00671534" w:rsidRDefault="00000000">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template </w:t>
      </w:r>
      <w:proofErr w:type="spellStart"/>
      <w:r>
        <w:rPr>
          <w:lang w:val="en-US"/>
        </w:rPr>
        <w:t>jurnal</w:t>
      </w:r>
      <w:proofErr w:type="spellEnd"/>
    </w:p>
  </w:comment>
  <w:comment w:id="2" w:author="Child Good" w:date="2024-05-04T10:00:00Z" w:initials="">
    <w:p w14:paraId="71010908" w14:textId="77777777" w:rsidR="00671534" w:rsidRDefault="00000000">
      <w:pPr>
        <w:pStyle w:val="ListParagraph"/>
        <w:spacing w:after="0" w:line="360" w:lineRule="auto"/>
        <w:ind w:left="1320"/>
        <w:jc w:val="both"/>
        <w:rPr>
          <w:rFonts w:ascii="Times New Roman" w:hAnsi="Times New Roman" w:cs="Times New Roman"/>
          <w:sz w:val="24"/>
          <w:szCs w:val="24"/>
          <w:lang w:val="en-US" w:eastAsia="zh-CN"/>
        </w:rPr>
      </w:pPr>
      <w:proofErr w:type="spellStart"/>
      <w:r>
        <w:rPr>
          <w:rFonts w:ascii="Times New Roman" w:hAnsi="Times New Roman" w:cs="Times New Roman"/>
          <w:sz w:val="24"/>
          <w:szCs w:val="24"/>
          <w:lang w:val="en-US" w:eastAsia="zh-CN"/>
        </w:rPr>
        <w:t>abstrak</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mencakup</w:t>
      </w:r>
      <w:proofErr w:type="spellEnd"/>
      <w:r>
        <w:rPr>
          <w:rFonts w:ascii="Times New Roman" w:hAnsi="Times New Roman" w:cs="Times New Roman"/>
          <w:sz w:val="24"/>
          <w:szCs w:val="24"/>
          <w:lang w:val="en-US" w:eastAsia="zh-CN"/>
        </w:rPr>
        <w:t xml:space="preserve"> : </w:t>
      </w:r>
      <w:proofErr w:type="spellStart"/>
      <w:r>
        <w:rPr>
          <w:rFonts w:ascii="Times New Roman" w:hAnsi="Times New Roman" w:cs="Times New Roman"/>
          <w:sz w:val="24"/>
          <w:szCs w:val="24"/>
          <w:lang w:val="en-US" w:eastAsia="zh-CN"/>
        </w:rPr>
        <w:t>tujuan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metode</w:t>
      </w:r>
      <w:proofErr w:type="spellEnd"/>
      <w:r>
        <w:rPr>
          <w:rFonts w:ascii="Times New Roman" w:hAnsi="Times New Roman" w:cs="Times New Roman"/>
          <w:sz w:val="24"/>
          <w:szCs w:val="24"/>
          <w:lang w:val="en-US" w:eastAsia="zh-CN"/>
        </w:rPr>
        <w:t xml:space="preserve"> dan </w:t>
      </w:r>
      <w:proofErr w:type="spellStart"/>
      <w:r>
        <w:rPr>
          <w:rFonts w:ascii="Times New Roman" w:hAnsi="Times New Roman" w:cs="Times New Roman"/>
          <w:sz w:val="24"/>
          <w:szCs w:val="24"/>
          <w:lang w:val="en-US" w:eastAsia="zh-CN"/>
        </w:rPr>
        <w:t>hasil</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penelitian</w:t>
      </w:r>
      <w:proofErr w:type="spellEnd"/>
    </w:p>
    <w:p w14:paraId="686B7535" w14:textId="77777777" w:rsidR="00671534" w:rsidRDefault="00671534">
      <w:pPr>
        <w:pStyle w:val="CommentText"/>
      </w:pPr>
    </w:p>
  </w:comment>
  <w:comment w:id="3" w:author="Child Good" w:date="2024-05-04T10:01:00Z" w:initials="">
    <w:p w14:paraId="3D7B32C4" w14:textId="77777777" w:rsidR="00671534" w:rsidRDefault="00000000">
      <w:pPr>
        <w:pStyle w:val="CommentText"/>
        <w:rPr>
          <w:lang w:val="en-US"/>
        </w:rPr>
      </w:pPr>
      <w:r>
        <w:rPr>
          <w:lang w:val="en-US"/>
        </w:rPr>
        <w:t xml:space="preserve">Tidak </w:t>
      </w:r>
      <w:proofErr w:type="spellStart"/>
      <w:r>
        <w:rPr>
          <w:lang w:val="en-US"/>
        </w:rPr>
        <w:t>menggunakan</w:t>
      </w:r>
      <w:proofErr w:type="spellEnd"/>
      <w:r>
        <w:rPr>
          <w:lang w:val="en-US"/>
        </w:rPr>
        <w:t xml:space="preserve"> </w:t>
      </w:r>
      <w:proofErr w:type="spellStart"/>
      <w:r>
        <w:rPr>
          <w:lang w:val="en-US"/>
        </w:rPr>
        <w:t>nomor</w:t>
      </w:r>
      <w:proofErr w:type="spellEnd"/>
    </w:p>
  </w:comment>
  <w:comment w:id="4" w:author="Child Good" w:date="2024-05-04T10:01:00Z" w:initials="">
    <w:p w14:paraId="78B41EFD" w14:textId="77777777" w:rsidR="00671534" w:rsidRDefault="00000000">
      <w:pPr>
        <w:pStyle w:val="CommentText"/>
        <w:rPr>
          <w:lang w:val="en-US"/>
        </w:rPr>
      </w:pPr>
      <w:r>
        <w:rPr>
          <w:lang w:val="en-US"/>
        </w:rPr>
        <w:t xml:space="preserve">Tidak </w:t>
      </w:r>
      <w:proofErr w:type="spellStart"/>
      <w:r>
        <w:rPr>
          <w:lang w:val="en-US"/>
        </w:rPr>
        <w:t>menggunakan</w:t>
      </w:r>
      <w:proofErr w:type="spellEnd"/>
      <w:r>
        <w:rPr>
          <w:lang w:val="en-US"/>
        </w:rPr>
        <w:t xml:space="preserve"> </w:t>
      </w:r>
      <w:proofErr w:type="spellStart"/>
      <w:r>
        <w:rPr>
          <w:lang w:val="en-US"/>
        </w:rPr>
        <w:t>nomor</w:t>
      </w:r>
      <w:proofErr w:type="spellEnd"/>
    </w:p>
  </w:comment>
  <w:comment w:id="5" w:author="Child Good" w:date="2024-05-04T10:01:00Z" w:initials="">
    <w:p w14:paraId="04F2274E" w14:textId="77777777" w:rsidR="00671534" w:rsidRDefault="00000000">
      <w:pPr>
        <w:pStyle w:val="CommentText"/>
        <w:rPr>
          <w:lang w:val="en-US"/>
        </w:rPr>
      </w:pPr>
      <w:r>
        <w:rPr>
          <w:lang w:val="en-US"/>
        </w:rPr>
        <w:t xml:space="preserve">Tidak </w:t>
      </w:r>
      <w:proofErr w:type="spellStart"/>
      <w:r>
        <w:rPr>
          <w:lang w:val="en-US"/>
        </w:rPr>
        <w:t>menggunakan</w:t>
      </w:r>
      <w:proofErr w:type="spellEnd"/>
      <w:r>
        <w:rPr>
          <w:lang w:val="en-US"/>
        </w:rPr>
        <w:t xml:space="preserve"> </w:t>
      </w:r>
      <w:proofErr w:type="spellStart"/>
      <w:r>
        <w:rPr>
          <w:lang w:val="en-US"/>
        </w:rPr>
        <w:t>nomor</w:t>
      </w:r>
      <w:proofErr w:type="spellEnd"/>
    </w:p>
  </w:comment>
  <w:comment w:id="6" w:author="Child Good" w:date="2024-05-04T10:01:00Z" w:initials="">
    <w:p w14:paraId="54F519A0" w14:textId="77777777" w:rsidR="00671534" w:rsidRDefault="00000000">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template </w:t>
      </w:r>
      <w:proofErr w:type="spellStart"/>
      <w:r>
        <w:rPr>
          <w:lang w:val="en-US"/>
        </w:rPr>
        <w:t>jurnal</w:t>
      </w:r>
      <w:proofErr w:type="spellEnd"/>
    </w:p>
  </w:comment>
  <w:comment w:id="7" w:author="Child Good" w:date="2024-05-04T10:01:00Z" w:initials="">
    <w:p w14:paraId="4A0D7047" w14:textId="77777777" w:rsidR="00671534" w:rsidRDefault="00000000">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template </w:t>
      </w:r>
      <w:proofErr w:type="spellStart"/>
      <w:r>
        <w:rPr>
          <w:lang w:val="en-US"/>
        </w:rPr>
        <w:t>jurnal</w:t>
      </w:r>
      <w:proofErr w:type="spellEnd"/>
    </w:p>
    <w:p w14:paraId="0D373E78" w14:textId="77777777" w:rsidR="00671534" w:rsidRDefault="00671534">
      <w:pPr>
        <w:pStyle w:val="CommentText"/>
      </w:pPr>
    </w:p>
  </w:comment>
  <w:comment w:id="8" w:author="Child Good" w:date="2024-05-04T10:01:00Z" w:initials="">
    <w:p w14:paraId="563A4967" w14:textId="77777777" w:rsidR="00671534" w:rsidRDefault="00000000">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template </w:t>
      </w:r>
      <w:proofErr w:type="spellStart"/>
      <w:r>
        <w:rPr>
          <w:lang w:val="en-US"/>
        </w:rPr>
        <w:t>jurnal</w:t>
      </w:r>
      <w:proofErr w:type="spellEnd"/>
    </w:p>
    <w:p w14:paraId="387B7B88" w14:textId="77777777" w:rsidR="00671534" w:rsidRDefault="00671534">
      <w:pPr>
        <w:pStyle w:val="CommentText"/>
      </w:pPr>
    </w:p>
  </w:comment>
  <w:comment w:id="9" w:author="Child Good" w:date="2024-05-04T10:02:00Z" w:initials="">
    <w:p w14:paraId="0BA30A7A" w14:textId="77777777" w:rsidR="00671534" w:rsidRDefault="00000000">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template </w:t>
      </w:r>
      <w:proofErr w:type="spellStart"/>
      <w:r>
        <w:rPr>
          <w:lang w:val="en-US"/>
        </w:rPr>
        <w:t>jurnal</w:t>
      </w:r>
      <w:proofErr w:type="spellEnd"/>
    </w:p>
    <w:p w14:paraId="764E2DA8" w14:textId="77777777" w:rsidR="00671534" w:rsidRDefault="00671534">
      <w:pPr>
        <w:pStyle w:val="CommentText"/>
      </w:pPr>
    </w:p>
  </w:comment>
  <w:comment w:id="10" w:author="Child Good" w:date="2024-05-04T10:02:00Z" w:initials="">
    <w:p w14:paraId="135E72A9" w14:textId="77777777" w:rsidR="00671534" w:rsidRDefault="00000000">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template </w:t>
      </w:r>
      <w:proofErr w:type="spellStart"/>
      <w:r>
        <w:rPr>
          <w:lang w:val="en-US"/>
        </w:rPr>
        <w:t>jurnal</w:t>
      </w:r>
      <w:proofErr w:type="spellEnd"/>
    </w:p>
    <w:p w14:paraId="2E9E65E3" w14:textId="77777777" w:rsidR="00671534" w:rsidRDefault="00671534">
      <w:pPr>
        <w:pStyle w:val="CommentText"/>
      </w:pPr>
    </w:p>
  </w:comment>
  <w:comment w:id="11" w:author="Child Good" w:date="2024-05-04T10:02:00Z" w:initials="">
    <w:p w14:paraId="3BE338FB" w14:textId="77777777" w:rsidR="00671534" w:rsidRDefault="00000000">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template </w:t>
      </w:r>
      <w:proofErr w:type="spellStart"/>
      <w:r>
        <w:rPr>
          <w:lang w:val="en-US"/>
        </w:rPr>
        <w:t>jurnal</w:t>
      </w:r>
      <w:proofErr w:type="spellEnd"/>
    </w:p>
    <w:p w14:paraId="03CC1E1D" w14:textId="77777777" w:rsidR="00671534" w:rsidRDefault="00671534">
      <w:pPr>
        <w:pStyle w:val="CommentText"/>
      </w:pPr>
    </w:p>
  </w:comment>
  <w:comment w:id="12" w:author="Child Good" w:date="2024-05-04T10:02:00Z" w:initials="">
    <w:p w14:paraId="1BC4061C" w14:textId="77777777" w:rsidR="00671534" w:rsidRDefault="00000000">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template </w:t>
      </w:r>
      <w:proofErr w:type="spellStart"/>
      <w:r>
        <w:rPr>
          <w:lang w:val="en-US"/>
        </w:rPr>
        <w:t>jurnal</w:t>
      </w:r>
      <w:proofErr w:type="spellEnd"/>
    </w:p>
    <w:p w14:paraId="2B0220F8" w14:textId="77777777" w:rsidR="00671534" w:rsidRDefault="00671534">
      <w:pPr>
        <w:pStyle w:val="CommentText"/>
      </w:pPr>
    </w:p>
  </w:comment>
  <w:comment w:id="13" w:author="Child Good" w:date="2024-05-04T10:02:00Z" w:initials="">
    <w:p w14:paraId="4C983B5C" w14:textId="77777777" w:rsidR="00671534" w:rsidRDefault="00000000">
      <w:pPr>
        <w:pStyle w:val="CommentText"/>
        <w:rPr>
          <w:lang w:val="en-US"/>
        </w:rPr>
      </w:pPr>
      <w:r>
        <w:rPr>
          <w:lang w:val="en-US"/>
        </w:rPr>
        <w:t xml:space="preserve">SIMPULAN di </w:t>
      </w:r>
      <w:proofErr w:type="spellStart"/>
      <w:r>
        <w:rPr>
          <w:lang w:val="en-US"/>
        </w:rPr>
        <w:t>buat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paragraf</w:t>
      </w:r>
      <w:proofErr w:type="spellEnd"/>
    </w:p>
  </w:comment>
  <w:comment w:id="14" w:author="Child Good" w:date="2024-05-04T10:02:00Z" w:initials="">
    <w:p w14:paraId="1EC728F9" w14:textId="4A015909" w:rsidR="00671534" w:rsidRDefault="00891ACE">
      <w:pPr>
        <w:pStyle w:val="CommentText"/>
        <w:rPr>
          <w:lang w:val="en-US"/>
        </w:rPr>
      </w:pPr>
      <w:r>
        <w:rPr>
          <w:lang w:val="en-US"/>
        </w:rPr>
        <w:t xml:space="preserve">Minimal Daftar Pustaka 20 </w:t>
      </w:r>
      <w:proofErr w:type="spellStart"/>
      <w:r>
        <w:rPr>
          <w:lang w:val="en-US"/>
        </w:rPr>
        <w:t>referensi</w:t>
      </w:r>
      <w:proofErr w:type="spellEnd"/>
      <w:r>
        <w:rPr>
          <w:lang w:val="en-US"/>
        </w:rPr>
        <w:t xml:space="preserve"> dan </w:t>
      </w:r>
      <w:proofErr w:type="spellStart"/>
      <w:r>
        <w:rPr>
          <w:lang w:val="en-US"/>
        </w:rPr>
        <w:t>berjarak</w:t>
      </w:r>
      <w:proofErr w:type="spellEnd"/>
      <w:r>
        <w:rPr>
          <w:lang w:val="en-US"/>
        </w:rPr>
        <w:t xml:space="preserve"> 10 </w:t>
      </w:r>
      <w:proofErr w:type="spellStart"/>
      <w:r>
        <w:rPr>
          <w:lang w:val="en-US"/>
        </w:rPr>
        <w:t>tahun</w:t>
      </w:r>
      <w:proofErr w:type="spellEnd"/>
      <w:r>
        <w:rPr>
          <w:lang w:val="en-US"/>
        </w:rPr>
        <w:t xml:space="preserve"> </w:t>
      </w:r>
      <w:proofErr w:type="spellStart"/>
      <w:r>
        <w:rPr>
          <w:lang w:val="en-US"/>
        </w:rPr>
        <w:t>terakhir</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tahun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yg</w:t>
      </w:r>
      <w:proofErr w:type="spellEnd"/>
      <w:r>
        <w:rPr>
          <w:lang w:val="en-US"/>
        </w:rPr>
        <w:t xml:space="preserve"> </w:t>
      </w:r>
      <w:proofErr w:type="spellStart"/>
      <w:r>
        <w:rPr>
          <w:lang w:val="en-US"/>
        </w:rPr>
        <w:t>dilakukan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B624BC" w15:done="0"/>
  <w15:commentEx w15:paraId="686B7535" w15:done="0"/>
  <w15:commentEx w15:paraId="3D7B32C4" w15:done="0"/>
  <w15:commentEx w15:paraId="78B41EFD" w15:done="0"/>
  <w15:commentEx w15:paraId="04F2274E" w15:done="0"/>
  <w15:commentEx w15:paraId="54F519A0" w15:done="0"/>
  <w15:commentEx w15:paraId="0D373E78" w15:done="0"/>
  <w15:commentEx w15:paraId="387B7B88" w15:done="0"/>
  <w15:commentEx w15:paraId="764E2DA8" w15:done="0"/>
  <w15:commentEx w15:paraId="2E9E65E3" w15:done="0"/>
  <w15:commentEx w15:paraId="03CC1E1D" w15:done="0"/>
  <w15:commentEx w15:paraId="2B0220F8" w15:done="0"/>
  <w15:commentEx w15:paraId="4C983B5C" w15:done="0"/>
  <w15:commentEx w15:paraId="1EC728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B624BC" w16cid:durableId="7BEEB485"/>
  <w16cid:commentId w16cid:paraId="686B7535" w16cid:durableId="4D8F66D8"/>
  <w16cid:commentId w16cid:paraId="3D7B32C4" w16cid:durableId="50ED3E72"/>
  <w16cid:commentId w16cid:paraId="78B41EFD" w16cid:durableId="16C6C3B0"/>
  <w16cid:commentId w16cid:paraId="04F2274E" w16cid:durableId="5B8AB375"/>
  <w16cid:commentId w16cid:paraId="54F519A0" w16cid:durableId="3EF29EEC"/>
  <w16cid:commentId w16cid:paraId="0D373E78" w16cid:durableId="54E1D9B1"/>
  <w16cid:commentId w16cid:paraId="387B7B88" w16cid:durableId="412C78B8"/>
  <w16cid:commentId w16cid:paraId="764E2DA8" w16cid:durableId="610915DD"/>
  <w16cid:commentId w16cid:paraId="2E9E65E3" w16cid:durableId="51B18563"/>
  <w16cid:commentId w16cid:paraId="03CC1E1D" w16cid:durableId="68157220"/>
  <w16cid:commentId w16cid:paraId="2B0220F8" w16cid:durableId="506BF8D6"/>
  <w16cid:commentId w16cid:paraId="4C983B5C" w16cid:durableId="7B51E314"/>
  <w16cid:commentId w16cid:paraId="1EC728F9" w16cid:durableId="08C7AA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F461C" w14:textId="77777777" w:rsidR="003C5259" w:rsidRDefault="003C5259">
      <w:pPr>
        <w:spacing w:line="240" w:lineRule="auto"/>
      </w:pPr>
      <w:r>
        <w:separator/>
      </w:r>
    </w:p>
  </w:endnote>
  <w:endnote w:type="continuationSeparator" w:id="0">
    <w:p w14:paraId="12C6FC53" w14:textId="77777777" w:rsidR="003C5259" w:rsidRDefault="003C5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4CCE" w14:textId="77777777" w:rsidR="00671534" w:rsidRDefault="00000000">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XX</w:t>
    </w:r>
    <w:r>
      <w:rPr>
        <w:rFonts w:ascii="Times New Roman" w:hAnsi="Times New Roman" w:cs="Times New Roman"/>
        <w:b/>
        <w:bCs/>
        <w:iCs/>
        <w:sz w:val="24"/>
        <w:szCs w:val="24"/>
      </w:rPr>
      <w:t>, No. X</w:t>
    </w:r>
    <w:r>
      <w:rPr>
        <w:rFonts w:ascii="Times New Roman" w:hAnsi="Times New Roman" w:cs="Times New Roman"/>
        <w:b/>
        <w:bCs/>
        <w:iCs/>
        <w:sz w:val="24"/>
        <w:szCs w:val="24"/>
        <w:lang w:val="en-US"/>
      </w:rPr>
      <w:t xml:space="preserve">X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Pr>
        <w:rFonts w:ascii="Times New Roman" w:hAnsi="Times New Roman" w:cs="Times New Roman"/>
        <w:b/>
        <w:bCs/>
        <w:iCs/>
        <w:sz w:val="24"/>
        <w:szCs w:val="24"/>
      </w:rPr>
      <w:t xml:space="preserve"> 20</w:t>
    </w:r>
    <w:r>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AutoText"/>
        </w:docPartObj>
      </w:sdtPr>
      <w:sdtConten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A8EAE" w14:textId="77777777" w:rsidR="003C5259" w:rsidRDefault="003C5259">
      <w:pPr>
        <w:spacing w:after="0"/>
      </w:pPr>
      <w:r>
        <w:separator/>
      </w:r>
    </w:p>
  </w:footnote>
  <w:footnote w:type="continuationSeparator" w:id="0">
    <w:p w14:paraId="11BAC117" w14:textId="77777777" w:rsidR="003C5259" w:rsidRDefault="003C52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decimal"/>
      <w:pStyle w:val="JSK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1" w15:restartNumberingAfterBreak="0">
    <w:nsid w:val="21CA7F1C"/>
    <w:multiLevelType w:val="multilevel"/>
    <w:tmpl w:val="21CA7F1C"/>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2" w15:restartNumberingAfterBreak="0">
    <w:nsid w:val="5AD97CD8"/>
    <w:multiLevelType w:val="multilevel"/>
    <w:tmpl w:val="5AD97CD8"/>
    <w:lvl w:ilvl="0">
      <w:start w:val="1072"/>
      <w:numFmt w:val="bullet"/>
      <w:pStyle w:val="Heading1"/>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680616222">
    <w:abstractNumId w:val="2"/>
  </w:num>
  <w:num w:numId="2" w16cid:durableId="848253797">
    <w:abstractNumId w:val="0"/>
  </w:num>
  <w:num w:numId="3" w16cid:durableId="2056273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D20CD"/>
    <w:rsid w:val="000E5FB5"/>
    <w:rsid w:val="000E6927"/>
    <w:rsid w:val="001221B0"/>
    <w:rsid w:val="00135002"/>
    <w:rsid w:val="0014123F"/>
    <w:rsid w:val="001423B4"/>
    <w:rsid w:val="00166D83"/>
    <w:rsid w:val="00167ABC"/>
    <w:rsid w:val="001807B9"/>
    <w:rsid w:val="001A00C2"/>
    <w:rsid w:val="001B28B7"/>
    <w:rsid w:val="001C79A0"/>
    <w:rsid w:val="001D3B6B"/>
    <w:rsid w:val="001E325F"/>
    <w:rsid w:val="001F2277"/>
    <w:rsid w:val="00212642"/>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B6D4B"/>
    <w:rsid w:val="002D2D85"/>
    <w:rsid w:val="002D5658"/>
    <w:rsid w:val="002F11B1"/>
    <w:rsid w:val="00314187"/>
    <w:rsid w:val="00315AC0"/>
    <w:rsid w:val="0033714C"/>
    <w:rsid w:val="00337E4A"/>
    <w:rsid w:val="00373B88"/>
    <w:rsid w:val="00381098"/>
    <w:rsid w:val="003C5259"/>
    <w:rsid w:val="003C5E0E"/>
    <w:rsid w:val="003C72C5"/>
    <w:rsid w:val="003D1666"/>
    <w:rsid w:val="00412C61"/>
    <w:rsid w:val="0042090F"/>
    <w:rsid w:val="004428A8"/>
    <w:rsid w:val="004511E0"/>
    <w:rsid w:val="00452C17"/>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71534"/>
    <w:rsid w:val="006965B2"/>
    <w:rsid w:val="006A33A6"/>
    <w:rsid w:val="006B0E27"/>
    <w:rsid w:val="006B629D"/>
    <w:rsid w:val="006D5E4A"/>
    <w:rsid w:val="006D6D19"/>
    <w:rsid w:val="006E3D96"/>
    <w:rsid w:val="006F7610"/>
    <w:rsid w:val="00712E82"/>
    <w:rsid w:val="007223D5"/>
    <w:rsid w:val="00724ED7"/>
    <w:rsid w:val="00731E10"/>
    <w:rsid w:val="007338B6"/>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1ACE"/>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4294"/>
    <w:rsid w:val="00AC112B"/>
    <w:rsid w:val="00AC532E"/>
    <w:rsid w:val="00AE315E"/>
    <w:rsid w:val="00AF5ED5"/>
    <w:rsid w:val="00AF623A"/>
    <w:rsid w:val="00B03EFF"/>
    <w:rsid w:val="00B0553E"/>
    <w:rsid w:val="00B108F0"/>
    <w:rsid w:val="00B249C9"/>
    <w:rsid w:val="00B3034B"/>
    <w:rsid w:val="00B329CF"/>
    <w:rsid w:val="00B5153F"/>
    <w:rsid w:val="00B5197B"/>
    <w:rsid w:val="00B53B02"/>
    <w:rsid w:val="00B57E80"/>
    <w:rsid w:val="00B6161E"/>
    <w:rsid w:val="00B71E3A"/>
    <w:rsid w:val="00B81A52"/>
    <w:rsid w:val="00B81D9E"/>
    <w:rsid w:val="00BA1FD2"/>
    <w:rsid w:val="00BC2F62"/>
    <w:rsid w:val="00BC75CA"/>
    <w:rsid w:val="00BD3DF2"/>
    <w:rsid w:val="00BF6319"/>
    <w:rsid w:val="00C050E6"/>
    <w:rsid w:val="00C05853"/>
    <w:rsid w:val="00C12717"/>
    <w:rsid w:val="00C23B5D"/>
    <w:rsid w:val="00C31ED1"/>
    <w:rsid w:val="00C35A97"/>
    <w:rsid w:val="00C41FC3"/>
    <w:rsid w:val="00C63ADD"/>
    <w:rsid w:val="00C7149F"/>
    <w:rsid w:val="00C94422"/>
    <w:rsid w:val="00C958E2"/>
    <w:rsid w:val="00CA263C"/>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20CEC"/>
    <w:rsid w:val="00E2165D"/>
    <w:rsid w:val="00E26505"/>
    <w:rsid w:val="00E653BD"/>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D4BD6"/>
    <w:rsid w:val="00FE2D99"/>
    <w:rsid w:val="66A7102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E81C42"/>
  <w15:docId w15:val="{62886345-1254-42E4-A803-C7C8CE74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qFormat/>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autoRedefine/>
    <w:qFormat/>
    <w:rPr>
      <w:i/>
      <w:iCs/>
    </w:rPr>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autoRedefine/>
    <w:unhideWhenUsed/>
    <w:qFormat/>
    <w:pPr>
      <w:tabs>
        <w:tab w:val="center" w:pos="4513"/>
        <w:tab w:val="right" w:pos="9026"/>
      </w:tabs>
      <w:spacing w:after="0" w:line="240" w:lineRule="auto"/>
    </w:pPr>
  </w:style>
  <w:style w:type="paragraph" w:styleId="HTMLPreformatted">
    <w:name w:val="HTML Preformatted"/>
    <w:basedOn w:val="Normal"/>
    <w:link w:val="HTMLPreformattedChar"/>
    <w:autoRedefine/>
    <w:uiPriority w:val="99"/>
    <w:semiHidden/>
    <w:unhideWhenUsed/>
    <w:qFormat/>
    <w:pPr>
      <w:spacing w:after="0" w:line="240" w:lineRule="auto"/>
    </w:pPr>
    <w:rPr>
      <w:rFonts w:ascii="Consolas" w:hAnsi="Consola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qFormat/>
    <w:rPr>
      <w:rFonts w:ascii="Times New Roman" w:eastAsia="Times New Roman" w:hAnsi="Times New Roman"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shorttext">
    <w:name w:val="short_text"/>
    <w:basedOn w:val="DefaultParagraphFont"/>
    <w:autoRedefine/>
    <w:qFormat/>
  </w:style>
  <w:style w:type="character" w:customStyle="1" w:styleId="HeaderChar">
    <w:name w:val="Header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HTMLPreformattedChar">
    <w:name w:val="HTML Preformatted Char"/>
    <w:basedOn w:val="DefaultParagraphFont"/>
    <w:link w:val="HTMLPreformatted"/>
    <w:autoRedefine/>
    <w:uiPriority w:val="99"/>
    <w:semiHidden/>
    <w:qFormat/>
    <w:rPr>
      <w:rFonts w:ascii="Consolas" w:hAnsi="Consolas"/>
      <w:sz w:val="20"/>
      <w:szCs w:val="20"/>
    </w:rPr>
  </w:style>
  <w:style w:type="table" w:customStyle="1" w:styleId="PlainTable21">
    <w:name w:val="Plain Table 21"/>
    <w:basedOn w:val="TableNormal"/>
    <w:autoRedefine/>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basedOn w:val="DefaultParagraphFont"/>
    <w:link w:val="FootnoteText"/>
    <w:autoRedefine/>
    <w:uiPriority w:val="99"/>
    <w:semiHidden/>
    <w:rPr>
      <w:sz w:val="20"/>
      <w:szCs w:val="20"/>
    </w:rPr>
  </w:style>
  <w:style w:type="character" w:customStyle="1" w:styleId="Mention1">
    <w:name w:val="Mention1"/>
    <w:basedOn w:val="DefaultParagraphFont"/>
    <w:autoRedefine/>
    <w:uiPriority w:val="99"/>
    <w:semiHidden/>
    <w:unhideWhenUsed/>
    <w:rPr>
      <w:color w:val="2B579A"/>
      <w:shd w:val="clear" w:color="auto" w:fill="E6E6E6"/>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autoRedefine/>
    <w:uiPriority w:val="99"/>
    <w:semiHidden/>
    <w:rPr>
      <w:b/>
      <w:bCs/>
      <w:sz w:val="20"/>
      <w:szCs w:val="20"/>
    </w:rPr>
  </w:style>
  <w:style w:type="character" w:styleId="PlaceholderText">
    <w:name w:val="Placeholder Text"/>
    <w:basedOn w:val="DefaultParagraphFont"/>
    <w:autoRedefine/>
    <w:uiPriority w:val="99"/>
    <w:semiHidden/>
    <w:qFormat/>
    <w:rPr>
      <w:color w:val="808080"/>
    </w:rPr>
  </w:style>
  <w:style w:type="character" w:customStyle="1" w:styleId="Heading1Char">
    <w:name w:val="Heading 1 Char"/>
    <w:basedOn w:val="DefaultParagraphFont"/>
    <w:link w:val="Heading1"/>
    <w:autoRedefine/>
    <w:qFormat/>
    <w:rPr>
      <w:rFonts w:ascii="Times New Roman" w:eastAsia="Times New Roman" w:hAnsi="Times New Roman" w:cs="Times New Roman"/>
      <w:b/>
      <w:smallCaps/>
      <w:sz w:val="20"/>
      <w:szCs w:val="20"/>
      <w:lang w:eastAsia="zh-CN"/>
    </w:rPr>
  </w:style>
  <w:style w:type="paragraph" w:customStyle="1" w:styleId="JSKReferenceItem">
    <w:name w:val="JSK Reference Item"/>
    <w:basedOn w:val="Normal"/>
    <w:autoRedefine/>
    <w:pPr>
      <w:numPr>
        <w:numId w:val="2"/>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customStyle="1" w:styleId="Bibliography1">
    <w:name w:val="Bibliography1"/>
    <w:basedOn w:val="Normal"/>
    <w:next w:val="Normal"/>
    <w:uiPriority w:val="37"/>
    <w:semiHidden/>
    <w:unhideWhenUsed/>
    <w:qFormat/>
    <w:pPr>
      <w:spacing w:after="160" w:line="256" w:lineRule="auto"/>
    </w:pPr>
    <w:rPr>
      <w:lang w:val="en-US"/>
    </w:rPr>
  </w:style>
  <w:style w:type="paragraph" w:styleId="NoSpacing">
    <w:name w:val="No Spacing"/>
    <w:autoRedefine/>
    <w:uiPriority w:val="1"/>
    <w:qFormat/>
    <w:rPr>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deo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tabaratchristine@gmail.com"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BA97F1B-6B1D-41FB-9FE7-7092C409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6823</Words>
  <Characters>38892</Characters>
  <Application>Microsoft Office Word</Application>
  <DocSecurity>0</DocSecurity>
  <Lines>324</Lines>
  <Paragraphs>91</Paragraphs>
  <ScaleCrop>false</ScaleCrop>
  <Company/>
  <LinksUpToDate>false</LinksUpToDate>
  <CharactersWithSpaces>45624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Pra ssst</cp:lastModifiedBy>
  <cp:revision>6</cp:revision>
  <cp:lastPrinted>2019-05-24T02:53:00Z</cp:lastPrinted>
  <dcterms:created xsi:type="dcterms:W3CDTF">2024-04-11T14:58:00Z</dcterms:created>
  <dcterms:modified xsi:type="dcterms:W3CDTF">2024-05-06T06:53:00Z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http://www.zotero.org/styles/e3s-web-of-conferences</vt:lpwstr>
  </property>
  <property fmtid="{D5CDD505-2E9C-101B-9397-08002B2CF9AE}" pid="16" name="Mendeley Recent Style Name 5_1">
    <vt:lpwstr>E3S Web of Conferences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KSOProductBuildVer">
    <vt:lpwstr>1033-12.2.0.16731</vt:lpwstr>
  </property>
  <property fmtid="{D5CDD505-2E9C-101B-9397-08002B2CF9AE}" pid="26" name="ICV">
    <vt:lpwstr>B1871B67C06E4C24BEBCF3C320E0DE31_13</vt:lpwstr>
  </property>
</Properties>
</file>