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E361A4" w:rsidRDefault="00A70747" w:rsidP="00635CBD">
            <w:pPr>
              <w:jc w:val="center"/>
              <w:rPr>
                <w:rFonts w:ascii="Times New Roman" w:hAnsi="Times New Roman" w:cs="Times New Roman"/>
                <w:b w:val="0"/>
                <w:color w:val="000000" w:themeColor="text1"/>
                <w:sz w:val="28"/>
                <w:szCs w:val="32"/>
              </w:rPr>
            </w:pPr>
            <w:r w:rsidRPr="00E361A4">
              <w:rPr>
                <w:rFonts w:ascii="Times New Roman" w:eastAsia="Calibri" w:hAnsi="Times New Roman" w:cs="Times New Roman"/>
                <w:sz w:val="28"/>
                <w:szCs w:val="32"/>
                <w:lang w:val="en-US"/>
              </w:rPr>
              <w:t>Exploring Intrinsic Motivation and Potential Power Dynamics: A Qualitative Study of Semester 1 Cadets at Maritime Institute Jakarta (STIP Jakarta</w:t>
            </w:r>
            <w:r w:rsidR="00DA1E36" w:rsidRPr="00E361A4">
              <w:rPr>
                <w:rFonts w:ascii="Times New Roman" w:eastAsia="Calibri" w:hAnsi="Times New Roman" w:cs="Times New Roman"/>
                <w:sz w:val="28"/>
                <w:szCs w:val="32"/>
                <w:lang w:val="en-US"/>
              </w:rPr>
              <w:t>)</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Marudut Bernadtua Simanjuntak</w:t>
            </w:r>
            <w:r w:rsidRPr="00373B88">
              <w:rPr>
                <w:rFonts w:ascii="TimesNewRomanPS-ItalicMT" w:hAnsi="TimesNewRomanPS-ItalicMT" w:cs="TimesNewRomanPS-ItalicMT"/>
                <w:b w:val="0"/>
                <w:i/>
                <w:iCs/>
                <w:szCs w:val="20"/>
                <w:vertAlign w:val="superscript"/>
              </w:rPr>
              <w:t>1)</w:t>
            </w:r>
            <w:r>
              <w:rPr>
                <w:rFonts w:ascii="TimesNewRomanPS-ItalicMT" w:hAnsi="TimesNewRomanPS-ItalicMT" w:cs="TimesNewRomanPS-ItalicMT"/>
                <w:b w:val="0"/>
                <w:i/>
                <w:iCs/>
                <w:szCs w:val="20"/>
              </w:rPr>
              <w:t xml:space="preserve">  </w:t>
            </w:r>
            <w:hyperlink r:id="rId10" w:history="1">
              <w:r w:rsidRPr="00373B88">
                <w:rPr>
                  <w:rStyle w:val="Hyperlink"/>
                  <w:rFonts w:ascii="TimesNewRomanPS-ItalicMT" w:hAnsi="TimesNewRomanPS-ItalicMT" w:cs="TimesNewRomanPS-ItalicMT"/>
                  <w:b w:val="0"/>
                  <w:bCs w:val="0"/>
                  <w:i/>
                  <w:iCs/>
                  <w:szCs w:val="20"/>
                </w:rPr>
                <w:t>bernadmarudut@gmail.com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Panderaja Soritua Sijabat</w:t>
            </w:r>
            <w:r w:rsidRPr="00373B88">
              <w:rPr>
                <w:rFonts w:ascii="TimesNewRomanPS-ItalicMT" w:hAnsi="TimesNewRomanPS-ItalicMT" w:cs="TimesNewRomanPS-ItalicMT"/>
                <w:b w:val="0"/>
                <w:i/>
                <w:iCs/>
                <w:szCs w:val="20"/>
                <w:vertAlign w:val="superscript"/>
              </w:rPr>
              <w:t>2)</w:t>
            </w:r>
            <w:r>
              <w:rPr>
                <w:rFonts w:ascii="TimesNewRomanPS-ItalicMT" w:hAnsi="TimesNewRomanPS-ItalicMT" w:cs="TimesNewRomanPS-ItalicMT"/>
                <w:b w:val="0"/>
                <w:i/>
                <w:iCs/>
                <w:szCs w:val="20"/>
              </w:rPr>
              <w:t xml:space="preserve">  </w:t>
            </w:r>
            <w:hyperlink r:id="rId11" w:history="1">
              <w:r w:rsidRPr="00373B88">
                <w:rPr>
                  <w:rStyle w:val="Hyperlink"/>
                  <w:rFonts w:ascii="TimesNewRomanPS-ItalicMT" w:hAnsi="TimesNewRomanPS-ItalicMT" w:cs="TimesNewRomanPS-ItalicMT"/>
                  <w:b w:val="0"/>
                  <w:bCs w:val="0"/>
                  <w:i/>
                  <w:iCs/>
                  <w:szCs w:val="20"/>
                </w:rPr>
                <w:t>pande.sijabat@gmail.com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Meriyanti Agustinawati</w:t>
            </w:r>
            <w:r w:rsidRPr="00373B88">
              <w:rPr>
                <w:rFonts w:ascii="TimesNewRomanPS-ItalicMT" w:hAnsi="TimesNewRomanPS-ItalicMT" w:cs="TimesNewRomanPS-ItalicMT"/>
                <w:b w:val="0"/>
                <w:i/>
                <w:iCs/>
                <w:szCs w:val="20"/>
                <w:vertAlign w:val="superscript"/>
              </w:rPr>
              <w:t>3)</w:t>
            </w:r>
            <w:r>
              <w:rPr>
                <w:rFonts w:ascii="TimesNewRomanPS-ItalicMT" w:hAnsi="TimesNewRomanPS-ItalicMT" w:cs="TimesNewRomanPS-ItalicMT"/>
                <w:b w:val="0"/>
                <w:i/>
                <w:iCs/>
                <w:szCs w:val="20"/>
              </w:rPr>
              <w:t xml:space="preserve">  </w:t>
            </w:r>
            <w:hyperlink r:id="rId12" w:history="1">
              <w:r w:rsidRPr="00373B88">
                <w:rPr>
                  <w:rStyle w:val="Hyperlink"/>
                  <w:rFonts w:ascii="TimesNewRomanPS-ItalicMT" w:hAnsi="TimesNewRomanPS-ItalicMT" w:cs="TimesNewRomanPS-ItalicMT"/>
                  <w:b w:val="0"/>
                  <w:bCs w:val="0"/>
                  <w:i/>
                  <w:iCs/>
                  <w:szCs w:val="20"/>
                </w:rPr>
                <w:t>merri.saja@gmail.com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Mudakir</w:t>
            </w:r>
            <w:r w:rsidRPr="00373B88">
              <w:rPr>
                <w:rFonts w:ascii="TimesNewRomanPS-ItalicMT" w:hAnsi="TimesNewRomanPS-ItalicMT" w:cs="TimesNewRomanPS-ItalicMT"/>
                <w:b w:val="0"/>
                <w:i/>
                <w:iCs/>
                <w:szCs w:val="20"/>
                <w:vertAlign w:val="superscript"/>
              </w:rPr>
              <w:t>4)</w:t>
            </w:r>
            <w:r>
              <w:rPr>
                <w:rFonts w:ascii="TimesNewRomanPS-ItalicMT" w:hAnsi="TimesNewRomanPS-ItalicMT" w:cs="TimesNewRomanPS-ItalicMT"/>
                <w:b w:val="0"/>
                <w:i/>
                <w:iCs/>
                <w:szCs w:val="20"/>
              </w:rPr>
              <w:t xml:space="preserve">  </w:t>
            </w:r>
            <w:hyperlink r:id="rId13" w:history="1">
              <w:r w:rsidRPr="00373B88">
                <w:rPr>
                  <w:rStyle w:val="Hyperlink"/>
                  <w:rFonts w:ascii="TimesNewRomanPS-ItalicMT" w:hAnsi="TimesNewRomanPS-ItalicMT" w:cs="TimesNewRomanPS-ItalicMT"/>
                  <w:b w:val="0"/>
                  <w:bCs w:val="0"/>
                  <w:i/>
                  <w:iCs/>
                  <w:szCs w:val="20"/>
                </w:rPr>
                <w:t>mudakirkir998@gmail.com</w:t>
              </w:r>
            </w:hyperlink>
          </w:p>
          <w:p w:rsidR="00BF2C15" w:rsidRPr="00BF2C15" w:rsidRDefault="00BF2C15" w:rsidP="00BF2C15">
            <w:pPr>
              <w:autoSpaceDE w:val="0"/>
              <w:autoSpaceDN w:val="0"/>
              <w:adjustRightInd w:val="0"/>
              <w:jc w:val="center"/>
              <w:rPr>
                <w:rFonts w:ascii="TimesNewRomanPS-ItalicMT" w:hAnsi="TimesNewRomanPS-ItalicMT" w:cs="TimesNewRomanPS-ItalicMT"/>
                <w:i/>
                <w:iCs/>
                <w:szCs w:val="20"/>
              </w:rPr>
            </w:pPr>
            <w:r w:rsidRPr="00BF2C15">
              <w:rPr>
                <w:rFonts w:ascii="TimesNewRomanPS-ItalicMT" w:hAnsi="TimesNewRomanPS-ItalicMT" w:cs="TimesNewRomanPS-ItalicMT"/>
                <w:b w:val="0"/>
                <w:i/>
                <w:iCs/>
                <w:szCs w:val="20"/>
              </w:rPr>
              <w:t>Asman Ala</w:t>
            </w:r>
            <w:r w:rsidRPr="00BF2C15">
              <w:rPr>
                <w:rFonts w:ascii="TimesNewRomanPS-ItalicMT" w:hAnsi="TimesNewRomanPS-ItalicMT" w:cs="TimesNewRomanPS-ItalicMT"/>
                <w:b w:val="0"/>
                <w:i/>
                <w:iCs/>
                <w:szCs w:val="20"/>
                <w:vertAlign w:val="superscript"/>
              </w:rPr>
              <w:t>5)</w:t>
            </w:r>
            <w:r>
              <w:rPr>
                <w:rFonts w:ascii="TimesNewRomanPS-ItalicMT" w:hAnsi="TimesNewRomanPS-ItalicMT" w:cs="TimesNewRomanPS-ItalicMT"/>
                <w:i/>
                <w:iCs/>
                <w:szCs w:val="20"/>
              </w:rPr>
              <w:t xml:space="preserve">  </w:t>
            </w:r>
            <w:hyperlink r:id="rId14" w:history="1">
              <w:r w:rsidRPr="00BF2C15">
                <w:rPr>
                  <w:rStyle w:val="Hyperlink"/>
                  <w:rFonts w:ascii="TimesNewRomanPS-ItalicMT" w:hAnsi="TimesNewRomanPS-ItalicMT" w:cs="TimesNewRomanPS-ItalicMT"/>
                  <w:b w:val="0"/>
                  <w:bCs w:val="0"/>
                  <w:i/>
                  <w:iCs/>
                  <w:szCs w:val="20"/>
                </w:rPr>
                <w:t>asmanaufal2003@gmail.com</w:t>
              </w:r>
            </w:hyperlink>
            <w:r w:rsidRPr="00BF2C15">
              <w:rPr>
                <w:rFonts w:ascii="TimesNewRomanPS-ItalicMT" w:hAnsi="TimesNewRomanPS-ItalicMT" w:cs="TimesNewRomanPS-ItalicMT"/>
                <w:i/>
                <w:iCs/>
                <w:szCs w:val="20"/>
              </w:rPr>
              <w:t xml:space="preserve"> </w:t>
            </w:r>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E361A4" w:rsidRDefault="00E361A4" w:rsidP="008D0AEE">
      <w:pPr>
        <w:spacing w:after="0" w:line="240" w:lineRule="auto"/>
        <w:jc w:val="both"/>
        <w:rPr>
          <w:rFonts w:ascii="Times New Roman" w:eastAsia="Calibri" w:hAnsi="Times New Roman" w:cs="Times New Roman"/>
          <w:i/>
          <w:sz w:val="20"/>
          <w:szCs w:val="20"/>
        </w:rPr>
      </w:pPr>
      <w:r w:rsidRPr="00E361A4">
        <w:rPr>
          <w:rFonts w:ascii="Times New Roman" w:eastAsia="Calibri" w:hAnsi="Times New Roman" w:cs="Times New Roman"/>
          <w:i/>
          <w:sz w:val="20"/>
          <w:szCs w:val="20"/>
        </w:rPr>
        <w:t>This research delves into intrinsic motivation and potential power dynamics among Semester 1 cadets at Maritime Institute Jakarta (STIP Jakarta). Using a qualitative approach, 200 randomly chosen cadets are analysed through document review, structured surveys, and observations. The study explores influences shaping the mindset of budding seafarers during early maritime education. Findings reveal dominant intrinsic motivations, fuelled by genuine passion, family influences, and a thirst for adventure. Challenges like academic rigour and initial family separation are viewed as character-building experiences, showcasing cadets' resilience. The research identifies power dimensions within cadets, including problem-solving, adaptability, communication, leadership, and responsibility, contributing to well-rounded professional development. Implications extend to educational institutions, urging curriculum enhancements for resilience-building and a balanced academic-social approach. Recommendations highlight family engagement, mentorship, and collaboration between institutions and the maritime industry. This study significantly contributes to understanding cadet development, providing practical insights for educational institutions and the maritime sector's evolution. It serves as a foundational guide for refining strategies in preparing seafarers for their dynamic profession</w:t>
      </w:r>
    </w:p>
    <w:p w:rsidR="00E26505" w:rsidRDefault="00E361A4" w:rsidP="008D0AEE">
      <w:pPr>
        <w:spacing w:after="0" w:line="240" w:lineRule="auto"/>
        <w:jc w:val="both"/>
        <w:rPr>
          <w:rFonts w:ascii="Times New Roman" w:eastAsia="Calibri" w:hAnsi="Times New Roman" w:cs="Times New Roman"/>
          <w:i/>
          <w:sz w:val="20"/>
          <w:szCs w:val="20"/>
        </w:rPr>
      </w:pPr>
      <w:r w:rsidRPr="00E361A4">
        <w:rPr>
          <w:rFonts w:ascii="Times New Roman" w:eastAsia="Calibri" w:hAnsi="Times New Roman" w:cs="Times New Roman"/>
          <w:i/>
          <w:sz w:val="20"/>
          <w:szCs w:val="20"/>
        </w:rPr>
        <w:t>.</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A70747" w:rsidRDefault="00E26505" w:rsidP="00A70747">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1014E0" w:rsidRPr="001014E0">
              <w:rPr>
                <w:rFonts w:ascii="Times New Roman" w:eastAsia="Calibri" w:hAnsi="Times New Roman" w:cs="Times New Roman"/>
                <w:b w:val="0"/>
                <w:i/>
                <w:sz w:val="20"/>
                <w:szCs w:val="20"/>
              </w:rPr>
              <w:t>Intrinsic Motivation, Potential Power, Maritime Education, Cadet Development</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5"/>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Maritime education holds a crucial role in shaping the future of seafarers, deck officers, and engine officers, providing not just technical expertise but also a comprehensive grasp of the intricacies of the maritime industry</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[1]","plainTextFormattedCitation":"[1]","previouslyFormattedCitation":"[1]"},"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[1]</w:t>
      </w:r>
      <w:r w:rsidR="00A236A6">
        <w:rPr>
          <w:rFonts w:ascii="Times New Roman" w:eastAsia="Calibri" w:hAnsi="Times New Roman" w:cs="Times New Roman"/>
          <w:bCs/>
        </w:rPr>
        <w:fldChar w:fldCharType="end"/>
      </w:r>
      <w:r w:rsidR="00A70747" w:rsidRPr="00A70747">
        <w:rPr>
          <w:rFonts w:ascii="Times New Roman" w:eastAsia="Calibri" w:hAnsi="Times New Roman" w:cs="Times New Roman"/>
          <w:bCs/>
        </w:rPr>
        <w:t xml:space="preserve">. </w:t>
      </w:r>
      <w:r w:rsidRPr="00214BD9">
        <w:rPr>
          <w:rFonts w:ascii="Times New Roman" w:eastAsia="Calibri" w:hAnsi="Times New Roman" w:cs="Times New Roman"/>
          <w:bCs/>
        </w:rPr>
        <w:t>At the forefront of this educational domain is the esteemed Maritime Institute Jakarta (STIP Jakarta), renowned for its international programme and the substantial number of qualified professionals it has produced. This study initiates a thorough exploration of Semester 1 cadets at STIP Jakarta, concentrating on their motivating factors and latent potential power influencing their evolving mindset. The significance of this research is accentuated by the pivotal role these cadets play in determining the maritime sector's future, necessitating a nuanced understanding of their development and the influencing factors.</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1.1. Background</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lastRenderedPageBreak/>
        <w:t xml:space="preserve">The Maritime Institute Jakarta (STIP Jakarta) has solidified its position as a pivotal institution in maritime education, offering practical bachelor's degrees in Nautical, Technical, and Port and Shipping Management majors. Drawing cadets from diverse backgrounds through its international program, the institution marks the commencement of their journey toward becoming proficient seafarers. As these cadets navigate the challenging academic curriculum and maritime training, comprehending the motivational forces propelling them becomes imperative. The transition from senior high school to the demanding maritime programme signifies a crucial phase, during which cadets undergo transformative experiences shaping their professional identity and mindset </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author":[{"dropping-particle":"","family":"SEP","given":"SAFETY A T","non-dropping-particle":"","parse-names":false,"suffix":""}],"id":"ITEM-2","issued":{"date-parts":[["0"]]},"title":"IMO ‘Model Courses’","type":"article-journal"},"uris":["http://www.mendeley.com/documents/?uuid=60a7ec1d-20b8-4c9b-91ec-d42dae192a49"]}],"mendeley":{"formattedCitation":"[2], [3]","plainTextFormattedCitation":"[2], [3]","previouslyFormattedCitation":"[2], [3]"},"properties":{"noteIndex":0},"schema":"https://github.com/citation-style-language/schema/raw/master/csl-citation.json"}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[2], [3]</w:t>
      </w:r>
      <w:r w:rsidR="00A236A6">
        <w:rPr>
          <w:rFonts w:ascii="Times New Roman" w:eastAsia="Calibri" w:hAnsi="Times New Roman" w:cs="Times New Roman"/>
          <w:bCs/>
        </w:rPr>
        <w:fldChar w:fldCharType="end"/>
      </w:r>
      <w:r w:rsidR="00A70747" w:rsidRPr="00A70747">
        <w:rPr>
          <w:rFonts w:ascii="Times New Roman" w:eastAsia="Calibri" w:hAnsi="Times New Roman" w:cs="Times New Roman"/>
          <w:bCs/>
        </w:rPr>
        <w:t>.</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 xml:space="preserve">The choice of Semester 1 cadets as the focus of this research is strategic. It allows for an in-depth examination of the formative stages of their maritime education, capturing the initial spark that </w:t>
      </w:r>
      <w:r w:rsidRPr="00A70747">
        <w:rPr>
          <w:rFonts w:ascii="Times New Roman" w:eastAsia="Calibri" w:hAnsi="Times New Roman" w:cs="Times New Roman"/>
          <w:bCs/>
        </w:rPr>
        <w:lastRenderedPageBreak/>
        <w:t>propels them into this dynamic field. By gaining insights into their motivational sources, the study aims to unravel the intrinsic factors influencing their commitment and dedication to maritime studies</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[4]","plainTextFormattedCitation":"[4]","previouslyFormattedCitation":"[4]"},"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[4]</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Moreover, the examination of potential power within these cadets offers a unique perspective on the latent abilities and strengths that contribute to their academic and professional development.</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1.2. Needs and Urgency of Research</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urgency of understanding the motivational and potential power dynamics within Semester 1 cadets arises from the pivotal role they are destined to play in the maritime industry. A qualitative exploration of these aspects is imperative as it goes beyond conventional academic assessments, delving into the psychological and sociological dimensions of cadet development</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{"citationItems":[{"id":"ITEM-1","itemData":{"DOI":"10.1787/40fa80d3-en","author":[{"dropping-particle":"","family":"Good","given":"Judith","non-dropping-particle":"","parse-names":false,"suffix":""}],"id":"ITEM-1","issued":{"date-parts":[["2021"]]},"note":"Cited By (since 2021): 2","publisher":"Organisation for Economic Co-Operation and Development (OECD)","title":"Serving students with special needs better: How digital technology can help","type":"article"},"uris":["http://www.mendeley.com/documents/?uuid=ade4a4e4-8079-4f03-9a71-5df8e70f6f9d"]},{"id":"ITEM-2","itemData":{"DOI":"10.31227/osf.io/kcyx7","abstract":"&lt;p&gt;The purpose of this study was to discover the learning tools in the civics subject at Citizenship Education Study Program in improving the Critical Thinking Skills of the Students at Universitas Muhammadiyah Makassar. It was also to produce learning tool design in the Course of Citizenship at the study program of citizenship education in improving students’ critical thinking skills. This research was development research. This study developed learning tool for citizenship courses at the study program of Citizenship Education with an inquiry strategy to improve students' critical thinking skills. What the output resulted from this study was a lesson plan, student activity sheet, textbook (citizenship material). This study showed that the developed learning tools were in a good category. The practicability of the lesson plan was in a good category. In addition, Citizenship Textbook was interesting and varied, and student worksheets were created to explore the analyzing ability.&lt;/p&gt;","author":[{"dropping-particle":"","family":"Muhajir","given":"","non-dropping-particle":"","parse-names":false,"suffix":""}],"id":"ITEM-2","issued":{"date-parts":[["2019"]]},"publisher":"Center for Open Science","title":"Inquiry Learning Strategy To Improve Students' critical Thinking Skills","type":"article"},"uris":["http://www.mendeley.com/documents/?uuid=11695768-a0ea-441f-9310-a613f3d82654"]}],"mendeley":{"formattedCitation":"[5], [6]","plainTextFormattedCitation":"[5], [6]","previouslyFormattedCitation":"[5], [6]"},"properties":{"noteIndex":0},"schema":"https://github.com/citation-style-language/schema/raw/master/csl-citation.json"}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[5], [6]</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The need for such an investigation is underscored by the evolving landscape of the maritime sector, wherein seafarers are not merely technicians but multifaceted professionals requiring a holistic skill set.</w:t>
      </w:r>
      <w:r w:rsidR="00A236A6">
        <w:rPr>
          <w:rFonts w:ascii="Times New Roman" w:eastAsia="Calibri" w:hAnsi="Times New Roman" w:cs="Times New Roman"/>
          <w:bCs/>
        </w:rPr>
        <w:t xml:space="preserve"> </w:t>
      </w:r>
      <w:r w:rsidRPr="00A70747">
        <w:rPr>
          <w:rFonts w:ascii="Times New Roman" w:eastAsia="Calibri" w:hAnsi="Times New Roman" w:cs="Times New Roman"/>
          <w:bCs/>
        </w:rPr>
        <w:t>Furthermore, the international context of STIP Jakarta's programme introduces a layer of complexity to cadet development. As these students navigate diverse cultural and educational backgrounds, understanding the universal and context-specific factors shaping their mindset becomes crucial. This research seeks to bridge the gap between the global nature of the maritime industry and the individual experiences of Semester 1 cadets.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In addition to addressing the industry's evolving demands, this study responds to the institution's commitment to excellence. STIP Jakarta has a legacy of producing highly qualified professionals, and by dissecting the motivational and potential power dynamics, the research contributes to refining educational strategies. The urgency is not only in responding to current industry needs but also in nurturing a cadre of seafarers who are adaptable, motivated, and empowered to face future challenges.</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1.3. Literature Review</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A perusal of existing literature reveals a significant gap in understanding the motivational and potential power dynamics within the early stages of maritime education, particularly in the international context. While numerous studies delve into seafarer motivation and professional development, few concentrate on the formative years of maritime education, where the foundation for a seafarer's mindset is laid</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{"citationItems":[{"id":"ITEM-1","itemData":{"ISSN":"0308-597X","author":[{"dropping-particle":"","family":"Rochwulaningsih","given":"Yety","non-dropping-particle":"","parse-names":false,"suffix":""},{"dropping-particle":"","family":"Sulistiyono","given":"Singgih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Policy","id":"ITEM-1","issued":{"date-parts":[["2019"]]},"page":"103602","publisher":"Elsevier","title":"Marine policy basis of Indonesia as a maritime state: The importance of integrated economy","type":"article-journal","volume":"108"},"uris":["http://www.mendeley.com/documents/?uuid=5858a9d4-7be7-4dc6-836f-362ff18ae1bc"]},{"id":"ITEM-2","itemData":{"ISSN":"0018-9545","author":[{"dropping-particle":"","family":"Fang","given":"Sidun","non-dropping-particle":"","parse-names":false,"suffix":""},{"dropping-particle":"","family":"Wang","given":"Yu","non-dropping-particle":"","parse-names":false,"suffix":""},{"dropping-particle":"","family":"Gou","given":"Bin","non-dropping-particle":"","parse-names":false,"suffix":""},{"dropping-particle":"","family":"Xu","given":"Yan","non-dropping-particle":"","parse-names":false,"suffix":""}],"container-title":"IEEE Transactions on Vehicular Technology","id":"ITEM-2","issue":"1","issued":{"date-parts":[["2019"]]},"page":"207-219","publisher":"IEEE","title":"Toward future green maritime transportation: An overview of seaport microgrids and all-electric ships","type":"article-journal","volume":"69"},"uris":["http://www.mendeley.com/documents/?uuid=12bb3460-44ef-4a24-b01a-cfef1b1e416e"]}],"mendeley":{"formattedCitation":"[7], [8]","plainTextFormattedCitation":"[7], [8]","previouslyFormattedCitation":"[7], [8]"},"properties":{"noteIndex":0},"schema":"https://github.com/citation-style-language/schema/raw/master/csl-citation.json"}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[7], [8]</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w:t>
      </w:r>
      <w:r w:rsidR="00B87264">
        <w:rPr>
          <w:rFonts w:ascii="Times New Roman" w:eastAsia="Calibri" w:hAnsi="Times New Roman" w:cs="Times New Roman"/>
          <w:bCs/>
        </w:rPr>
        <w:t xml:space="preserve"> </w:t>
      </w:r>
      <w:r w:rsidRPr="00A70747">
        <w:rPr>
          <w:rFonts w:ascii="Times New Roman" w:eastAsia="Calibri" w:hAnsi="Times New Roman" w:cs="Times New Roman"/>
          <w:bCs/>
        </w:rPr>
        <w:t xml:space="preserve">The literature suggests that motivation is a multifaceted construct, influenced by both intrinsic and extrinsic factors. Intrinsic motivation, stemming from an individual's internal desires and values, has been identified as a key driver in sustaining commitment to challenging </w:t>
      </w:r>
      <w:r w:rsidRPr="00A70747">
        <w:rPr>
          <w:rFonts w:ascii="Times New Roman" w:eastAsia="Calibri" w:hAnsi="Times New Roman" w:cs="Times New Roman"/>
          <w:bCs/>
        </w:rPr>
        <w:lastRenderedPageBreak/>
        <w:t>professions like seafaring. Extrinsic factors, such as career prospects and financial rewards, also play a role, albeit with varying degrees of impact. However, the specific interplay of these factors within the context of Semester 1 cadets at STIP Jakarta remains unexplored.</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Potential power, an emerging concept in the literature, refers to the untapped capabilities and strengths within individuals. Understanding and harnessing this potential is increasingly recognised as crucial for professional development. In the maritime education context, potential power may manifest in various forms, from cognitive abilities to interpersonal skills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{"citationItems":[{"id":"ITEM-1","itemData":{"ISBN":"1612509894","author":[{"dropping-particle":"","family":"Hora","given":"Matthew T","non-dropping-particle":"","parse-names":false,"suffix":""}],"id":"ITEM-1","issued":{"date-parts":[["2019"]]},"publisher":"Harvard Education Press","title":"Beyond the skills gap: Preparing college students for life and work","type":"book"},"uris":["http://www.mendeley.com/documents/?uuid=a2799966-47f4-4fde-b206-638676f445fc"]},{"id":"ITEM-2","itemData":{"DOI":"10.35940/ijrte.b1091.0982s919","ISBN":"2277-3878","abstract":"The development of digital technology in the era of the industrial revolution 4.0 requires today’s younger generations to demonstrate media literacy. It is often the case that cyber-crime happens among teenagers because they are misinformed. This study measures students’ media literacy using individual competence framework which include technical skills, critical understanding, and communicative abilities. Respondents were 100 university undergraduate students in Indonesia selected randomly. The results showed that 60-80% respondents demonstrated medium level technical skills, 80-90% of them have low critical understanding, and 45% of them displayed medium communicative abilities. In addition, media literacy was found to significantly influence students’ social character as much as 49%. The finding of this study implies the need for literacy education is imminent because low media literacy may lead to low social character.","container-title":"International Journal of Recent Technology and Engineering","id":"ITEM-2","issue":"2","issued":{"date-parts":[["2019"]]},"note":"Cited By (since 2019): 4","page":"394-399","publisher":"Blue Eyes Intelligence Engineering and Sciences Engineering and Sciences Publication - BEIESP","title":"Students’ Digital Media Literacy: Effects on Social Character","type":"article","volume":"8"},"uris":["http://www.mendeley.com/documents/?uuid=c2b3e887-af52-4a2b-b6a8-aac26505193a"]}],"mendeley":{"formattedCitation":"[9], [10]","plainTextFormattedCitation":"[9], [10]","previouslyFormattedCitation":"[9], [10]"},"properties":{"noteIndex":0},"schema":"https://github.com/citation-style-language/schema/raw/master/csl-citation.json"}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[9], [10]</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The literature review, however, highlights the need for more research to unpack how potential power interacts with motivation and contributes to the development of seafarers.</w:t>
      </w:r>
      <w:r w:rsidR="00154FC9">
        <w:rPr>
          <w:rFonts w:ascii="Times New Roman" w:eastAsia="Calibri" w:hAnsi="Times New Roman" w:cs="Times New Roman"/>
          <w:bCs/>
        </w:rPr>
        <w:t xml:space="preserve"> T</w:t>
      </w:r>
      <w:r w:rsidRPr="00A70747">
        <w:rPr>
          <w:rFonts w:ascii="Times New Roman" w:eastAsia="Calibri" w:hAnsi="Times New Roman" w:cs="Times New Roman"/>
          <w:bCs/>
        </w:rPr>
        <w:t>he existing literature underscores the significance of investigating the motivational and potential power dynamics within Semester 1 cadets at STIP Jakarta. By addressing this gap, the current research not only contributes to the academic discourse but also provides practical insights for educational institutions and the maritime industry at large.</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This study utilises a qualitative descriptive approach to explore the motivational factors and potential power dynamics influencing the mindset of Semester 1 cadets at the Maritime Institute Jakarta (STIP Jakarta). The adoption of qualitative descriptive methodology is considered apt for capturing the nuanced aspects of cadet experiences without imposing predefined categories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BN":"3642880711","author":[{"dropping-particle":"","family":"Kortüm","given":"Gustav","non-dropping-particle":"","parse-names":false,"suffix":""}],"id":"ITEM-2","issued":{"date-parts":[["2012"]]},"publisher":"Springer Science &amp; Business Media","title":"Reflectance spectroscopy: principles, methods, applications","type":"book"},"uris":["http://www.mendeley.com/documents/?uuid=32047441-6533-4d91-a770-bf67716a8dad"]}],"mendeley":{"formattedCitation":"[11], [12]","plainTextFormattedCitation":"[11], [12]","previouslyFormattedCitation":"[11], [12]"},"properties":{"noteIndex":0},"schema":"https://github.com/citation-style-language/schema/raw/master/csl-citation.json"}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[11], [12]</w:t>
      </w:r>
      <w:r w:rsidR="00B87264">
        <w:rPr>
          <w:rFonts w:ascii="Times New Roman" w:eastAsia="Calibri" w:hAnsi="Times New Roman" w:cs="Times New Roman"/>
          <w:bCs/>
        </w:rPr>
        <w:fldChar w:fldCharType="end"/>
      </w:r>
      <w:r w:rsidR="00A70747" w:rsidRPr="00A70747">
        <w:rPr>
          <w:rFonts w:ascii="Times New Roman" w:eastAsia="Calibri" w:hAnsi="Times New Roman" w:cs="Times New Roman"/>
          <w:bCs/>
        </w:rPr>
        <w:t xml:space="preserve">. </w:t>
      </w:r>
      <w:r w:rsidRPr="00214BD9">
        <w:rPr>
          <w:rFonts w:ascii="Times New Roman" w:eastAsia="Calibri" w:hAnsi="Times New Roman" w:cs="Times New Roman"/>
          <w:bCs/>
        </w:rPr>
        <w:t>This approach enables the researcher to investigate the multifaceted dimensions of motivation and potential power, considering the unique context of STIP Jakarta's international program. The research design incorporates document analysis, structured filling, and observational techniques to gather comprehensive data. Given the research focus, the study is conducted from the researcher's perspective, involving the scrutiny of existing papers, documents, and observable phenomena within the academic setting</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mendeley":{"formattedCitation":"[13]","plainTextFormattedCitation":"[13]","previouslyFormattedCitation":"[13]"},"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[13]</w:t>
      </w:r>
      <w:r w:rsidR="00B87264">
        <w:rPr>
          <w:rFonts w:ascii="Times New Roman" w:eastAsia="Calibri" w:hAnsi="Times New Roman" w:cs="Times New Roman"/>
          <w:bCs/>
        </w:rPr>
        <w:fldChar w:fldCharType="end"/>
      </w:r>
      <w:r w:rsidR="00A70747" w:rsidRPr="00A70747">
        <w:rPr>
          <w:rFonts w:ascii="Times New Roman" w:eastAsia="Calibri" w:hAnsi="Times New Roman" w:cs="Times New Roman"/>
          <w:bCs/>
        </w:rPr>
        <w:t xml:space="preserve">. </w:t>
      </w:r>
      <w:r w:rsidRPr="00214BD9">
        <w:rPr>
          <w:rFonts w:ascii="Times New Roman" w:eastAsia="Calibri" w:hAnsi="Times New Roman" w:cs="Times New Roman"/>
          <w:bCs/>
        </w:rPr>
        <w:t>This method is chosen to avoid direct interviews with cadets, ensuring that the research does not disrupt their routine or unduly influence their responses. Instead, cadets are provided with structured fillings, prompting them to reflect on their motivations, experiences, and perceived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 xml:space="preserve">Document analysis involves a systematic review of academic records, personal statements, and any available written reflections by the cadets. This examination allows the researcher to trace the evolution of motivation and potential power </w:t>
      </w:r>
      <w:r w:rsidRPr="00A70747">
        <w:rPr>
          <w:rFonts w:ascii="Times New Roman" w:eastAsia="Calibri" w:hAnsi="Times New Roman" w:cs="Times New Roman"/>
          <w:bCs/>
        </w:rPr>
        <w:lastRenderedPageBreak/>
        <w:t>indicators over the cadets' academic journey. Moreover, it provides a historical context that aids in understanding the longitudinal development of these factors.</w:t>
      </w:r>
      <w:r w:rsidR="00154FC9">
        <w:rPr>
          <w:rFonts w:ascii="Times New Roman" w:eastAsia="Calibri" w:hAnsi="Times New Roman" w:cs="Times New Roman"/>
          <w:bCs/>
        </w:rPr>
        <w:t xml:space="preserve"> </w:t>
      </w:r>
      <w:r w:rsidRPr="00A70747">
        <w:rPr>
          <w:rFonts w:ascii="Times New Roman" w:eastAsia="Calibri" w:hAnsi="Times New Roman" w:cs="Times New Roman"/>
          <w:bCs/>
        </w:rPr>
        <w:t>The structured fillings, carefully designed by the researcher, serve as a tool for eliciting valuable insights from the cadets. These fillings are distributed to the selected sample of 200 cadets, incorporating open-ended questions that encourage thoughtful responses. The questions are crafted to explore the cadets' motivations for choosing maritime education, their perceptions of challenges and rewards, and reflections on their evolving potential power. By utilizing this method, the study aims to extract authentic and introspective data that reflects the cadets' internal thought processes.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Observational techniques involve unobtrusive observations of cadet behaviour, interaction patterns, and engagement in academic and extracurricular activities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{"citationItems":[{"id":"ITEM-1","itemData":{"DOI":"10.22219/jpbi.v4i1.5181","ISBN":"2527-6204","abstract":"Critical thinking emerges when learners attempt to use their background knowledge to construct meaning through interpreting, analyzing, and manipulating information in responding to a problem or a question that requires more than a single correct answer. Two factors that affect the improvement of the students’ critical thinking skills are lecturers’ activities and students’ activities. This study was a descriptive quantitative study which aimed to investigate (1) how lecturers perceive the development of students’ critical thinking skills and (2) drawbacks or obstacles that hinder the development of students’ critical thinking skills. The type of this research is a survey research with the descriptive quantitative approach. The research samples were taken from the population by using purposive sampling technique. Data was collected using a questionnaire, an observation sheet, and interviews. The research findings are 32.05% of the lecturers evaluated their students' critical thinking skills; therefore, promoting lecturers' awareness of developing students' critical thinking skills is necessary. In addition, the results of the present study also indicated that the development of students' critical thinking skills could interfere with many aspects including lecturers, students, frequencies of scientific meetings, and facilities.","author":[{"dropping-particle":"","family":"Amin","given":"Astuti Muh.","non-dropping-particle":"","parse-names":false,"suffix":""},{"dropping-particle":"","family":"Adiansyah","given":"Romi","non-dropping-particle":"","parse-names":false,"suffix":""}],"container-title":"JPBI (Jurnal Pendidikan Biologi Indonesia)","id":"ITEM-1","issue":"1","issued":{"date-parts":[["2018"]]},"note":"Cited By (since 2018): 4","page":"1-10","publisher":"Universitas Muhammadiyah Malang","title":"Lecturers’ perception on students’ critical thinking skills development and problems faced by students in developing their critical thinking skills","type":"article","volume":"4"},"uris":["http://www.mendeley.com/documents/?uuid=5f05e4f7-3bee-4c99-9c90-f68cc6025947"]}],"mendeley":{"formattedCitation":"[14]","plainTextFormattedCitation":"[14]","previouslyFormattedCitation":"[14]"},"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[14]</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The researcher remains a silent observer in the academic milieu, allowing for a naturalistic exploration of the social and behavioural aspects intertwined with motivational and potential power dynamics.</w:t>
      </w:r>
      <w:r w:rsidR="00154FC9">
        <w:rPr>
          <w:rFonts w:ascii="Times New Roman" w:eastAsia="Calibri" w:hAnsi="Times New Roman" w:cs="Times New Roman"/>
          <w:bCs/>
        </w:rPr>
        <w:t xml:space="preserve"> </w:t>
      </w:r>
      <w:r w:rsidRPr="00A70747">
        <w:rPr>
          <w:rFonts w:ascii="Times New Roman" w:eastAsia="Calibri" w:hAnsi="Times New Roman" w:cs="Times New Roman"/>
          <w:bCs/>
        </w:rPr>
        <w:t>Ethical considerations are paramount in this research, ensuring the anonymity and confidentiality of the cadets' responses. The use of structured fillings allows participants to share their experiences voluntarily, without the pressure of direct interviews. Moreover, the study adheres to ethical guidelines by obtaining informed consent from the participants and ensuring that their academic journey remains unaffected by the research process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{"citationItems":[{"id":"ITEM-1","itemData":{"author":[{"dropping-particle":"","family":"Goosen","given":"Leilani","non-dropping-particle":"","parse-names":false,"suffix":""}],"container-title":"Ensuring Research Integrity and the Ethical Management of Data","id":"ITEM-1","issued":{"date-parts":[["2018"]]},"page":"155-173","publisher":"IGI Global","title":"Ethical information and communication technologies for development solutions: research integrity for massive open online courses","type":"chapter"},"uris":["http://www.mendeley.com/documents/?uuid=80df7b21-dc69-4e38-97f3-90975fb9adfc"]}],"mendeley":{"formattedCitation":"[15]","plainTextFormattedCitation":"[15]","previouslyFormattedCitation":"[15]"},"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[15]</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w:t>
      </w:r>
      <w:r>
        <w:rPr>
          <w:rFonts w:ascii="Times New Roman" w:eastAsia="Calibri" w:hAnsi="Times New Roman" w:cs="Times New Roman"/>
          <w:bCs/>
        </w:rPr>
        <w:t>T</w:t>
      </w:r>
      <w:r w:rsidRPr="00A70747">
        <w:rPr>
          <w:rFonts w:ascii="Times New Roman" w:eastAsia="Calibri" w:hAnsi="Times New Roman" w:cs="Times New Roman"/>
          <w:bCs/>
        </w:rPr>
        <w:t>he qualitative descriptive approach, coupled with document analysis, structured fillings, and observational techniques, provides a holistic and nuanced exploration of the motivational and potential power dynamics within Semester 1 cadets at STIP Jakarta. This methodological framework aligns with the research objectives, offering a rich tapestry of data that contributes to the broader understanding of cadet development in the maritime education context.</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154FC9"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3.1. Results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The qualitative descriptive analysis of the motivational and potential power dynamics within Semester 1 cadets at the Maritime Institute Jakarta (STIP Jakarta) has yielded rich insights into the multifaceted aspects of their </w:t>
      </w:r>
      <w:proofErr w:type="spellStart"/>
      <w:r w:rsidRPr="00A70747">
        <w:rPr>
          <w:rFonts w:ascii="Times New Roman" w:eastAsia="Calibri" w:hAnsi="Times New Roman" w:cs="Times New Roman"/>
          <w:bCs/>
          <w:lang w:val="en-ID"/>
        </w:rPr>
        <w:t>mindset</w:t>
      </w:r>
      <w:proofErr w:type="spellEnd"/>
      <w:r w:rsidRPr="00A70747">
        <w:rPr>
          <w:rFonts w:ascii="Times New Roman" w:eastAsia="Calibri" w:hAnsi="Times New Roman" w:cs="Times New Roman"/>
          <w:bCs/>
          <w:lang w:val="en-ID"/>
        </w:rPr>
        <w:t xml:space="preserve"> development. The research focused on 200 randomly selected cadets, using a combination of document analysis, structured fillings, and observational techniques. The findings are presented below, organised into key themes that emerged from the data.</w:t>
      </w: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lastRenderedPageBreak/>
        <w:t>Theme 1: Motivational Forces Shaping Cadet Choice of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analysis of document records and structured fillings illuminated the diverse motivational forces influencing cadets' decisions to pursue maritime education. A significant majority of cadets expressed a profound intrinsic motivation rooted in their passion for the sea and a desire to embark on a dynamic and challenging career. Documented reflections highlighted personal narratives of familial connections to the maritime industry, with several cadets being inspired by family members who had previously served as seafarers.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structured fillings, designed to explore these motivations further, revealed a recurring theme of the allure of adventure and the unique lifestyle associated with seafaring. Many cadets cited an innate curiosity about the maritime world, seeking an environment that offered continuous learning opportunities and global exposure. Additionally, extrinsic factors such as career stability, financial prospects, and the international recognition of STIP Jakarta's programme emerged as supplementary motivations.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enhance the comprehensibility of these findings, Table 1 provides a summary of the key motivational factors identified among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1: Motivational Factors Influencing Cadet Choice of Maritime Education</w:t>
      </w:r>
    </w:p>
    <w:tbl>
      <w:tblPr>
        <w:tblW w:w="4528"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686"/>
        <w:gridCol w:w="1842"/>
      </w:tblGrid>
      <w:tr w:rsidR="00A70747" w:rsidRPr="00154FC9" w:rsidTr="00154FC9">
        <w:trPr>
          <w:tblHeader/>
          <w:tblCellSpacing w:w="15" w:type="dxa"/>
        </w:trPr>
        <w:tc>
          <w:tcPr>
            <w:tcW w:w="2641"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Motivational Factors</w:t>
            </w:r>
          </w:p>
        </w:tc>
        <w:tc>
          <w:tcPr>
            <w:tcW w:w="1797"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Intrinsic Passion for the Sea</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72%</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Family Influence</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48%</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Adventure and Global Exposure</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64%</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Career Stability</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35%</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Financial Prospects</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28%</w:t>
            </w:r>
          </w:p>
        </w:tc>
      </w:tr>
    </w:tbl>
    <w:p w:rsidR="00154FC9" w:rsidRDefault="00154FC9" w:rsidP="00154FC9">
      <w:pPr>
        <w:autoSpaceDE w:val="0"/>
        <w:autoSpaceDN w:val="0"/>
        <w:adjustRightInd w:val="0"/>
        <w:spacing w:after="0" w:line="240" w:lineRule="auto"/>
        <w:jc w:val="both"/>
        <w:rPr>
          <w:rFonts w:ascii="Times New Roman" w:eastAsia="Calibri" w:hAnsi="Times New Roman" w:cs="Times New Roman"/>
          <w:b/>
          <w:bCs/>
          <w:lang w:val="en-ID"/>
        </w:rPr>
      </w:pP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2: Perceived Challenges and Rewards in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structured fillings also probed cadets' perceptions of challenges and rewards encountered during their initial semesters at STIP Jakarta. Common challenges included the adjustment to rigorous academic demands, the initial separation from family, and adapting to a disciplined maritime lifestyle. Interestingly, these challenges were frequently viewed by cadets as integral components of their character-building process, contributing to their resilience and determination.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On the other hand, rewards were multifaceted, with academic achievements, camaraderie among cadets, and exposure to practical maritime training emerging as notable positive aspects. The immersive learning environment at STIP Jakarta was highlighted, with cadets expressing satisfaction </w:t>
      </w:r>
      <w:r w:rsidRPr="00A70747">
        <w:rPr>
          <w:rFonts w:ascii="Times New Roman" w:eastAsia="Calibri" w:hAnsi="Times New Roman" w:cs="Times New Roman"/>
          <w:bCs/>
          <w:lang w:val="en-ID"/>
        </w:rPr>
        <w:lastRenderedPageBreak/>
        <w:t>in applying theoretical knowledge to real-world scenarios during their training exercises.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enhance clarity, Table 2 encapsulates the major challenges and rewards identified by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2: Challenges and Rewards in Maritime Education as Perceived by Cadets</w:t>
      </w:r>
    </w:p>
    <w:p w:rsidR="00154FC9" w:rsidRPr="00A70747" w:rsidRDefault="00154FC9"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tbl>
      <w:tblPr>
        <w:tblW w:w="3820"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402"/>
        <w:gridCol w:w="1418"/>
      </w:tblGrid>
      <w:tr w:rsidR="00A70747" w:rsidRPr="00154FC9" w:rsidTr="00154FC9">
        <w:trPr>
          <w:tblHeader/>
          <w:tblCellSpacing w:w="15" w:type="dxa"/>
        </w:trPr>
        <w:tc>
          <w:tcPr>
            <w:tcW w:w="2357" w:type="dxa"/>
            <w:tcBorders>
              <w:top w:val="single" w:sz="6"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Challenges</w:t>
            </w:r>
          </w:p>
        </w:tc>
        <w:tc>
          <w:tcPr>
            <w:tcW w:w="1373" w:type="dxa"/>
            <w:tcBorders>
              <w:top w:val="single" w:sz="6"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Academic Rigour</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45%</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Initial Separation from Family</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28%</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Adapting to Maritime Lifestyle</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37%</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Rewards</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Academic Achievements</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62%</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Camaraderie Among Cadets</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48%</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Practical Maritime Training</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55%</w:t>
            </w:r>
          </w:p>
        </w:tc>
      </w:tr>
    </w:tbl>
    <w:p w:rsidR="00154FC9" w:rsidRDefault="00154FC9" w:rsidP="00154FC9">
      <w:pPr>
        <w:autoSpaceDE w:val="0"/>
        <w:autoSpaceDN w:val="0"/>
        <w:adjustRightInd w:val="0"/>
        <w:spacing w:after="0" w:line="240" w:lineRule="auto"/>
        <w:jc w:val="both"/>
        <w:rPr>
          <w:rFonts w:ascii="Times New Roman" w:eastAsia="Calibri" w:hAnsi="Times New Roman" w:cs="Times New Roman"/>
          <w:b/>
          <w:bCs/>
          <w:lang w:val="en-ID"/>
        </w:rPr>
      </w:pP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3: Reflections on Evolving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concept of potential power was explored through cadets' reflections on their evolving capabilities and strengths. Document analysis and structured fillings uncovered a diverse range of potential power manifestations, from cognitive aptitude to interpersonal skills. Cadets frequently highlighted their enhanced problem-solving abilities, adaptability, and effective communication skills developed through collaborative exercises and practical training.</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Observational techniques further corroborated these reflections, with cadets demonstrating leadership qualities during group activities and displaying a heightened sense of responsibility in simulated maritime scenarios. Interestingly, the holistic approach of STIP Jakarta's programme was acknowledged by cadets, attributing the development of their potential power to both academic and experiential learning.</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facilitate a clearer understanding, Table 3 summarises the identified dimensions of potential power among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3: Dimensions of Potential Power among Semester 1 Cadets</w:t>
      </w:r>
    </w:p>
    <w:tbl>
      <w:tblPr>
        <w:tblW w:w="3111"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119"/>
        <w:gridCol w:w="992"/>
      </w:tblGrid>
      <w:tr w:rsidR="00A70747" w:rsidRPr="00154FC9" w:rsidTr="00154FC9">
        <w:trPr>
          <w:tblHeader/>
          <w:tblCellSpacing w:w="15" w:type="dxa"/>
        </w:trPr>
        <w:tc>
          <w:tcPr>
            <w:tcW w:w="2074"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Dimensions of Potential Power</w:t>
            </w:r>
          </w:p>
        </w:tc>
        <w:tc>
          <w:tcPr>
            <w:tcW w:w="947"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Problem-Solving Abilities</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58%</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Adaptability</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42%</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Effective Communication</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49%</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Leadership Qualities</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35%</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Sense of Responsibility</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40%</w:t>
            </w:r>
          </w:p>
        </w:tc>
      </w:tr>
    </w:tbl>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The findings illuminate the intricate interplay between motivational forces, challenges, rewards, and the evolution of potential power within </w:t>
      </w:r>
      <w:r w:rsidRPr="00A70747">
        <w:rPr>
          <w:rFonts w:ascii="Times New Roman" w:eastAsia="Calibri" w:hAnsi="Times New Roman" w:cs="Times New Roman"/>
          <w:bCs/>
          <w:lang w:val="en-ID"/>
        </w:rPr>
        <w:lastRenderedPageBreak/>
        <w:t>Semester 1 cadets at STIP Jakarta. The dominance of intrinsic motivations, coupled with familial influences and a thirst for adventure, underscores the cadets' genuine passion for maritime education. These motivations align with existing literature on the importance of intrinsic factors in sustaining commitment to challenging professions.</w:t>
      </w:r>
      <w:r w:rsidR="00580584">
        <w:rPr>
          <w:rFonts w:ascii="Times New Roman" w:eastAsia="Calibri" w:hAnsi="Times New Roman" w:cs="Times New Roman"/>
          <w:bCs/>
        </w:rPr>
        <w:t xml:space="preserve"> </w:t>
      </w:r>
      <w:r w:rsidRPr="00A70747">
        <w:rPr>
          <w:rFonts w:ascii="Times New Roman" w:eastAsia="Calibri" w:hAnsi="Times New Roman" w:cs="Times New Roman"/>
          <w:bCs/>
          <w:lang w:val="en-ID"/>
        </w:rPr>
        <w:t xml:space="preserve">The perceived challenges, notably academic rigour and the initial separation from family, reflect the transitional nature of the cadets' journey. Importantly, these challenges are reframed by cadets as essential components of their character development, contributing to a resilient </w:t>
      </w:r>
      <w:proofErr w:type="spellStart"/>
      <w:r w:rsidRPr="00A70747">
        <w:rPr>
          <w:rFonts w:ascii="Times New Roman" w:eastAsia="Calibri" w:hAnsi="Times New Roman" w:cs="Times New Roman"/>
          <w:bCs/>
          <w:lang w:val="en-ID"/>
        </w:rPr>
        <w:t>mindset</w:t>
      </w:r>
      <w:proofErr w:type="spellEnd"/>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{"citationItems":[{"id":"ITEM-1","itemData":{"ISSN":"1136223304","author":[{"dropping-particle":"","family":"Cole","given":"Michael","non-dropping-particle":"","parse-names":false,"suffix":""}],"container-title":"Learning relationships in the classroom","id":"ITEM-1","issued":{"date-parts":[["2013"]]},"page":"31","publisher":"Routledge","title":"Cognitive development and formal schooling","type":"article-journal","volume":"2"},"uris":["http://www.mendeley.com/documents/?uuid=8414aa51-ea9a-427d-adb5-c39893347f13"]},{"id":"ITEM-2","itemData":{"ISBN":"1136918264","author":[{"dropping-particle":"","family":"Elliott","given":"Jennifer","non-dropping-particle":"","parse-names":false,"suffix":""}],"id":"ITEM-2","issued":{"date-parts":[["2012"]]},"publisher":"Routledge","title":"An introduction to sustainable development","type":"book"},"uris":["http://www.mendeley.com/documents/?uuid=0b99895f-58e9-44e7-b0fa-f8de8175a62a"]}],"mendeley":{"formattedCitation":"[16], [17]","plainTextFormattedCitation":"[16], [17]","previouslyFormattedCitation":"[16], [17]"},"properties":{"noteIndex":0},"schema":"https://github.com/citation-style-language/schema/raw/master/csl-citation.json"}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[16], [17]</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 The rewards, on the other hand, point to the positive aspects of the maritime education experience, highlighting the intrinsic value derived from academic achievements and the camaraderie fostered among cadets.</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214BD9">
        <w:rPr>
          <w:rFonts w:ascii="Times New Roman" w:eastAsia="Calibri" w:hAnsi="Times New Roman" w:cs="Times New Roman"/>
          <w:bCs/>
          <w:lang w:val="en-ID"/>
        </w:rPr>
        <w:t>The examination of potential power dimensions uncovers a comprehensive development process within the cadets, where problem-solving abilities, adaptability, effective communication, leadership qualities, and a sense of responsibility collectively shape their evolving potential power. The amalgamation of these dimensions signifies the success of STIP Jakarta in delivering a holistic educational experience that goes beyond mere academic proficiency. The qualitative descriptive analysis of Semester 1 cadets at STIP Jakarta unravels the intricate tapestry of their motivational and potential power dynamics. The findings offer valuable insights into the authentic experiences of the cadets, illuminating the factors propelling their commitment to maritime education. The adept use of structured fillings, document analysis, and observational techniques enables a nuanced exploration without disrupting the cadets' routine. This research contributes significantly to the academic dialogue on maritime education, providing practical insights for educational institutions and the maritime industry. The identified motivational factors, perceived challenges, and evolving potential power dimensions lay the groundwork for refining educational strategies and enhancing the overall cadet experience. As STIP Jakarta continues to shape the next generation of seafarers, these findings act as a guide for navigating the evolving landscape of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3.2. </w:t>
      </w:r>
      <w:r>
        <w:rPr>
          <w:rFonts w:ascii="Times New Roman" w:eastAsia="Calibri" w:hAnsi="Times New Roman" w:cs="Times New Roman"/>
          <w:b/>
          <w:bCs/>
          <w:lang w:val="en-ID"/>
        </w:rPr>
        <w:t>Discussion</w:t>
      </w:r>
    </w:p>
    <w:p w:rsidR="00A70747" w:rsidRPr="00A70747" w:rsidRDefault="00214BD9"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214BD9">
        <w:rPr>
          <w:rFonts w:ascii="Times New Roman" w:eastAsia="Calibri" w:hAnsi="Times New Roman" w:cs="Times New Roman"/>
          <w:bCs/>
          <w:lang w:val="en-ID"/>
        </w:rPr>
        <w:t xml:space="preserve">The insights derived from the analysis of motivational and potential power dynamics within Semester 1 cadets at the Maritime Institute Jakarta (STIP Jakarta) provide a nuanced understanding of their developmental journey. This discussion explores the implications of the findings and </w:t>
      </w:r>
      <w:r w:rsidRPr="00214BD9">
        <w:rPr>
          <w:rFonts w:ascii="Times New Roman" w:eastAsia="Calibri" w:hAnsi="Times New Roman" w:cs="Times New Roman"/>
          <w:bCs/>
          <w:lang w:val="en-ID"/>
        </w:rPr>
        <w:lastRenderedPageBreak/>
        <w:t>presents recommendations for educational institutions, the maritime industry, and future research.</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rPr>
        <w:t>A</w:t>
      </w:r>
      <w:r w:rsidR="00A70747" w:rsidRPr="00A70747">
        <w:rPr>
          <w:rFonts w:ascii="Times New Roman" w:eastAsia="Calibri" w:hAnsi="Times New Roman" w:cs="Times New Roman"/>
          <w:bCs/>
          <w:lang w:val="en-ID"/>
        </w:rPr>
        <w:t xml:space="preserve">. </w:t>
      </w:r>
      <w:r w:rsidR="00A70747" w:rsidRPr="00A70747">
        <w:rPr>
          <w:rFonts w:ascii="Times New Roman" w:eastAsia="Calibri" w:hAnsi="Times New Roman" w:cs="Times New Roman"/>
          <w:b/>
          <w:bCs/>
          <w:lang w:val="en-ID"/>
        </w:rPr>
        <w:t>Motivational Forces and Their Implications: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dominance of intrinsic motivations, including a passion for the sea and a desire for adventure, has significant implications for maritime education. Institutions such as STIP Jakarta should recognise and nurture these intrinsic motivations as they form the bedrock of sustained commitment. Incorporating experiential learning opportunities, exposure to real-world scenarios, and fostering a sense of adventure within the curriculum can further amplify these motivations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{"citationItems":[{"id":"ITEM-1","itemData":{"ISSN":"0146-1672","author":[{"dropping-particle":"","family":"Breines","given":"Juliana G","non-dropping-particle":"","parse-names":false,"suffix":""},{"dropping-particle":"","family":"Chen","given":"Serena","non-dropping-particle":"","parse-names":false,"suffix":""}],"container-title":"Personality and Social Psychology Bulletin","id":"ITEM-1","issue":"9","issued":{"date-parts":[["2012"]]},"page":"1133-1143","publisher":"Sage Publications Sage CA: Los Angeles, CA","title":"Self-compassion increases self-improvement motivation","type":"article-journal","volume":"38"},"uris":["http://www.mendeley.com/documents/?uuid=5d8b06c5-52a8-43f1-b654-6af4d4db3d49"]}],"mendeley":{"formattedCitation":"[18]","plainTextFormattedCitation":"[18]","previouslyFormattedCitation":"[18]"},"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[18]</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Moreover, acknowledging the familial influences on cadet choices underscores the importance of family engagement in the educational journey. Institutions should consider incorporating family orientation programmes to address the initial separation challenges, fostering a supportive network that complements the cadets' experiences.</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B</w:t>
      </w:r>
      <w:r w:rsidR="00A70747" w:rsidRPr="00A70747">
        <w:rPr>
          <w:rFonts w:ascii="Times New Roman" w:eastAsia="Calibri" w:hAnsi="Times New Roman" w:cs="Times New Roman"/>
          <w:b/>
          <w:bCs/>
          <w:lang w:val="en-ID"/>
        </w:rPr>
        <w:t>. Challenges and Rewards in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reframing of challenges as character-building experiences among cadets suggests a resilience that is vital for success in the maritime profession. STIP Jakarta and similar institutions should leverage this perspective by integrating resilience-building components into the curriculum. Mentorship programmes, psychological support services, and stress management modules can aid cadets in navigating challenges more effectively.</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The identified rewards, particularly the satisfaction derived from academic achievements and camaraderie, underscore the importance of a holistic educational approach</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A16CDC">
        <w:rPr>
          <w:rFonts w:ascii="Times New Roman" w:eastAsia="Calibri" w:hAnsi="Times New Roman" w:cs="Times New Roman"/>
          <w:bCs/>
        </w:rPr>
        <w:instrText>ADDIN CSL_CITATION {"citationItems":[{"id":"ITEM-1","itemData":{"author":[{"dropping-particle":"","family":"Nurwahyu","given":"Budi","non-dropping-particle":"","parse-names":false,"suffix":""},{"dropping-particle":"","family":"Tinungki","given":"Georgina Maria","non-dropping-particle":"","parse-names":false,"suffix":""}],"container-title":"European Journal of Educational Research","id":"ITEM-1","issue":"4","issued":{"date-parts":[["2020"]]},"page":"1723-1734","title":"European Journal of Educational Research","type":"article-journal","volume":"9"},"uris":["http://www.mendeley.com/documents/?uuid=0a97100f-535a-4112-9ef5-187ea1d0f220"]}],"mendeley":{"formattedCitation":"[19]","plainTextFormattedCitation":"[19]","previouslyFormattedCitation":"[19]"},"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[19]</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 Educational institutions must balance academic rigour with opportunities for social interaction and peer collaboration. Encouraging a sense of community among cadets can contribute to their overall satisfaction and emotional well-being.</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C</w:t>
      </w:r>
      <w:r w:rsidR="00A70747" w:rsidRPr="00A70747">
        <w:rPr>
          <w:rFonts w:ascii="Times New Roman" w:eastAsia="Calibri" w:hAnsi="Times New Roman" w:cs="Times New Roman"/>
          <w:b/>
          <w:bCs/>
          <w:lang w:val="en-ID"/>
        </w:rPr>
        <w:t>. Dimensions of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diverse dimensions of potential power identified among cadets highlight the holistic nature of their development. Institutions should recognise the interconnectedness of cognitive and interpersonal skills in producing well-rounded professionals. Integrating interdisciplinary approaches within the curriculum, collaborative projects, and leadership development programmes can further enhance these dimensions.</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 xml:space="preserve">The acknowledgement by cadets of the influence of both academic and experiential learning on their potential power suggests the importance of a balanced curriculum. Educational institutions should continue to invest in practical training, simulations, and industry exposure to bridge the gap </w:t>
      </w:r>
      <w:r w:rsidRPr="00A70747">
        <w:rPr>
          <w:rFonts w:ascii="Times New Roman" w:eastAsia="Calibri" w:hAnsi="Times New Roman" w:cs="Times New Roman"/>
          <w:bCs/>
          <w:lang w:val="en-ID"/>
        </w:rPr>
        <w:lastRenderedPageBreak/>
        <w:t>between theoretical knowledge and practical application. This ensures that cadets are not only academically proficient but also equipped with the practical skills demanded by the maritime industry.</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STIP Jakarta and similar institutions can leverage these findings to enhance their educational programmes. Implementing targeted interventions, such as family orientation programmes, resilience-building initiatives, and a balance between academic and social experiences, can contribute to a more enriching and supportive learning environment. Additionally, fostering a sense of adventure and passion for the maritime industry can be achieved through curated experiential learning opportunities.</w:t>
      </w:r>
    </w:p>
    <w:p w:rsidR="00580584" w:rsidRPr="00A70747" w:rsidRDefault="00580584"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sidR="00A70747" w:rsidRPr="00A70747">
        <w:rPr>
          <w:rFonts w:ascii="Times New Roman" w:eastAsia="Calibri" w:hAnsi="Times New Roman" w:cs="Times New Roman"/>
          <w:b/>
          <w:bCs/>
          <w:lang w:val="en-ID"/>
        </w:rPr>
        <w:t>Implications for the Maritime Industry:</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The maritime industry stands to benefit from a workforce equipped with a resilient </w:t>
      </w:r>
      <w:proofErr w:type="spellStart"/>
      <w:r w:rsidRPr="00A70747">
        <w:rPr>
          <w:rFonts w:ascii="Times New Roman" w:eastAsia="Calibri" w:hAnsi="Times New Roman" w:cs="Times New Roman"/>
          <w:bCs/>
          <w:lang w:val="en-ID"/>
        </w:rPr>
        <w:t>mindset</w:t>
      </w:r>
      <w:proofErr w:type="spellEnd"/>
      <w:r w:rsidRPr="00A70747">
        <w:rPr>
          <w:rFonts w:ascii="Times New Roman" w:eastAsia="Calibri" w:hAnsi="Times New Roman" w:cs="Times New Roman"/>
          <w:bCs/>
          <w:lang w:val="en-ID"/>
        </w:rPr>
        <w:t>, strong interpersonal skills, and a passion for their profession. Employers can collaborate with educational institutions to provide industry-specific training, mentorship programmes, and continuing education opportunities. Recognising the intrinsic motivations of cadets and aligning industry practices with these motivations can lead to a more engaged and dedicated workforce.</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E. </w:t>
      </w:r>
      <w:r w:rsidR="00A70747" w:rsidRPr="00A70747">
        <w:rPr>
          <w:rFonts w:ascii="Times New Roman" w:eastAsia="Calibri" w:hAnsi="Times New Roman" w:cs="Times New Roman"/>
          <w:b/>
          <w:bCs/>
          <w:lang w:val="en-ID"/>
        </w:rPr>
        <w:t>Recommendations:</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Curriculum Enhancement:</w:t>
      </w:r>
      <w:r w:rsidRPr="00A70747">
        <w:rPr>
          <w:rFonts w:ascii="Times New Roman" w:eastAsia="Calibri" w:hAnsi="Times New Roman" w:cs="Times New Roman"/>
          <w:bCs/>
          <w:lang w:val="en-ID"/>
        </w:rPr>
        <w:t xml:space="preserve"> Educational institutions should consider revisiting and enhancing their curricula to include more experiential learning opportunities, resilience-building components, and interdisciplinary approaches. This can better prepare cadets for the multifaceted challenges of the maritime profession.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Family Engagement Programmes:</w:t>
      </w:r>
      <w:r w:rsidRPr="00A70747">
        <w:rPr>
          <w:rFonts w:ascii="Times New Roman" w:eastAsia="Calibri" w:hAnsi="Times New Roman" w:cs="Times New Roman"/>
          <w:bCs/>
          <w:lang w:val="en-ID"/>
        </w:rPr>
        <w:t xml:space="preserve"> Institutions should develop and implement family orientation programmes to address the challenges associated with the initial separation of cadets from their families. These programmes can provide support structures that contribute to the overall well-being of cadets.</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Holistic Support Services:</w:t>
      </w:r>
      <w:r w:rsidRPr="00A70747">
        <w:rPr>
          <w:rFonts w:ascii="Times New Roman" w:eastAsia="Calibri" w:hAnsi="Times New Roman" w:cs="Times New Roman"/>
          <w:bCs/>
          <w:lang w:val="en-ID"/>
        </w:rPr>
        <w:t xml:space="preserve"> Institutions should establish comprehensive support services, including mentorship programmes, psychological support, and stress management resources. These services can assist cadets in navigating challenges and maintaining a positive </w:t>
      </w:r>
      <w:proofErr w:type="spellStart"/>
      <w:r w:rsidRPr="00A70747">
        <w:rPr>
          <w:rFonts w:ascii="Times New Roman" w:eastAsia="Calibri" w:hAnsi="Times New Roman" w:cs="Times New Roman"/>
          <w:bCs/>
          <w:lang w:val="en-ID"/>
        </w:rPr>
        <w:t>mindset</w:t>
      </w:r>
      <w:proofErr w:type="spellEnd"/>
      <w:r w:rsidRPr="00A70747">
        <w:rPr>
          <w:rFonts w:ascii="Times New Roman" w:eastAsia="Calibri" w:hAnsi="Times New Roman" w:cs="Times New Roman"/>
          <w:bCs/>
          <w:lang w:val="en-ID"/>
        </w:rPr>
        <w:t xml:space="preserve"> throughout their education.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Industry Collaboration:</w:t>
      </w:r>
      <w:r w:rsidRPr="00A70747">
        <w:rPr>
          <w:rFonts w:ascii="Times New Roman" w:eastAsia="Calibri" w:hAnsi="Times New Roman" w:cs="Times New Roman"/>
          <w:bCs/>
          <w:lang w:val="en-ID"/>
        </w:rPr>
        <w:t xml:space="preserve"> Maritime industry stakeholders should collaborate with educational institutions to provide industry-specific training, mentorship programmes, and opportunities for </w:t>
      </w:r>
      <w:r w:rsidRPr="00A70747">
        <w:rPr>
          <w:rFonts w:ascii="Times New Roman" w:eastAsia="Calibri" w:hAnsi="Times New Roman" w:cs="Times New Roman"/>
          <w:bCs/>
          <w:lang w:val="en-ID"/>
        </w:rPr>
        <w:lastRenderedPageBreak/>
        <w:t>continuous education. Aligning industry practices with the intrinsic motivations of cadets can lead to a workforce more dedicated to their profession.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Balanced Approach:</w:t>
      </w:r>
      <w:r w:rsidRPr="00A70747">
        <w:rPr>
          <w:rFonts w:ascii="Times New Roman" w:eastAsia="Calibri" w:hAnsi="Times New Roman" w:cs="Times New Roman"/>
          <w:bCs/>
          <w:lang w:val="en-ID"/>
        </w:rPr>
        <w:t xml:space="preserve"> Striking a balance between academic rigour and social experiences within the educational environment is crucial. Institutions should foster a sense of community among cadets, encouraging collaboration and peer support.</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findings of this research offer valuable insights into the motivational and potential power dynamics within Semester 1 cadets at STIP Jakarta. These insights have implications for educational institutions, the maritime industry, and future research in the field of maritime education. By acknowledging and nurturing the intrinsic motivations of cadets, enhancing support services, and fostering a holistic educational approach, institutions can contribute to the development of a resilient, skilled, and dedicated cadre of seafarers. This research lays the groundwork for further exploration and refinement of educational strategies to meet the evolving needs of the maritime industry.</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A70747" w:rsidRPr="00A70747" w:rsidRDefault="00214BD9" w:rsidP="00214BD9">
      <w:pPr>
        <w:autoSpaceDE w:val="0"/>
        <w:autoSpaceDN w:val="0"/>
        <w:adjustRightInd w:val="0"/>
        <w:spacing w:after="0" w:line="240" w:lineRule="auto"/>
        <w:ind w:firstLine="426"/>
        <w:jc w:val="both"/>
        <w:rPr>
          <w:rFonts w:ascii="Times New Roman" w:eastAsia="Calibri" w:hAnsi="Times New Roman" w:cs="Times New Roman"/>
          <w:bCs/>
        </w:rPr>
      </w:pPr>
      <w:r w:rsidRPr="00214BD9">
        <w:rPr>
          <w:rFonts w:ascii="Times New Roman" w:eastAsia="Calibri" w:hAnsi="Times New Roman" w:cs="Times New Roman"/>
          <w:bCs/>
        </w:rPr>
        <w:t>In the culmination of this research, a profound exploration into the motivational and potential power dynamics within Semester 1 cadets at the Maritime Institute Jakarta (STIP Jakarta) has yielded nuanced insights into their developmental journey. Employing a qualitative descriptive approach, the study embraced document analysis, structured fillings, and observational techniques to unravel the multifaceted aspects influencing the mindset of future seafarers. The research brought to light a profound intrinsic motivation among the cadets, rooted in a passion for the sea, familial influences, and a thirst for adventure. These motivations stand as the impetus behind their unwavering commitment to maritime education, emphasising the crucial role of recognising and nurturing these intrinsic factors in educational design.</w:t>
      </w:r>
      <w:r>
        <w:rPr>
          <w:rFonts w:ascii="Times New Roman" w:eastAsia="Calibri" w:hAnsi="Times New Roman" w:cs="Times New Roman"/>
          <w:bCs/>
        </w:rPr>
        <w:t xml:space="preserve"> </w:t>
      </w:r>
      <w:bookmarkStart w:id="1" w:name="_GoBack"/>
      <w:bookmarkEnd w:id="1"/>
      <w:r w:rsidRPr="00214BD9">
        <w:rPr>
          <w:rFonts w:ascii="Times New Roman" w:eastAsia="Calibri" w:hAnsi="Times New Roman" w:cs="Times New Roman"/>
          <w:bCs/>
        </w:rPr>
        <w:t>Challenges faced by the cadets, encompassing academic rigour and the initial separation from family, were redefined as character-building experiences. The resilience displayed, coupled with the satisfaction derived from academic accomplishments and camaraderie, underscores the holistic nature of their educational journey. These findings present a valuable roadmap for educational institutions, advocating for the inclusion of resilience-building components and a balanced approach that integrates academic rigour with social experiences.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lastRenderedPageBreak/>
        <w:t>The exploration of potential power dimensions among cadets revealed a holistic development process. Problem-solving abilities, adaptability, effective communication, leadership qualities, and a sense of responsibility collectively contribute to their evolving potential power. This multidimensional approach highlights the success of STIP Jakarta's programme in producing well-rounded professionals, integrating cognitive and interpersonal skills seamlessly.</w:t>
      </w:r>
      <w:r w:rsidR="00154FC9">
        <w:rPr>
          <w:rFonts w:ascii="Times New Roman" w:eastAsia="Calibri" w:hAnsi="Times New Roman" w:cs="Times New Roman"/>
          <w:bCs/>
        </w:rPr>
        <w:t xml:space="preserve"> T</w:t>
      </w:r>
      <w:r w:rsidRPr="00A70747">
        <w:rPr>
          <w:rFonts w:ascii="Times New Roman" w:eastAsia="Calibri" w:hAnsi="Times New Roman" w:cs="Times New Roman"/>
          <w:bCs/>
        </w:rPr>
        <w:t>his research contributes significantly to the understanding of cadet development in the maritime education context. The implications for educational institutions, particularly STIP Jakarta, extend to curriculum enhancements, family engagement programmes, and the establishment of comprehensive support services. The recommendations underscore the need for a collaborative approach between educational institutions and the maritime industry to align practices with the intrinsic motivations of cadets.</w:t>
      </w:r>
      <w:r w:rsidR="00154FC9">
        <w:rPr>
          <w:rFonts w:ascii="Times New Roman" w:eastAsia="Calibri" w:hAnsi="Times New Roman" w:cs="Times New Roman"/>
          <w:bCs/>
        </w:rPr>
        <w:t xml:space="preserve"> </w:t>
      </w:r>
      <w:r w:rsidRPr="00A70747">
        <w:rPr>
          <w:rFonts w:ascii="Times New Roman" w:eastAsia="Calibri" w:hAnsi="Times New Roman" w:cs="Times New Roman"/>
          <w:bCs/>
        </w:rPr>
        <w:t>As the maritime sector continues to evolve, this research serves as a foundation for future exploration and refinement of educational strategies. By acknowledging the motivational and potential power dynamics, institutions can better prepare cadets for the challenges and rewards of the seafaring profession. Ultimately, this research not only advances academic discourse but also provides actionable insights to shape the future of maritime education and the professionals it seeks to cultivate.</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rPr>
      </w:pPr>
      <w:r w:rsidRPr="001E325F">
        <w:rPr>
          <w:rFonts w:ascii="Times New Roman" w:eastAsia="Calibri" w:hAnsi="Times New Roman" w:cs="Times New Roman"/>
          <w:b/>
          <w:bCs/>
        </w:rPr>
        <w:t>REFERENCES</w:t>
      </w:r>
    </w:p>
    <w:p w:rsidR="00A70747" w:rsidRDefault="00A70747" w:rsidP="00F5577B">
      <w:pPr>
        <w:autoSpaceDE w:val="0"/>
        <w:autoSpaceDN w:val="0"/>
        <w:adjustRightInd w:val="0"/>
        <w:spacing w:after="0" w:line="240" w:lineRule="auto"/>
        <w:rPr>
          <w:rFonts w:ascii="Times New Roman" w:eastAsia="Calibri" w:hAnsi="Times New Roman" w:cs="Times New Roman"/>
          <w:b/>
          <w:bCs/>
        </w:rPr>
      </w:pPr>
    </w:p>
    <w:p w:rsidR="00214BD9" w:rsidRPr="00214BD9" w:rsidRDefault="00A16CDC"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rPr>
        <w:fldChar w:fldCharType="begin" w:fldLock="1"/>
      </w:r>
      <w:r>
        <w:rPr>
          <w:rFonts w:ascii="Times New Roman" w:eastAsia="Calibri" w:hAnsi="Times New Roman" w:cs="Times New Roman"/>
          <w:b/>
          <w:bCs/>
        </w:rPr>
        <w:instrText xml:space="preserve">ADDIN Mendeley Bibliography CSL_BIBLIOGRAPHY </w:instrText>
      </w:r>
      <w:r>
        <w:rPr>
          <w:rFonts w:ascii="Times New Roman" w:eastAsia="Calibri" w:hAnsi="Times New Roman" w:cs="Times New Roman"/>
          <w:b/>
          <w:bCs/>
        </w:rPr>
        <w:fldChar w:fldCharType="separate"/>
      </w:r>
      <w:r w:rsidR="00214BD9" w:rsidRPr="00214BD9">
        <w:rPr>
          <w:rFonts w:ascii="Times New Roman" w:hAnsi="Times New Roman" w:cs="Times New Roman"/>
          <w:noProof/>
          <w:szCs w:val="24"/>
        </w:rPr>
        <w:t>[1]</w:t>
      </w:r>
      <w:r w:rsidR="00214BD9" w:rsidRPr="00214BD9">
        <w:rPr>
          <w:rFonts w:ascii="Times New Roman" w:hAnsi="Times New Roman" w:cs="Times New Roman"/>
          <w:noProof/>
          <w:szCs w:val="24"/>
        </w:rPr>
        <w:tab/>
        <w:t xml:space="preserve">K. Cicek, E. Akyuz, and M. Celik, “Future skills requirements analysis in maritime industry,” </w:t>
      </w:r>
      <w:r w:rsidR="00214BD9" w:rsidRPr="00214BD9">
        <w:rPr>
          <w:rFonts w:ascii="Times New Roman" w:hAnsi="Times New Roman" w:cs="Times New Roman"/>
          <w:i/>
          <w:iCs/>
          <w:noProof/>
          <w:szCs w:val="24"/>
        </w:rPr>
        <w:t>Procedia Comput. Sci.</w:t>
      </w:r>
      <w:r w:rsidR="00214BD9" w:rsidRPr="00214BD9">
        <w:rPr>
          <w:rFonts w:ascii="Times New Roman" w:hAnsi="Times New Roman" w:cs="Times New Roman"/>
          <w:noProof/>
          <w:szCs w:val="24"/>
        </w:rPr>
        <w:t>, vol. 158, pp. 270–274,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[2]</w:t>
      </w:r>
      <w:r w:rsidRPr="00214BD9">
        <w:rPr>
          <w:rFonts w:ascii="Times New Roman" w:hAnsi="Times New Roman" w:cs="Times New Roman"/>
          <w:noProof/>
          <w:szCs w:val="24"/>
        </w:rPr>
        <w:tab/>
        <w:t>S. C. E. IMO, “IMO.” London, 2018.</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[3]</w:t>
      </w:r>
      <w:r w:rsidRPr="00214BD9">
        <w:rPr>
          <w:rFonts w:ascii="Times New Roman" w:hAnsi="Times New Roman" w:cs="Times New Roman"/>
          <w:noProof/>
          <w:szCs w:val="24"/>
        </w:rPr>
        <w:tab/>
        <w:t>S. A. T. SEP, “IMO ‘Model Courses’”.</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[4]</w:t>
      </w:r>
      <w:r w:rsidRPr="00214BD9">
        <w:rPr>
          <w:rFonts w:ascii="Times New Roman" w:hAnsi="Times New Roman" w:cs="Times New Roman"/>
          <w:noProof/>
          <w:szCs w:val="24"/>
        </w:rPr>
        <w:tab/>
        <w:t xml:space="preserve">R. Balkin, “The international maritime organization and maritime security,” </w:t>
      </w:r>
      <w:r w:rsidRPr="00214BD9">
        <w:rPr>
          <w:rFonts w:ascii="Times New Roman" w:hAnsi="Times New Roman" w:cs="Times New Roman"/>
          <w:i/>
          <w:iCs/>
          <w:noProof/>
          <w:szCs w:val="24"/>
        </w:rPr>
        <w:t>Tul. Mar. LJ</w:t>
      </w:r>
      <w:r w:rsidRPr="00214BD9">
        <w:rPr>
          <w:rFonts w:ascii="Times New Roman" w:hAnsi="Times New Roman" w:cs="Times New Roman"/>
          <w:noProof/>
          <w:szCs w:val="24"/>
        </w:rPr>
        <w:t>, vol. 30, p. 1, 2006.</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[5]</w:t>
      </w:r>
      <w:r w:rsidRPr="00214BD9">
        <w:rPr>
          <w:rFonts w:ascii="Times New Roman" w:hAnsi="Times New Roman" w:cs="Times New Roman"/>
          <w:noProof/>
          <w:szCs w:val="24"/>
        </w:rPr>
        <w:tab/>
        <w:t>J. Good, “Serving students with special needs better: How digital technology can help.” Organisation for Economic Co-Operation and Development (OECD), 2021. doi: 10.1787/40fa80d3-en.</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[6]</w:t>
      </w:r>
      <w:r w:rsidRPr="00214BD9">
        <w:rPr>
          <w:rFonts w:ascii="Times New Roman" w:hAnsi="Times New Roman" w:cs="Times New Roman"/>
          <w:noProof/>
          <w:szCs w:val="24"/>
        </w:rPr>
        <w:tab/>
        <w:t>Muhajir, “Inquiry Learning Strategy To Improve Students’ critical Thinking Skills.” Center for Open Science, 2019. doi: 10.31227/osf.io/kcyx7.</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[7]</w:t>
      </w:r>
      <w:r w:rsidRPr="00214BD9">
        <w:rPr>
          <w:rFonts w:ascii="Times New Roman" w:hAnsi="Times New Roman" w:cs="Times New Roman"/>
          <w:noProof/>
          <w:szCs w:val="24"/>
        </w:rPr>
        <w:tab/>
        <w:t xml:space="preserve">Y. Rochwulaningsih, S. T. Sulistiyono, N. N. Masruroh, and N. N. Maulany, “Marine policy basis of Indonesia as a maritime state: The importance of integrated economy,” </w:t>
      </w:r>
      <w:r w:rsidRPr="00214BD9">
        <w:rPr>
          <w:rFonts w:ascii="Times New Roman" w:hAnsi="Times New Roman" w:cs="Times New Roman"/>
          <w:i/>
          <w:iCs/>
          <w:noProof/>
          <w:szCs w:val="24"/>
        </w:rPr>
        <w:t>Mar. Policy</w:t>
      </w:r>
      <w:r w:rsidRPr="00214BD9">
        <w:rPr>
          <w:rFonts w:ascii="Times New Roman" w:hAnsi="Times New Roman" w:cs="Times New Roman"/>
          <w:noProof/>
          <w:szCs w:val="24"/>
        </w:rPr>
        <w:t xml:space="preserve">, vol. 108, p. </w:t>
      </w:r>
      <w:r w:rsidRPr="00214BD9">
        <w:rPr>
          <w:rFonts w:ascii="Times New Roman" w:hAnsi="Times New Roman" w:cs="Times New Roman"/>
          <w:noProof/>
          <w:szCs w:val="24"/>
        </w:rPr>
        <w:lastRenderedPageBreak/>
        <w:t>103602, 2019.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[8]</w:t>
      </w:r>
      <w:r w:rsidRPr="00214BD9">
        <w:rPr>
          <w:rFonts w:ascii="Times New Roman" w:hAnsi="Times New Roman" w:cs="Times New Roman"/>
          <w:noProof/>
          <w:szCs w:val="24"/>
        </w:rPr>
        <w:tab/>
        <w:t xml:space="preserve">S. Fang, Y. Wang, B. Gou, and Y. Xu, “Toward future green maritime transportation: An overview of seaport microgrids and all-electric ships,” </w:t>
      </w:r>
      <w:r w:rsidRPr="00214BD9">
        <w:rPr>
          <w:rFonts w:ascii="Times New Roman" w:hAnsi="Times New Roman" w:cs="Times New Roman"/>
          <w:i/>
          <w:iCs/>
          <w:noProof/>
          <w:szCs w:val="24"/>
        </w:rPr>
        <w:t>IEEE Trans. Veh. Technol.</w:t>
      </w:r>
      <w:r w:rsidRPr="00214BD9">
        <w:rPr>
          <w:rFonts w:ascii="Times New Roman" w:hAnsi="Times New Roman" w:cs="Times New Roman"/>
          <w:noProof/>
          <w:szCs w:val="24"/>
        </w:rPr>
        <w:t>, vol. 69, no. 1, pp. 207–219,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[9]</w:t>
      </w:r>
      <w:r w:rsidRPr="00214BD9">
        <w:rPr>
          <w:rFonts w:ascii="Times New Roman" w:hAnsi="Times New Roman" w:cs="Times New Roman"/>
          <w:noProof/>
          <w:szCs w:val="24"/>
        </w:rPr>
        <w:tab/>
        <w:t xml:space="preserve">M. T. Hora, </w:t>
      </w:r>
      <w:r w:rsidRPr="00214BD9">
        <w:rPr>
          <w:rFonts w:ascii="Times New Roman" w:hAnsi="Times New Roman" w:cs="Times New Roman"/>
          <w:i/>
          <w:iCs/>
          <w:noProof/>
          <w:szCs w:val="24"/>
        </w:rPr>
        <w:t>Beyond the skills gap: Preparing college students for life and work</w:t>
      </w:r>
      <w:r w:rsidRPr="00214BD9">
        <w:rPr>
          <w:rFonts w:ascii="Times New Roman" w:hAnsi="Times New Roman" w:cs="Times New Roman"/>
          <w:noProof/>
          <w:szCs w:val="24"/>
        </w:rPr>
        <w:t>. Harvard Education Press,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[10]</w:t>
      </w:r>
      <w:r w:rsidRPr="00214BD9">
        <w:rPr>
          <w:rFonts w:ascii="Times New Roman" w:hAnsi="Times New Roman" w:cs="Times New Roman"/>
          <w:noProof/>
          <w:szCs w:val="24"/>
        </w:rPr>
        <w:tab/>
        <w:t xml:space="preserve">“Students’ Digital Media Literacy: Effects on Social Character,” </w:t>
      </w:r>
      <w:r w:rsidRPr="00214BD9">
        <w:rPr>
          <w:rFonts w:ascii="Times New Roman" w:hAnsi="Times New Roman" w:cs="Times New Roman"/>
          <w:i/>
          <w:iCs/>
          <w:noProof/>
          <w:szCs w:val="24"/>
        </w:rPr>
        <w:t>International Journal of Recent Technology and Engineering</w:t>
      </w:r>
      <w:r w:rsidRPr="00214BD9">
        <w:rPr>
          <w:rFonts w:ascii="Times New Roman" w:hAnsi="Times New Roman" w:cs="Times New Roman"/>
          <w:noProof/>
          <w:szCs w:val="24"/>
        </w:rPr>
        <w:t>, vol. 8, no. 2. Blue Eyes Intelligence Engineering and Sciences Engineering and Sciences Publication - BEIESP, pp. 394–399, 2019. doi: 10.35940/ijrte.b1091.0982s919.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[11]</w:t>
      </w:r>
      <w:r w:rsidRPr="00214BD9">
        <w:rPr>
          <w:rFonts w:ascii="Times New Roman" w:hAnsi="Times New Roman" w:cs="Times New Roman"/>
          <w:noProof/>
          <w:szCs w:val="24"/>
        </w:rPr>
        <w:tab/>
        <w:t xml:space="preserve">J. Katz, “A theory of qualitative methodology: The social system of analytic fieldwork,” </w:t>
      </w:r>
      <w:r w:rsidRPr="00214BD9">
        <w:rPr>
          <w:rFonts w:ascii="Times New Roman" w:hAnsi="Times New Roman" w:cs="Times New Roman"/>
          <w:i/>
          <w:iCs/>
          <w:noProof/>
          <w:szCs w:val="24"/>
        </w:rPr>
        <w:t>Méthod s African Rev. Soc. Sci. Methodol.</w:t>
      </w:r>
      <w:r w:rsidRPr="00214BD9">
        <w:rPr>
          <w:rFonts w:ascii="Times New Roman" w:hAnsi="Times New Roman" w:cs="Times New Roman"/>
          <w:noProof/>
          <w:szCs w:val="24"/>
        </w:rPr>
        <w:t>, vol. 1, no. 1–2, pp. 131–146, 2015.</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[12]</w:t>
      </w:r>
      <w:r w:rsidRPr="00214BD9">
        <w:rPr>
          <w:rFonts w:ascii="Times New Roman" w:hAnsi="Times New Roman" w:cs="Times New Roman"/>
          <w:noProof/>
          <w:szCs w:val="24"/>
        </w:rPr>
        <w:tab/>
        <w:t xml:space="preserve">G. Kortüm, </w:t>
      </w:r>
      <w:r w:rsidRPr="00214BD9">
        <w:rPr>
          <w:rFonts w:ascii="Times New Roman" w:hAnsi="Times New Roman" w:cs="Times New Roman"/>
          <w:i/>
          <w:iCs/>
          <w:noProof/>
          <w:szCs w:val="24"/>
        </w:rPr>
        <w:t>Reflectance spectroscopy: principles, methods, applications</w:t>
      </w:r>
      <w:r w:rsidRPr="00214BD9">
        <w:rPr>
          <w:rFonts w:ascii="Times New Roman" w:hAnsi="Times New Roman" w:cs="Times New Roman"/>
          <w:noProof/>
          <w:szCs w:val="24"/>
        </w:rPr>
        <w:t>. Springer Science &amp; Business Media, 2012.</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[13]</w:t>
      </w:r>
      <w:r w:rsidRPr="00214BD9">
        <w:rPr>
          <w:rFonts w:ascii="Times New Roman" w:hAnsi="Times New Roman" w:cs="Times New Roman"/>
          <w:noProof/>
          <w:szCs w:val="24"/>
        </w:rPr>
        <w:tab/>
        <w:t xml:space="preserve">S. B. Merriam and R. S. Grenier, </w:t>
      </w:r>
      <w:r w:rsidRPr="00214BD9">
        <w:rPr>
          <w:rFonts w:ascii="Times New Roman" w:hAnsi="Times New Roman" w:cs="Times New Roman"/>
          <w:i/>
          <w:iCs/>
          <w:noProof/>
          <w:szCs w:val="24"/>
        </w:rPr>
        <w:t>Qualitative research in practice: Examples for discussion and analysis</w:t>
      </w:r>
      <w:r w:rsidRPr="00214BD9">
        <w:rPr>
          <w:rFonts w:ascii="Times New Roman" w:hAnsi="Times New Roman" w:cs="Times New Roman"/>
          <w:noProof/>
          <w:szCs w:val="24"/>
        </w:rPr>
        <w:t>. John Wiley &amp; Sons, 2019.</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lastRenderedPageBreak/>
        <w:t>[14]</w:t>
      </w:r>
      <w:r w:rsidRPr="00214BD9">
        <w:rPr>
          <w:rFonts w:ascii="Times New Roman" w:hAnsi="Times New Roman" w:cs="Times New Roman"/>
          <w:noProof/>
          <w:szCs w:val="24"/>
        </w:rPr>
        <w:tab/>
        <w:t xml:space="preserve">A. M. Amin and R. Adiansyah, “Lecturers’ perception on students’ critical thinking skills development and problems faced by students in developing their critical thinking skills,” </w:t>
      </w:r>
      <w:r w:rsidRPr="00214BD9">
        <w:rPr>
          <w:rFonts w:ascii="Times New Roman" w:hAnsi="Times New Roman" w:cs="Times New Roman"/>
          <w:i/>
          <w:iCs/>
          <w:noProof/>
          <w:szCs w:val="24"/>
        </w:rPr>
        <w:t>JPBI (Jurnal Pendidikan Biologi Indonesia)</w:t>
      </w:r>
      <w:r w:rsidRPr="00214BD9">
        <w:rPr>
          <w:rFonts w:ascii="Times New Roman" w:hAnsi="Times New Roman" w:cs="Times New Roman"/>
          <w:noProof/>
          <w:szCs w:val="24"/>
        </w:rPr>
        <w:t>, vol. 4, no. 1. Universitas Muhammadiyah Malang, pp. 1–10, 2018. doi: 10.22219/jpbi.v4i1.5181.</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[15]</w:t>
      </w:r>
      <w:r w:rsidRPr="00214BD9">
        <w:rPr>
          <w:rFonts w:ascii="Times New Roman" w:hAnsi="Times New Roman" w:cs="Times New Roman"/>
          <w:noProof/>
          <w:szCs w:val="24"/>
        </w:rPr>
        <w:tab/>
        <w:t xml:space="preserve">L. Goosen, “Ethical information and communication technologies for development solutions: research integrity for massive open online courses,” in </w:t>
      </w:r>
      <w:r w:rsidRPr="00214BD9">
        <w:rPr>
          <w:rFonts w:ascii="Times New Roman" w:hAnsi="Times New Roman" w:cs="Times New Roman"/>
          <w:i/>
          <w:iCs/>
          <w:noProof/>
          <w:szCs w:val="24"/>
        </w:rPr>
        <w:t>Ensuring Research Integrity and the Ethical Management of Data</w:t>
      </w:r>
      <w:r w:rsidRPr="00214BD9">
        <w:rPr>
          <w:rFonts w:ascii="Times New Roman" w:hAnsi="Times New Roman" w:cs="Times New Roman"/>
          <w:noProof/>
          <w:szCs w:val="24"/>
        </w:rPr>
        <w:t>, IGI Global, 2018, pp. 155–173.</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[16]</w:t>
      </w:r>
      <w:r w:rsidRPr="00214BD9">
        <w:rPr>
          <w:rFonts w:ascii="Times New Roman" w:hAnsi="Times New Roman" w:cs="Times New Roman"/>
          <w:noProof/>
          <w:szCs w:val="24"/>
        </w:rPr>
        <w:tab/>
        <w:t xml:space="preserve">M. Cole, “Cognitive development and formal schooling,” </w:t>
      </w:r>
      <w:r w:rsidRPr="00214BD9">
        <w:rPr>
          <w:rFonts w:ascii="Times New Roman" w:hAnsi="Times New Roman" w:cs="Times New Roman"/>
          <w:i/>
          <w:iCs/>
          <w:noProof/>
          <w:szCs w:val="24"/>
        </w:rPr>
        <w:t>Learn. relationships Classr.</w:t>
      </w:r>
      <w:r w:rsidRPr="00214BD9">
        <w:rPr>
          <w:rFonts w:ascii="Times New Roman" w:hAnsi="Times New Roman" w:cs="Times New Roman"/>
          <w:noProof/>
          <w:szCs w:val="24"/>
        </w:rPr>
        <w:t>, vol. 2, p. 31, 2013.</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[17]</w:t>
      </w:r>
      <w:r w:rsidRPr="00214BD9">
        <w:rPr>
          <w:rFonts w:ascii="Times New Roman" w:hAnsi="Times New Roman" w:cs="Times New Roman"/>
          <w:noProof/>
          <w:szCs w:val="24"/>
        </w:rPr>
        <w:tab/>
        <w:t xml:space="preserve">J. Elliott, </w:t>
      </w:r>
      <w:r w:rsidRPr="00214BD9">
        <w:rPr>
          <w:rFonts w:ascii="Times New Roman" w:hAnsi="Times New Roman" w:cs="Times New Roman"/>
          <w:i/>
          <w:iCs/>
          <w:noProof/>
          <w:szCs w:val="24"/>
        </w:rPr>
        <w:t>An introduction to sustainable development</w:t>
      </w:r>
      <w:r w:rsidRPr="00214BD9">
        <w:rPr>
          <w:rFonts w:ascii="Times New Roman" w:hAnsi="Times New Roman" w:cs="Times New Roman"/>
          <w:noProof/>
          <w:szCs w:val="24"/>
        </w:rPr>
        <w:t>. Routledge, 2012.</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szCs w:val="24"/>
        </w:rPr>
      </w:pPr>
      <w:r w:rsidRPr="00214BD9">
        <w:rPr>
          <w:rFonts w:ascii="Times New Roman" w:hAnsi="Times New Roman" w:cs="Times New Roman"/>
          <w:noProof/>
          <w:szCs w:val="24"/>
        </w:rPr>
        <w:t>[18]</w:t>
      </w:r>
      <w:r w:rsidRPr="00214BD9">
        <w:rPr>
          <w:rFonts w:ascii="Times New Roman" w:hAnsi="Times New Roman" w:cs="Times New Roman"/>
          <w:noProof/>
          <w:szCs w:val="24"/>
        </w:rPr>
        <w:tab/>
        <w:t xml:space="preserve">J. G. Breines and S. Chen, “Self-compassion increases self-improvement motivation,” </w:t>
      </w:r>
      <w:r w:rsidRPr="00214BD9">
        <w:rPr>
          <w:rFonts w:ascii="Times New Roman" w:hAnsi="Times New Roman" w:cs="Times New Roman"/>
          <w:i/>
          <w:iCs/>
          <w:noProof/>
          <w:szCs w:val="24"/>
        </w:rPr>
        <w:t>Personal. Soc. Psychol. Bull.</w:t>
      </w:r>
      <w:r w:rsidRPr="00214BD9">
        <w:rPr>
          <w:rFonts w:ascii="Times New Roman" w:hAnsi="Times New Roman" w:cs="Times New Roman"/>
          <w:noProof/>
          <w:szCs w:val="24"/>
        </w:rPr>
        <w:t>, vol. 38, no. 9, pp. 1133–1143, 2012.</w:t>
      </w:r>
    </w:p>
    <w:p w:rsidR="00214BD9" w:rsidRPr="00214BD9" w:rsidRDefault="00214BD9" w:rsidP="00214BD9">
      <w:pPr>
        <w:widowControl w:val="0"/>
        <w:autoSpaceDE w:val="0"/>
        <w:autoSpaceDN w:val="0"/>
        <w:adjustRightInd w:val="0"/>
        <w:spacing w:after="0" w:line="240" w:lineRule="auto"/>
        <w:ind w:left="640" w:hanging="640"/>
        <w:rPr>
          <w:rFonts w:ascii="Times New Roman" w:hAnsi="Times New Roman" w:cs="Times New Roman"/>
          <w:noProof/>
        </w:rPr>
      </w:pPr>
      <w:r w:rsidRPr="00214BD9">
        <w:rPr>
          <w:rFonts w:ascii="Times New Roman" w:hAnsi="Times New Roman" w:cs="Times New Roman"/>
          <w:noProof/>
          <w:szCs w:val="24"/>
        </w:rPr>
        <w:t>[19]</w:t>
      </w:r>
      <w:r w:rsidRPr="00214BD9">
        <w:rPr>
          <w:rFonts w:ascii="Times New Roman" w:hAnsi="Times New Roman" w:cs="Times New Roman"/>
          <w:noProof/>
          <w:szCs w:val="24"/>
        </w:rPr>
        <w:tab/>
        <w:t xml:space="preserve">B. Nurwahyu and G. M. Tinungki, “European Journal of Educational Research,” </w:t>
      </w:r>
      <w:r w:rsidRPr="00214BD9">
        <w:rPr>
          <w:rFonts w:ascii="Times New Roman" w:hAnsi="Times New Roman" w:cs="Times New Roman"/>
          <w:i/>
          <w:iCs/>
          <w:noProof/>
          <w:szCs w:val="24"/>
        </w:rPr>
        <w:t>Eur. J. Educ. Res.</w:t>
      </w:r>
      <w:r w:rsidRPr="00214BD9">
        <w:rPr>
          <w:rFonts w:ascii="Times New Roman" w:hAnsi="Times New Roman" w:cs="Times New Roman"/>
          <w:noProof/>
          <w:szCs w:val="24"/>
        </w:rPr>
        <w:t>, vol. 9, no. 4, pp. 1723–1734, 2020.</w:t>
      </w:r>
    </w:p>
    <w:p w:rsidR="00C0075E" w:rsidRDefault="00A16CDC" w:rsidP="00F5577B">
      <w:pPr>
        <w:autoSpaceDE w:val="0"/>
        <w:autoSpaceDN w:val="0"/>
        <w:adjustRightInd w:val="0"/>
        <w:spacing w:after="0" w:line="240" w:lineRule="auto"/>
        <w:rPr>
          <w:rFonts w:ascii="Times New Roman" w:eastAsia="Calibri" w:hAnsi="Times New Roman" w:cs="Times New Roman"/>
          <w:b/>
          <w:bCs/>
        </w:rPr>
        <w:sectPr w:rsidR="00C0075E" w:rsidSect="00C0075E">
          <w:type w:val="continuous"/>
          <w:pgSz w:w="11906" w:h="16838"/>
          <w:pgMar w:top="1134" w:right="1134" w:bottom="1134" w:left="1134" w:header="709" w:footer="709" w:gutter="0"/>
          <w:cols w:num="2" w:space="567"/>
          <w:docGrid w:linePitch="360"/>
        </w:sectPr>
      </w:pPr>
      <w:r>
        <w:rPr>
          <w:rFonts w:ascii="Times New Roman" w:eastAsia="Calibri" w:hAnsi="Times New Roman" w:cs="Times New Roman"/>
          <w:b/>
          <w:bCs/>
        </w:rPr>
        <w:fldChar w:fldCharType="end"/>
      </w:r>
    </w:p>
    <w:p w:rsidR="00A70747" w:rsidRDefault="00A70747" w:rsidP="00F5577B">
      <w:pPr>
        <w:autoSpaceDE w:val="0"/>
        <w:autoSpaceDN w:val="0"/>
        <w:adjustRightInd w:val="0"/>
        <w:spacing w:after="0" w:line="240" w:lineRule="auto"/>
        <w:rPr>
          <w:rFonts w:ascii="Times New Roman" w:eastAsia="Calibri" w:hAnsi="Times New Roman" w:cs="Times New Roman"/>
          <w:b/>
          <w:bCs/>
        </w:rPr>
      </w:pPr>
    </w:p>
    <w:sectPr w:rsidR="00A70747" w:rsidSect="00A70747">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37" w:rsidRDefault="00D72337" w:rsidP="00BD3DF2">
      <w:pPr>
        <w:spacing w:after="0" w:line="240" w:lineRule="auto"/>
      </w:pPr>
      <w:r>
        <w:separator/>
      </w:r>
    </w:p>
  </w:endnote>
  <w:endnote w:type="continuationSeparator" w:id="0">
    <w:p w:rsidR="00D72337" w:rsidRDefault="00D7233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214BD9">
          <w:rPr>
            <w:rFonts w:ascii="Times New Roman" w:hAnsi="Times New Roman" w:cs="Times New Roman"/>
            <w:noProof/>
            <w:sz w:val="24"/>
            <w:szCs w:val="24"/>
          </w:rPr>
          <w:t>7</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37" w:rsidRDefault="00D72337" w:rsidP="00BD3DF2">
      <w:pPr>
        <w:spacing w:after="0" w:line="240" w:lineRule="auto"/>
      </w:pPr>
      <w:r>
        <w:separator/>
      </w:r>
    </w:p>
  </w:footnote>
  <w:footnote w:type="continuationSeparator" w:id="0">
    <w:p w:rsidR="00D72337" w:rsidRDefault="00D7233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D2352D6"/>
    <w:multiLevelType w:val="multilevel"/>
    <w:tmpl w:val="6214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B2834"/>
    <w:rsid w:val="000C1197"/>
    <w:rsid w:val="000C17E4"/>
    <w:rsid w:val="000C31DF"/>
    <w:rsid w:val="000C5A7E"/>
    <w:rsid w:val="000C6E91"/>
    <w:rsid w:val="000D0AC6"/>
    <w:rsid w:val="000E5FB5"/>
    <w:rsid w:val="000E6927"/>
    <w:rsid w:val="001014E0"/>
    <w:rsid w:val="001221B0"/>
    <w:rsid w:val="0014123F"/>
    <w:rsid w:val="00154FC9"/>
    <w:rsid w:val="00166D83"/>
    <w:rsid w:val="00167ABC"/>
    <w:rsid w:val="001807B9"/>
    <w:rsid w:val="001A00C2"/>
    <w:rsid w:val="001B28B7"/>
    <w:rsid w:val="001C79A0"/>
    <w:rsid w:val="001E325F"/>
    <w:rsid w:val="001F2277"/>
    <w:rsid w:val="00214BD9"/>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0584"/>
    <w:rsid w:val="005831E4"/>
    <w:rsid w:val="00583700"/>
    <w:rsid w:val="005B6D02"/>
    <w:rsid w:val="005D6635"/>
    <w:rsid w:val="005E3175"/>
    <w:rsid w:val="005F1219"/>
    <w:rsid w:val="005F3A06"/>
    <w:rsid w:val="005F4B71"/>
    <w:rsid w:val="006056BE"/>
    <w:rsid w:val="006171B3"/>
    <w:rsid w:val="00617C9B"/>
    <w:rsid w:val="00635CBD"/>
    <w:rsid w:val="006709DA"/>
    <w:rsid w:val="00695CC6"/>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07B59"/>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6CDC"/>
    <w:rsid w:val="00A214E1"/>
    <w:rsid w:val="00A236A6"/>
    <w:rsid w:val="00A37C6F"/>
    <w:rsid w:val="00A618F9"/>
    <w:rsid w:val="00A70747"/>
    <w:rsid w:val="00A7430C"/>
    <w:rsid w:val="00AA4294"/>
    <w:rsid w:val="00AC532E"/>
    <w:rsid w:val="00AF5ED5"/>
    <w:rsid w:val="00AF623A"/>
    <w:rsid w:val="00B03EFF"/>
    <w:rsid w:val="00B0553E"/>
    <w:rsid w:val="00B249C9"/>
    <w:rsid w:val="00B27B70"/>
    <w:rsid w:val="00B3034B"/>
    <w:rsid w:val="00B329CF"/>
    <w:rsid w:val="00B5153F"/>
    <w:rsid w:val="00B53B02"/>
    <w:rsid w:val="00B57E80"/>
    <w:rsid w:val="00B6161E"/>
    <w:rsid w:val="00B71E3A"/>
    <w:rsid w:val="00B81A52"/>
    <w:rsid w:val="00B81D9E"/>
    <w:rsid w:val="00B87264"/>
    <w:rsid w:val="00BA1FD2"/>
    <w:rsid w:val="00BC2F62"/>
    <w:rsid w:val="00BC75CA"/>
    <w:rsid w:val="00BD3DF2"/>
    <w:rsid w:val="00BF2C15"/>
    <w:rsid w:val="00C0075E"/>
    <w:rsid w:val="00C050E6"/>
    <w:rsid w:val="00C05853"/>
    <w:rsid w:val="00C12717"/>
    <w:rsid w:val="00C23B5D"/>
    <w:rsid w:val="00C31ED1"/>
    <w:rsid w:val="00C35A97"/>
    <w:rsid w:val="00C63ADD"/>
    <w:rsid w:val="00C7149F"/>
    <w:rsid w:val="00C94422"/>
    <w:rsid w:val="00C958E2"/>
    <w:rsid w:val="00CB1532"/>
    <w:rsid w:val="00CB5385"/>
    <w:rsid w:val="00CB7470"/>
    <w:rsid w:val="00CC0689"/>
    <w:rsid w:val="00CC7E46"/>
    <w:rsid w:val="00CD310F"/>
    <w:rsid w:val="00CE1588"/>
    <w:rsid w:val="00D3241E"/>
    <w:rsid w:val="00D72337"/>
    <w:rsid w:val="00D816C8"/>
    <w:rsid w:val="00D934D6"/>
    <w:rsid w:val="00DA1E36"/>
    <w:rsid w:val="00DB194B"/>
    <w:rsid w:val="00DB5E65"/>
    <w:rsid w:val="00DB79BF"/>
    <w:rsid w:val="00DC624E"/>
    <w:rsid w:val="00DF36B0"/>
    <w:rsid w:val="00E0457A"/>
    <w:rsid w:val="00E07381"/>
    <w:rsid w:val="00E20CEC"/>
    <w:rsid w:val="00E2165D"/>
    <w:rsid w:val="00E26505"/>
    <w:rsid w:val="00E361A4"/>
    <w:rsid w:val="00E75F8F"/>
    <w:rsid w:val="00E80032"/>
    <w:rsid w:val="00E82193"/>
    <w:rsid w:val="00E90200"/>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uiPriority w:val="1"/>
    <w:qFormat/>
    <w:rsid w:val="00154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dakirkir9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ri.saj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de.sijaba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smanaufal20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0831D2D-F20B-44EF-847E-84143399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7288</Words>
  <Characters>41547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4</cp:revision>
  <cp:lastPrinted>2019-05-24T02:53:00Z</cp:lastPrinted>
  <dcterms:created xsi:type="dcterms:W3CDTF">2024-01-12T08:31:00Z</dcterms:created>
  <dcterms:modified xsi:type="dcterms:W3CDTF">2024-01-12T08:44:00Z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