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052ADE">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052ADE">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052AD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052ADE" w:rsidP="005A211F">
            <w:pPr>
              <w:spacing w:after="0" w:line="240" w:lineRule="auto"/>
              <w:jc w:val="center"/>
              <w:rPr>
                <w:rFonts w:ascii="Times New Roman" w:eastAsia="Calibri" w:hAnsi="Times New Roman"/>
                <w:b/>
                <w:bCs/>
                <w:sz w:val="28"/>
                <w:szCs w:val="28"/>
                <w:lang w:val="en-US"/>
              </w:rPr>
            </w:pPr>
            <w:r w:rsidRPr="00052ADE">
              <w:rPr>
                <w:rFonts w:ascii="Times New Roman" w:eastAsia="Calibri" w:hAnsi="Times New Roman"/>
                <w:b/>
                <w:bCs/>
                <w:sz w:val="28"/>
                <w:szCs w:val="28"/>
                <w:lang w:val="en-US"/>
              </w:rPr>
              <w:t>Professional Maritime Education Impact on Supply Chain Economic Optimization in Global Trade</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DE7113" w:rsidRPr="00052ADE" w:rsidRDefault="00DE7113" w:rsidP="00DE7113">
            <w:pPr>
              <w:autoSpaceDE w:val="0"/>
              <w:autoSpaceDN w:val="0"/>
              <w:adjustRightInd w:val="0"/>
              <w:spacing w:after="0" w:line="240" w:lineRule="auto"/>
              <w:jc w:val="center"/>
              <w:rPr>
                <w:rFonts w:ascii="Times New Roman" w:eastAsia="Calibri" w:hAnsi="Times New Roman"/>
                <w:i/>
                <w:iCs/>
                <w:lang w:val="en-US"/>
              </w:rPr>
            </w:pPr>
            <w:r w:rsidRPr="00052ADE">
              <w:rPr>
                <w:rFonts w:ascii="Times New Roman" w:eastAsia="Calibri" w:hAnsi="Times New Roman"/>
                <w:i/>
                <w:iCs/>
                <w:vertAlign w:val="superscript"/>
                <w:lang w:val="en-US"/>
              </w:rPr>
              <w:t>1*</w:t>
            </w:r>
            <w:r w:rsidR="00052ADE" w:rsidRPr="00052ADE">
              <w:rPr>
                <w:rFonts w:ascii="Times New Roman" w:eastAsia="Calibri" w:hAnsi="Times New Roman"/>
                <w:i/>
                <w:iCs/>
                <w:lang w:val="en-US"/>
              </w:rPr>
              <w:t>Larsen Barasa</w:t>
            </w:r>
            <w:r w:rsidRPr="00052ADE">
              <w:rPr>
                <w:rFonts w:ascii="Times New Roman" w:eastAsia="Calibri" w:hAnsi="Times New Roman"/>
                <w:i/>
                <w:iCs/>
                <w:lang w:val="en-US"/>
              </w:rPr>
              <w:t xml:space="preserve">, </w:t>
            </w:r>
            <w:r w:rsidRPr="00052ADE">
              <w:rPr>
                <w:rFonts w:ascii="Times New Roman" w:eastAsia="Calibri" w:hAnsi="Times New Roman"/>
                <w:i/>
                <w:iCs/>
                <w:vertAlign w:val="superscript"/>
                <w:lang w:val="en-US"/>
              </w:rPr>
              <w:t>1</w:t>
            </w:r>
            <w:r w:rsidR="00052ADE" w:rsidRPr="00052ADE">
              <w:rPr>
                <w:rFonts w:ascii="Times New Roman" w:eastAsia="Calibri" w:hAnsi="Times New Roman"/>
                <w:i/>
                <w:iCs/>
                <w:vertAlign w:val="superscript"/>
                <w:lang w:val="en-US"/>
              </w:rPr>
              <w:t xml:space="preserve"> </w:t>
            </w:r>
            <w:r w:rsidR="00052ADE" w:rsidRPr="00052ADE">
              <w:rPr>
                <w:rFonts w:ascii="Times New Roman" w:eastAsia="Calibri" w:hAnsi="Times New Roman"/>
                <w:i/>
                <w:iCs/>
                <w:lang w:val="en-US"/>
              </w:rPr>
              <w:t>Tri Cahyadi</w:t>
            </w:r>
            <w:r w:rsidRPr="00052ADE">
              <w:rPr>
                <w:rFonts w:ascii="Times New Roman" w:eastAsia="Calibri" w:hAnsi="Times New Roman"/>
                <w:i/>
                <w:iCs/>
                <w:lang w:val="en-US"/>
              </w:rPr>
              <w:t>,</w:t>
            </w:r>
            <w:r w:rsidR="00052ADE" w:rsidRPr="00052ADE">
              <w:rPr>
                <w:rFonts w:ascii="Times New Roman" w:eastAsia="Calibri" w:hAnsi="Times New Roman"/>
                <w:i/>
                <w:iCs/>
                <w:lang w:val="en-US"/>
              </w:rPr>
              <w:t xml:space="preserve"> </w:t>
            </w:r>
            <w:r w:rsidR="00052ADE" w:rsidRPr="00052ADE">
              <w:rPr>
                <w:rFonts w:ascii="Times New Roman" w:eastAsia="Calibri" w:hAnsi="Times New Roman"/>
                <w:i/>
                <w:iCs/>
                <w:vertAlign w:val="superscript"/>
                <w:lang w:val="en-US"/>
              </w:rPr>
              <w:t>1</w:t>
            </w:r>
            <w:r w:rsidR="00052ADE" w:rsidRPr="00052ADE">
              <w:rPr>
                <w:rFonts w:ascii="Times New Roman" w:eastAsia="Calibri" w:hAnsi="Times New Roman"/>
                <w:i/>
                <w:iCs/>
                <w:vertAlign w:val="superscript"/>
                <w:lang w:val="en-US"/>
              </w:rPr>
              <w:t xml:space="preserve"> </w:t>
            </w:r>
            <w:proofErr w:type="spellStart"/>
            <w:r w:rsidR="00052ADE" w:rsidRPr="00052ADE">
              <w:rPr>
                <w:rFonts w:ascii="Times New Roman" w:eastAsia="Calibri" w:hAnsi="Times New Roman"/>
                <w:i/>
                <w:iCs/>
                <w:lang w:val="en-US"/>
              </w:rPr>
              <w:t>Marihot</w:t>
            </w:r>
            <w:proofErr w:type="spellEnd"/>
            <w:r w:rsidR="00052ADE" w:rsidRPr="00052ADE">
              <w:rPr>
                <w:rFonts w:ascii="Times New Roman" w:eastAsia="Calibri" w:hAnsi="Times New Roman"/>
                <w:i/>
                <w:iCs/>
                <w:lang w:val="en-US"/>
              </w:rPr>
              <w:t xml:space="preserve"> Simanjuntak</w:t>
            </w:r>
          </w:p>
          <w:p w:rsidR="00052ADE" w:rsidRPr="00052ADE" w:rsidRDefault="00052ADE" w:rsidP="00DE7113">
            <w:pPr>
              <w:autoSpaceDE w:val="0"/>
              <w:autoSpaceDN w:val="0"/>
              <w:adjustRightInd w:val="0"/>
              <w:spacing w:after="0" w:line="240" w:lineRule="auto"/>
              <w:jc w:val="center"/>
              <w:rPr>
                <w:rFonts w:ascii="Times New Roman" w:eastAsia="Calibri" w:hAnsi="Times New Roman"/>
                <w:i/>
                <w:iCs/>
                <w:lang w:val="en-US"/>
              </w:rPr>
            </w:pPr>
          </w:p>
          <w:p w:rsidR="00DE7113" w:rsidRPr="00052ADE" w:rsidRDefault="00DE7113" w:rsidP="00DE7113">
            <w:pPr>
              <w:autoSpaceDE w:val="0"/>
              <w:autoSpaceDN w:val="0"/>
              <w:adjustRightInd w:val="0"/>
              <w:spacing w:after="0" w:line="240" w:lineRule="auto"/>
              <w:jc w:val="center"/>
              <w:rPr>
                <w:rFonts w:ascii="Times New Roman" w:eastAsia="Calibri" w:hAnsi="Times New Roman"/>
                <w:i/>
                <w:iCs/>
                <w:lang w:val="en-US"/>
              </w:rPr>
            </w:pPr>
            <w:r w:rsidRPr="00052ADE">
              <w:rPr>
                <w:rFonts w:ascii="Times New Roman" w:eastAsia="Calibri" w:hAnsi="Times New Roman"/>
                <w:i/>
                <w:iCs/>
                <w:vertAlign w:val="superscript"/>
                <w:lang w:val="en-US"/>
              </w:rPr>
              <w:t>1</w:t>
            </w:r>
            <w:r w:rsidR="00052ADE" w:rsidRPr="00052ADE">
              <w:rPr>
                <w:i/>
                <w:iCs/>
              </w:rPr>
              <w:t xml:space="preserve"> </w:t>
            </w:r>
            <w:r w:rsidR="00052ADE" w:rsidRPr="00052ADE">
              <w:rPr>
                <w:rFonts w:ascii="Times New Roman" w:eastAsia="Calibri" w:hAnsi="Times New Roman"/>
                <w:i/>
                <w:iCs/>
                <w:lang w:val="en-US"/>
              </w:rPr>
              <w:t xml:space="preserve">Maritime Institute, Sekolah Tinggi </w:t>
            </w:r>
            <w:proofErr w:type="spellStart"/>
            <w:r w:rsidR="00052ADE" w:rsidRPr="00052ADE">
              <w:rPr>
                <w:rFonts w:ascii="Times New Roman" w:eastAsia="Calibri" w:hAnsi="Times New Roman"/>
                <w:i/>
                <w:iCs/>
                <w:lang w:val="en-US"/>
              </w:rPr>
              <w:t>Ilmu</w:t>
            </w:r>
            <w:proofErr w:type="spellEnd"/>
            <w:r w:rsidR="00052ADE" w:rsidRPr="00052ADE">
              <w:rPr>
                <w:rFonts w:ascii="Times New Roman" w:eastAsia="Calibri" w:hAnsi="Times New Roman"/>
                <w:i/>
                <w:iCs/>
                <w:lang w:val="en-US"/>
              </w:rPr>
              <w:t xml:space="preserve"> Pelayaran, North Jakarta, Indonesia</w:t>
            </w:r>
          </w:p>
          <w:p w:rsidR="00DE7113" w:rsidRPr="00052ADE" w:rsidRDefault="00DE7113" w:rsidP="00DE7113">
            <w:pPr>
              <w:autoSpaceDE w:val="0"/>
              <w:autoSpaceDN w:val="0"/>
              <w:adjustRightInd w:val="0"/>
              <w:spacing w:after="0" w:line="240" w:lineRule="auto"/>
              <w:jc w:val="center"/>
              <w:rPr>
                <w:rFonts w:ascii="Times New Roman" w:eastAsia="Calibri" w:hAnsi="Times New Roman"/>
                <w:i/>
                <w:iCs/>
                <w:lang w:val="en-US"/>
              </w:rPr>
            </w:pPr>
          </w:p>
          <w:p w:rsidR="0075247C" w:rsidRPr="002D518D" w:rsidRDefault="00DE7113" w:rsidP="00B03883">
            <w:pPr>
              <w:autoSpaceDE w:val="0"/>
              <w:autoSpaceDN w:val="0"/>
              <w:adjustRightInd w:val="0"/>
              <w:spacing w:after="0" w:line="240" w:lineRule="auto"/>
              <w:jc w:val="center"/>
              <w:rPr>
                <w:rFonts w:ascii="Times New Roman" w:hAnsi="Times New Roman"/>
                <w:bCs/>
                <w:i/>
                <w:iCs/>
                <w:color w:val="000000"/>
              </w:rPr>
            </w:pPr>
            <w:r w:rsidRPr="00052ADE">
              <w:rPr>
                <w:rFonts w:ascii="Times New Roman" w:eastAsia="Calibri" w:hAnsi="Times New Roman"/>
                <w:bCs/>
                <w:i/>
                <w:iCs/>
                <w:lang w:val="en-US"/>
              </w:rPr>
              <w:t xml:space="preserve">*email: </w:t>
            </w:r>
            <w:hyperlink r:id="rId9" w:history="1">
              <w:r w:rsidR="00052ADE" w:rsidRPr="00052ADE">
                <w:rPr>
                  <w:rStyle w:val="Hyperlink"/>
                  <w:rFonts w:ascii="Times New Roman" w:eastAsia="Calibri" w:hAnsi="Times New Roman"/>
                  <w:i/>
                  <w:iCs/>
                </w:rPr>
                <w:t>larsenbarasa@gmail.com</w:t>
              </w:r>
            </w:hyperlink>
            <w:r w:rsidR="00052ADE" w:rsidRPr="00052ADE">
              <w:rPr>
                <w:rFonts w:ascii="Times New Roman" w:eastAsia="Calibri" w:hAnsi="Times New Roman"/>
                <w:i/>
                <w:iCs/>
              </w:rPr>
              <w:t xml:space="preserve"> </w:t>
            </w:r>
          </w:p>
        </w:tc>
      </w:tr>
      <w:tr w:rsidR="0075247C" w:rsidRPr="002D518D" w:rsidTr="00052AD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052ADE">
      <w:pPr>
        <w:jc w:val="both"/>
        <w:rPr>
          <w:rFonts w:ascii="Times New Roman" w:eastAsia="Times New Roman" w:hAnsi="Times New Roman"/>
          <w:i/>
          <w:iCs/>
          <w:lang w:val="zh-CN" w:eastAsia="zh-CN"/>
        </w:rPr>
      </w:pPr>
      <w:r w:rsidRPr="00052ADE">
        <w:rPr>
          <w:rFonts w:ascii="Times New Roman" w:eastAsia="Times New Roman" w:hAnsi="Times New Roman"/>
          <w:i/>
          <w:iCs/>
          <w:lang w:eastAsia="zh-CN"/>
        </w:rPr>
        <w:t>This research examines how comprehensive maritime education prepares professionals for supply chain economic management and global trade impact assessment. Through qualitative analysis of ten Nautical Deck Engineering graduates with ten-year vocational maritime education and current leadership positions in shipping industries, the study investigates educational preparation effectiveness for economic competency development. The research employs phenomenological analysis, thematic examination, and narrative synthesis to understand professional competency evolution from educational foundation through career advancement. Results demonstrate exceptional performance across measured competency dimensions, with Supply Chain Economic Performance Index scores of 4.7 and Global Trade Economic Integration Coefficient scores of 4.6 out of 5.0. Participants generated $69.5 million annual economic value through supply chain optimization, cost reduction, and strategic positioning improvements. Thematic analysis reveals four primary competency development categories: educational foundation excellence, professional competency evolution, supply chain economic optimization, and global trade impact understanding. The findings indicate that comprehensive maritime education effectively develops analytical capabilities, strategic thinking competencies, and economic understanding essential for professional excellence in supply chain management contexts, providing substantial return on investment in maritime education and professional development.</w:t>
      </w:r>
    </w:p>
    <w:tbl>
      <w:tblPr>
        <w:tblW w:w="9984"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984"/>
      </w:tblGrid>
      <w:tr w:rsidR="0075247C" w:rsidRPr="002D518D" w:rsidTr="00DE7113">
        <w:trPr>
          <w:trHeight w:val="484"/>
        </w:trPr>
        <w:tc>
          <w:tcPr>
            <w:tcW w:w="9984"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rsidTr="00DE7113">
        <w:trPr>
          <w:trHeight w:val="782"/>
        </w:trPr>
        <w:tc>
          <w:tcPr>
            <w:tcW w:w="9984" w:type="dxa"/>
            <w:tcBorders>
              <w:top w:val="nil"/>
              <w:bottom w:val="nil"/>
            </w:tcBorders>
          </w:tcPr>
          <w:p w:rsidR="0075247C" w:rsidRPr="002D518D" w:rsidRDefault="0075247C"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052ADE" w:rsidRPr="00052ADE">
              <w:rPr>
                <w:rFonts w:ascii="Times New Roman" w:eastAsia="Calibri" w:hAnsi="Times New Roman"/>
                <w:bCs/>
                <w:i/>
              </w:rPr>
              <w:t>supply chain economic impact, maritime professional development, global trade economics, educational competency development, economic performance optimization</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D34A3E" w:rsidRDefault="00D34A3E" w:rsidP="00052ADE">
      <w:pPr>
        <w:pStyle w:val="Heading1"/>
        <w:numPr>
          <w:ilvl w:val="0"/>
          <w:numId w:val="0"/>
        </w:numPr>
        <w:ind w:left="360"/>
        <w:rPr>
          <w:lang w:val="en-US"/>
        </w:rPr>
        <w:sectPr w:rsidR="00D34A3E" w:rsidSect="00DE7113">
          <w:footerReference w:type="default" r:id="rId10"/>
          <w:type w:val="continuous"/>
          <w:pgSz w:w="11906" w:h="16838" w:code="9"/>
          <w:pgMar w:top="1080" w:right="907" w:bottom="1440" w:left="907" w:header="720" w:footer="720" w:gutter="0"/>
          <w:pgNumType w:start="40"/>
          <w:cols w:space="360"/>
          <w:docGrid w:linePitch="360"/>
        </w:sectPr>
      </w:pPr>
    </w:p>
    <w:p w:rsidR="00052ADE" w:rsidRPr="00052ADE" w:rsidRDefault="00052ADE" w:rsidP="00052ADE">
      <w:pPr>
        <w:pStyle w:val="Heading1"/>
        <w:numPr>
          <w:ilvl w:val="0"/>
          <w:numId w:val="8"/>
        </w:numPr>
        <w:rPr>
          <w:lang w:val="en-US"/>
        </w:rPr>
      </w:pPr>
      <w:r w:rsidRPr="00052ADE">
        <w:rPr>
          <w:lang w:val="en-US"/>
        </w:rPr>
        <w:t>Introduction</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global maritime industry stands at a critical juncture where the intersection of professional education, supply chain management, and economic impact fundamentally shapes the trajectory of international trade and regional development. As containerized freight continues to dominate global commerce, representing over 80% of international trade by volume, the economic implications of maritime </w:t>
      </w:r>
      <w:r w:rsidRPr="00052ADE">
        <w:rPr>
          <w:rFonts w:ascii="Times New Roman" w:eastAsia="Times New Roman" w:hAnsi="Times New Roman"/>
          <w:iCs/>
          <w:lang w:val="en-US" w:eastAsia="zh-CN"/>
        </w:rPr>
        <w:t xml:space="preserve">supply chain efficiency have never been more pronounced [1]. The contemporary maritime landscape demands professionals who possess not only technical competencies but also sophisticated understanding of supply chain economics, cost optimization strategies, and the multifaceted economic impacts of global shipping operations. This convergence of educational preparation and professional economic competency represents a pivotal area of investigation, particularly as </w:t>
      </w:r>
      <w:r w:rsidRPr="00052ADE">
        <w:rPr>
          <w:rFonts w:ascii="Times New Roman" w:eastAsia="Times New Roman" w:hAnsi="Times New Roman"/>
          <w:iCs/>
          <w:lang w:val="en-US" w:eastAsia="zh-CN"/>
        </w:rPr>
        <w:lastRenderedPageBreak/>
        <w:t>maritime institutions worldwide grapple with curriculum modernization to meet industry demands for economically astute supply chain managers.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evolution of maritime education has undergone significant transformation in recent decades, driven by technological advancement, regulatory changes, and the increasing complexity of global supply chains. The Standards of Training, Certification and Watchkeeping for Seafarers (STCW) convention has provided a foundational framework for maritime competency development, yet questions remain regarding its adequacy in addressing contemporary supply chain management challenges and economic decision-making requirements [2]. Traditional maritime education programs, particularly in Nautical Deck Engineering, have historically emphasized technical navigation skills, safety protocols, and vessel operations. However, the modern maritime professional increasingly functions as a strategic decision-maker within complex supply chain networks, requiring sophisticated understanding of economic principles, cost-benefit analysis, and the global trade implications of operational choices. This shift from purely technical to economically strategic roles necessitates examination of how educational foundations translate into professional competency in supply chain economic management.</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maritime industry's integration with advanced technologies, including Industry 4.0 applications, Internet of Things (IoT) implementations, and artificial intelligence systems, has fundamentally altered the economic landscape of supply chain management [3]. These technological innovations have created new opportunities for cost optimization, efficiency enhancement, and economic value creation, while simultaneously demanding higher levels of professional competency in economic analysis and strategic decision-making. Maritime professionals now operate within digitalized supply chain environments where real-time economic data analysis, predictive modeling, and dynamic cost optimization directly impact organizational performance and regional economic development. This technological transformation has amplified the importance of educational preparation that effectively bridges theoretical economic understanding with practical application in complex supply chain contexts.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economic significance of maritime supply chains extends far beyond individual organizational performance, influencing regional economic development, international trade flows, and global economic stability. Maritime supply chain disruptions, as evidenced during recent global crises, demonstrate the cascading economic effects of inefficient or compromised shipping operations [4]. The economic multiplier effects of maritime trade efficiency ripple </w:t>
      </w:r>
      <w:r w:rsidRPr="00052ADE">
        <w:rPr>
          <w:rFonts w:ascii="Times New Roman" w:eastAsia="Times New Roman" w:hAnsi="Times New Roman"/>
          <w:iCs/>
          <w:lang w:val="en-US" w:eastAsia="zh-CN"/>
        </w:rPr>
        <w:t>through entire economic systems, affecting employment, regional development, and international competitiveness. Professional maritime educators and industry leaders increasingly recognize that supply chain economic competency represents a critical factor in national and regional economic resilience. This recognition has intensified focus on educational programs that develop not only technical proficiency but also economic analytical capabilities essential for effective supply chain management in global contexts.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Contemporary maritime education faces significant challenges in curriculum development, particularly regarding the integration of supply chain economics and global trade impact analysis. Traditional educational approaches often compartmentalize technical training and economic education, resulting in graduates who possess strong operational skills but limited capacity for economic analysis and strategic supply chain optimization [5]. The rapid pace of technological change, evolving regulatory environments, and increasing complexity of global trade relationships demand educational innovation that prepares maritime professionals for economically strategic roles. Industry feedback consistently indicates gaps between educational preparation and professional requirements, particularly in areas of supply chain cost analysis, economic risk assessment, and global trade impact evaluation. These educational challenges underscore the urgency of examining how current maritime education programs prepare graduates for supply chain economic management responsibilities.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research problem emerges from the critical need to understand how maritime educational foundations, specifically in Nautical Deck Engineering programs, translate into professional competency in supply chain economic management and global trade impact assessment. While existing literature addresses maritime education effectiveness and supply chain management separately, limited research examines the intersection of educational preparation and professional economic competency development in maritime supply chain contexts. This gap becomes particularly significant given the increasing economic responsibilities of maritime professionals and the growing recognition of supply chain efficiency as a driver of regional and global economic development. The central research question therefore focuses on understanding how ten-year maritime educational experiences prepare professionals for supply chain economic optimization and how this preparation manifests in measurable economic outcomes within global shipping operations.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Specifically, this research investigates how graduates of Nautical Deck Engineering programs, with ten years of vocational maritime education including practical studies and shipping industry experience, </w:t>
      </w:r>
      <w:r w:rsidRPr="00052ADE">
        <w:rPr>
          <w:rFonts w:ascii="Times New Roman" w:eastAsia="Times New Roman" w:hAnsi="Times New Roman"/>
          <w:iCs/>
          <w:lang w:val="en-US" w:eastAsia="zh-CN"/>
        </w:rPr>
        <w:lastRenderedPageBreak/>
        <w:t>apply their educational foundation to create economic value through supply chain optimization. The research examines the development of economic competencies from educational preparation through professional application, identifying specific educational components that contribute to effective supply chain economic management. Additionally, the study explores how professional maritime education influences understanding of global trade economic impacts and the development of strategies for economic value creation within complex supply chain networks.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rationale for this investigation stems from multiple converging factors that underscore its significance for maritime education, industry practice, and economic development. First, the maritime industry's increasing economic complexity demands professionals capable of sophisticated supply chain economic analysis, yet current understanding of educational preparation effectiveness remains limited. Second, global supply chain disruptions have highlighted the economic vulnerabilities associated with inefficient maritime operations, emphasizing the need for economically competent maritime professionals. Third, technological advancement in maritime operations requires integration of economic analysis capabilities with traditional maritime skills, necessitating educational innovation informed by professional experience. Fourth, regional and national economic development increasingly depends on efficient maritime supply chain operations, making the preparation of economically competent maritime professionals a matter of strategic importance.</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motivation for this research extends beyond academic inquiry to address practical challenges facing maritime education institutions, industry organizations, and economic development agencies. Maritime education institutions require evidence-based understanding of how their programs prepare graduates for economic responsibilities in supply chain management. Industry organizations need insights into the economic competency development patterns of maritime professionals to inform recruitment, training, and strategic planning decisions. Economic development agencies seek understanding of how maritime education contributes to regional economic competitiveness through supply chain efficiency enhancement. This research addresses these stakeholder needs by providing comprehensive analysis of the educational-professional-economic competency development continuum.</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methodological approach employed in this investigation utilizes qualitative analysis to capture the rich, nuanced experiences of maritime professionals as they navigate the transition from educational preparation to professional economic responsibility. Qualitative methodology is particularly appropriate for </w:t>
      </w:r>
      <w:r w:rsidRPr="00052ADE">
        <w:rPr>
          <w:rFonts w:ascii="Times New Roman" w:eastAsia="Times New Roman" w:hAnsi="Times New Roman"/>
          <w:iCs/>
          <w:lang w:val="en-US" w:eastAsia="zh-CN"/>
        </w:rPr>
        <w:t>this investigation given the complex, context-dependent nature of professional competency development and the need to understand how educational experiences translate into economic decision-making capabilities [6]. The research employs phenomenological analysis to examine lived experiences of maritime professionals, thematic analysis to identify patterns in competency development, and narrative analysis to understand the evolution of economic understanding from education through professional practice.</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study focuses on ten maritime professionals who graduated from Nautical Deck Engineering programs and completed ten years of vocational maritime education, including practical studies and shipping industry experience. These professionals currently hold management, officer, and leadership positions within the shipping industry, providing them with direct experience in supply chain economic decision-making and global trade impact assessment. The selection of this specific population ensures access to professionals with both comprehensive educational foundation and substantial practical experience in supply chain economic management. Their professional roles provide them with unique insights into the translation of educational preparation into economic competency and the practical application of maritime education in supply chain optimization contexts.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research objectives encompass multiple dimensions of educational preparation, professional development, and economic competency application. The primary objective involves examining how maritime educational experiences prepare professionals for supply chain economic management responsibilities and identifying specific educational components that contribute to economic competency development. Secondary objectives include analyzing the evolution of economic understanding from educational preparation through professional practice, identifying patterns in supply chain economic decision-making among maritime professionals, and exploring the relationship between educational depth and professional economic performance. Additional objectives focus on understanding how maritime professionals perceive the economic impact of their supply chain decisions on regional and global trade, and identifying educational enhancement opportunities to improve supply chain economic competency development.</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conceptual framework underlying this investigation integrates several theoretical domains including professional competency development theory, supply chain management economics, and educational effectiveness analysis. The framework conceptualizes maritime education as the foundational variable that influences professional competency development, which in turn affects supply chain economic performance and global trade impact. Educational </w:t>
      </w:r>
      <w:r w:rsidRPr="00052ADE">
        <w:rPr>
          <w:rFonts w:ascii="Times New Roman" w:eastAsia="Times New Roman" w:hAnsi="Times New Roman"/>
          <w:iCs/>
          <w:lang w:val="en-US" w:eastAsia="zh-CN"/>
        </w:rPr>
        <w:lastRenderedPageBreak/>
        <w:t>variables include curriculum content, practical training intensity, theoretical foundation depth, and industry integration effectiveness. Professional competency variables encompass economic analytical capabilities, strategic decision-making skills, cost optimization competencies, and global trade understanding. Economic outcome variables include supply chain efficiency measures, cost reduction achievements, revenue enhancement contributions, and regional economic impact assessments.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framework recognizes the dynamic, iterative nature of competency development, acknowledging that professional experience continues to shape economic understanding beyond formal educational completion. This recognition leads to examination of continuous learning patterns, professional development strategies, and the evolution of economic decision-making capabilities throughout maritime careers. The conceptual framework also incorporates external factors including technological change, regulatory evolution, and market dynamics that influence the relationship between educational preparation and professional economic competency.</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Furthermore, the framework addresses the multi-level impact of supply chain economic competency, recognizing effects at organizational, regional, national, and global levels. This multi-level perspective acknowledges that individual professional competency aggregates to influence broader economic outcomes, creating feedback loops that affect educational requirements and professional development needs. The framework therefore provides comprehensive theoretical foundation for examining the complex relationships between maritime education, professional development, and economic impact in supply chain management contexts.</w:t>
      </w:r>
    </w:p>
    <w:p w:rsidR="00052ADE" w:rsidRDefault="00052ADE" w:rsidP="00052ADE">
      <w:pPr>
        <w:autoSpaceDE w:val="0"/>
        <w:autoSpaceDN w:val="0"/>
        <w:adjustRightInd w:val="0"/>
        <w:spacing w:after="0" w:line="240" w:lineRule="auto"/>
        <w:jc w:val="both"/>
        <w:rPr>
          <w:rFonts w:ascii="Times New Roman" w:eastAsia="Times New Roman" w:hAnsi="Times New Roman"/>
          <w:b/>
          <w:bCs/>
          <w:iCs/>
          <w:lang w:val="en-US" w:eastAsia="zh-CN"/>
        </w:rPr>
      </w:pPr>
    </w:p>
    <w:p w:rsidR="00052ADE" w:rsidRPr="00052ADE" w:rsidRDefault="00052ADE" w:rsidP="00052ADE">
      <w:pPr>
        <w:pStyle w:val="Heading1"/>
        <w:numPr>
          <w:ilvl w:val="0"/>
          <w:numId w:val="8"/>
        </w:numPr>
        <w:rPr>
          <w:lang w:val="en-US"/>
        </w:rPr>
      </w:pPr>
      <w:r w:rsidRPr="00052ADE">
        <w:rPr>
          <w:lang w:val="en-US"/>
        </w:rPr>
        <w:t>Research Method</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methodological approach employed in this investigation utilizes comprehensive qualitative analysis to examine the complex relationship between maritime educational preparation and professional competency in supply chain economic management. The research design incorporates phenomenological inquiry to understand lived experiences of maritime professionals, thematic analysis to identify patterns in competency development, and narrative analysis to capture the evolution of economic understanding throughout professional careers [7]. This multi-faceted qualitative approach enables deep exploration of how educational foundations translate into professional economic competency and practical application in global supply chain contexts.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population for this study consists of maritime professionals who graduated from Nautical Deck Engineering programs and completed ten years of </w:t>
      </w:r>
      <w:r w:rsidRPr="00052ADE">
        <w:rPr>
          <w:rFonts w:ascii="Times New Roman" w:eastAsia="Times New Roman" w:hAnsi="Times New Roman"/>
          <w:iCs/>
          <w:lang w:val="en-US" w:eastAsia="zh-CN"/>
        </w:rPr>
        <w:t>vocational maritime education, including practical studies and shipping industry experience. These professionals currently hold management, officer, and leadership positions within the shipping industry, providing them with direct responsibility for supply chain economic decision-making and strategic planning. The specific targeting of this population stems from their unique combination of comprehensive educational foundation and substantial professional experience in supply chain management, making them ideally positioned to provide insights into the educational-professional competency development continuum. The ten-year educational requirement ensures participants possess thorough grounding in maritime principles, while their current professional roles guarantee relevant experience in supply chain economic management and global trade operations.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sample consists of ten maritime professionals selected through purposive sampling to ensure representation across different shipping sectors, geographic regions, and organizational contexts. This sample size aligns with phenomenological research recommendations for achieving data saturation while maintaining analytical depth [8]. The selection criteria require participants to have completed formal Nautical Deck Engineering education, accumulated ten years of vocational maritime training including practical studies, and currently hold positions involving supply chain economic decision-making responsibilities. Additional selection considerations include diversity in organizational settings, shipping sectors, and geographic operations to capture varied perspectives on educational preparation and professional application. The urgency of accessing these professionals' insights stems from the rapid evolution of maritime supply chain management and the need to understand how educational preparation addresses contemporary economic challenges in global shipping operations.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research instrument development incorporates multiple data collection methods designed to capture comprehensive insights into educational preparation, professional development, and economic competency application. The primary instrument consists of semi-structured interview protocols designed to explore participants' educational experiences, professional development trajectories, and current supply chain economic management practices. The interview framework addresses dependent variables including supply chain economic performance, cost optimization effectiveness, and global trade impact assessment capabilities. Independent variables encompass educational curriculum content, practical training intensity, theoretical foundation depth, and industry integration experiences. Supporting instruments include professional experience mapping exercises, critical incident documentation protocols, and reflective </w:t>
      </w:r>
      <w:r w:rsidRPr="00052ADE">
        <w:rPr>
          <w:rFonts w:ascii="Times New Roman" w:eastAsia="Times New Roman" w:hAnsi="Times New Roman"/>
          <w:iCs/>
          <w:lang w:val="en-US" w:eastAsia="zh-CN"/>
        </w:rPr>
        <w:lastRenderedPageBreak/>
        <w:t>analysis frameworks that enable participants to systematically examine their competency development journey.</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research indicators include the Supply Chain Economic Performance Index measuring participants' effectiveness in cost reduction, revenue enhancement, and economic risk mitigation within their professional contexts. The Global Trade Economic Integration Coefficient assesses participants' understanding of international trade dynamics, multi-modal transport economics, and regional economic development impacts. Additional indicators examine educational foundation strength, professional competency evolution, and continuous learning engagement patterns. These indicators provide systematic framework for analyzing the relationship between educational preparation and professional economic competency while maintaining focus on supply chain management effectiveness and global trade impact understanding.</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Data collection procedures involve multiple phases designed to capture comprehensive insights while ensuring data quality and analytical rigor. Initial data collection includes detailed demographic and professional background documentation to establish context for participants' educational and professional experiences. Primary data collection consists of three rounds of semi-structured interviews conducted over a two-month period, allowing for reflection and elaboration between sessions. The first interview round focuses on educational experiences and early professional development, examining how maritime education prepared participants for professional responsibilities. The second round explores current professional practices, supply chain economic decision-making processes, and the application of educational foundation in professional contexts. The third round addresses global trade impact perspectives, future challenges, and recommendations for educational enhancement based on professional experience.</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Supporting data collection includes professional experience mapping exercises where participants create visual representations of their competency development trajectory from education through current professional practice. Critical incident documentation captures specific examples of supply chain economic decision-making where educational preparation directly influenced professional outcomes. Reflective analysis protocols enable participants to systematically examine their learning and development patterns, identifying key educational components that contributed to professional effectiveness. These multiple data collection methods ensure comprehensive coverage of the research focus while providing triangulation opportunities to enhance data validity and reliability.</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data analysis approach employs thematic analysis as the primary analytical framework, </w:t>
      </w:r>
      <w:r w:rsidRPr="00052ADE">
        <w:rPr>
          <w:rFonts w:ascii="Times New Roman" w:eastAsia="Times New Roman" w:hAnsi="Times New Roman"/>
          <w:iCs/>
          <w:lang w:val="en-US" w:eastAsia="zh-CN"/>
        </w:rPr>
        <w:t>systematically categorizing data into themes related to competency development, supply chain economic management, and global trade impact understanding. The thematic analysis process begins with data familiarization through repeated review of interview transcripts, professional experience maps, and critical incident documentation. Initial coding identifies preliminary themes related to educational effectiveness, professional development patterns, and economic competency application. Focused coding refines these themes into comprehensive categories that capture the essential elements of participants' experiences and insights. Advanced thematic analysis involves pattern identification across participants, examination of theme relationships, and development of overarching thematic framework that explains the educational-professional competency development process.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Cross-group comparisons constitute a secondary analytical approach that examines insights among different participant subgroups based on shipping sector, organizational context, and geographic operations. This comparative analysis identifies commonalities in educational preparation effectiveness while highlighting distinctions based on professional context and sector requirements. The comparison process involves systematic examination of themes across participant groups, identification of sector-specific patterns, and analysis of contextual factors that influence competency development and application. Cross-group analysis provides nuanced understanding of how educational preparation effectiveness varies across different professional contexts while identifying universal elements of effective maritime education for supply chain economic management.</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Narrative synthesis represents the culminating analytical approach that develops cohesive narrative explaining the research findings and their implications for maritime education and professional development. The narrative synthesis process integrates thematic analysis results with cross-group comparison insights to create comprehensive understanding of how maritime education prepares professionals for supply chain economic responsibilities. This synthesis examines the temporal development of economic competency from educational foundation through professional application, identifying critical transition points and continuous learning requirements. The narrative development process ensures coherence between analytical findings and practical implications while maintaining focus on supply chain economic management effectiveness and global trade impact understanding. The synthesis process culminates in comprehensive explanation of the educational-professional-economic competency relationship that addresses the research questions while providing actionable insights for stakeholders.</w:t>
      </w:r>
    </w:p>
    <w:p w:rsidR="00052ADE" w:rsidRDefault="00052ADE" w:rsidP="00052ADE">
      <w:pPr>
        <w:autoSpaceDE w:val="0"/>
        <w:autoSpaceDN w:val="0"/>
        <w:adjustRightInd w:val="0"/>
        <w:spacing w:after="0" w:line="240" w:lineRule="auto"/>
        <w:jc w:val="both"/>
        <w:rPr>
          <w:rFonts w:ascii="Times New Roman" w:eastAsia="Times New Roman" w:hAnsi="Times New Roman"/>
          <w:b/>
          <w:bCs/>
          <w:iCs/>
          <w:lang w:val="en-US" w:eastAsia="zh-CN"/>
        </w:rPr>
      </w:pPr>
    </w:p>
    <w:p w:rsidR="00052ADE" w:rsidRPr="00052ADE" w:rsidRDefault="00052ADE" w:rsidP="00052ADE">
      <w:pPr>
        <w:pStyle w:val="Heading1"/>
        <w:numPr>
          <w:ilvl w:val="0"/>
          <w:numId w:val="8"/>
        </w:numPr>
        <w:rPr>
          <w:lang w:val="en-US"/>
        </w:rPr>
      </w:pPr>
      <w:r w:rsidRPr="00052ADE">
        <w:rPr>
          <w:lang w:val="en-US"/>
        </w:rPr>
        <w:t>Results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comprehensive analysis of data collected from ten maritime professionals reveals highly effective educational preparation for supply chain economic management, with overall competency scores demonstrating exceptional performance across all measured dimensions. The results indicate that maritime educational foundations, particularly in Nautical Deck Engineering programs, provide robust preparation for professional supply chain economic responsibilities, with participants demonstrating sophisticated understanding of global trade implications and advanced competencies in economic optimization strategies.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Supply Chain Economic Performance Index (SCEPI) analysis reveals outstanding professional competency across all participants, with an aggregate score of 4.7 out of 5.0, indicating exceptional effectiveness in supply chain economic management. Individual participant scores range from 4.4 to 4.9, demonstrating consistently high performance in cost optimization, revenue enhancement, and economic risk mitigation strategies. The detailed breakdown shows that 90% of participants achieved scores above 4.5, while 60% scored above 4.7, indicating superior competency in supply chain economic decision-making and strategic planning.</w:t>
      </w: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1: Supply Chain Economic Performance Index (SCEPI) Results</w:t>
      </w:r>
    </w:p>
    <w:tbl>
      <w:tblPr>
        <w:tblStyle w:val="TableGrid"/>
        <w:tblW w:w="0" w:type="auto"/>
        <w:tblLook w:val="04A0" w:firstRow="1" w:lastRow="0" w:firstColumn="1" w:lastColumn="0" w:noHBand="0" w:noVBand="1"/>
      </w:tblPr>
      <w:tblGrid>
        <w:gridCol w:w="1406"/>
        <w:gridCol w:w="1708"/>
        <w:gridCol w:w="2033"/>
        <w:gridCol w:w="1474"/>
        <w:gridCol w:w="1649"/>
        <w:gridCol w:w="1812"/>
      </w:tblGrid>
      <w:tr w:rsidR="00052ADE" w:rsidRPr="00052ADE" w:rsidTr="00052ADE">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Participant ID</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Cost Optimization</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Revenue Enhancement</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Risk Mitigation</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Strategic Planning</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Overall SCEPI Score</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P001</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P002</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4.48</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4.88</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Average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4.72</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4.70</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Global Trade Economic Integration Coefficient (GTEIC) demonstrates exceptional understanding of international trade dynamics and economic integration effectiveness, with an overall score of 4.6 out of 5.0. Participants exhibited sophisticated comprehension of trade flow optimization, </w:t>
      </w:r>
      <w:r w:rsidRPr="00052ADE">
        <w:rPr>
          <w:rFonts w:ascii="Times New Roman" w:eastAsia="Times New Roman" w:hAnsi="Times New Roman"/>
          <w:iCs/>
          <w:lang w:val="en-US" w:eastAsia="zh-CN"/>
        </w:rPr>
        <w:t>multi-modal transport economics, and regional economic development impacts. The analysis reveals that 80% of participants scored above 4.5 in global trade understanding, while 50% achieved scores exceeding 4.7, indicating advanced competency in international trade economic analysis and strategic decision-making.</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2: Global Trade Economic Integration Coefficient (GTEIC) Results</w:t>
      </w:r>
    </w:p>
    <w:tbl>
      <w:tblPr>
        <w:tblStyle w:val="TableGrid"/>
        <w:tblW w:w="0" w:type="auto"/>
        <w:tblLook w:val="04A0" w:firstRow="1" w:lastRow="0" w:firstColumn="1" w:lastColumn="0" w:noHBand="0" w:noVBand="1"/>
      </w:tblPr>
      <w:tblGrid>
        <w:gridCol w:w="1355"/>
        <w:gridCol w:w="2011"/>
        <w:gridCol w:w="1852"/>
        <w:gridCol w:w="1390"/>
        <w:gridCol w:w="1839"/>
        <w:gridCol w:w="1635"/>
      </w:tblGrid>
      <w:tr w:rsidR="00052ADE" w:rsidRPr="00052ADE" w:rsidTr="00052ADE">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Participant ID</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Trade Flow Optimization</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Multi-modal Economics</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Regional Impact</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International Strategy</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Overall GTEIC Score</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P001</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P002</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4.2</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4.30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4.40</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P009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4.83</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P010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Average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4.61</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4.60</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thematic analysis reveals four primary competency development themes that emerged consistently across all participants. The Educational Foundation Excellence theme demonstrates that participants' Nautical Deck Engineering education </w:t>
      </w:r>
      <w:r w:rsidRPr="00052ADE">
        <w:rPr>
          <w:rFonts w:ascii="Times New Roman" w:eastAsia="Times New Roman" w:hAnsi="Times New Roman"/>
          <w:iCs/>
          <w:lang w:val="en-US" w:eastAsia="zh-CN"/>
        </w:rPr>
        <w:t xml:space="preserve">provided comprehensive preparation for professional economic responsibilities, with specific emphasis on analytical thinking, strategic planning, and systematic decision-making processes. Participants consistently identified their educational foundation as crucial for </w:t>
      </w:r>
      <w:r w:rsidRPr="00052ADE">
        <w:rPr>
          <w:rFonts w:ascii="Times New Roman" w:eastAsia="Times New Roman" w:hAnsi="Times New Roman"/>
          <w:iCs/>
          <w:lang w:val="en-US" w:eastAsia="zh-CN"/>
        </w:rPr>
        <w:lastRenderedPageBreak/>
        <w:t>developing economic analytical capabilities and understanding complex supply chain relationships.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3: Thematic Analysis Results - Educational Foundation Excellence</w:t>
      </w:r>
    </w:p>
    <w:tbl>
      <w:tblPr>
        <w:tblStyle w:val="TableGrid"/>
        <w:tblW w:w="0" w:type="auto"/>
        <w:jc w:val="center"/>
        <w:tblLook w:val="04A0" w:firstRow="1" w:lastRow="0" w:firstColumn="1" w:lastColumn="0" w:noHBand="0" w:noVBand="1"/>
      </w:tblPr>
      <w:tblGrid>
        <w:gridCol w:w="2960"/>
        <w:gridCol w:w="1127"/>
        <w:gridCol w:w="2044"/>
        <w:gridCol w:w="1488"/>
      </w:tblGrid>
      <w:tr w:rsidR="00052ADE" w:rsidRPr="00052ADE" w:rsidTr="00052ADE">
        <w:trPr>
          <w:jc w:val="center"/>
        </w:trPr>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Sub-theme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Frequency</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Participant Coverage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Strength Score</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Analytical Thinking Development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10/10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Strategic Planning Competency</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Systems Thinking Application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Economic Principles Integration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Problem-solving Methodology</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100%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10/10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Professional Competency Evolution theme illustrates remarkable development trajectories from educational completion to current professional excellence. Participants demonstrated sophisticated understanding of how their educational foundation </w:t>
      </w:r>
      <w:r w:rsidRPr="00052ADE">
        <w:rPr>
          <w:rFonts w:ascii="Times New Roman" w:eastAsia="Times New Roman" w:hAnsi="Times New Roman"/>
          <w:iCs/>
          <w:lang w:val="en-US" w:eastAsia="zh-CN"/>
        </w:rPr>
        <w:t>evolved through practical application, continuous learning, and professional experience accumulation. The analysis reveals consistent patterns of competency enhancement through targeted professional development and strategic learning engagement.</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4: Professional Competency Evolution Analysis</w:t>
      </w:r>
    </w:p>
    <w:tbl>
      <w:tblPr>
        <w:tblStyle w:val="TableGrid"/>
        <w:tblW w:w="0" w:type="auto"/>
        <w:tblLook w:val="04A0" w:firstRow="1" w:lastRow="0" w:firstColumn="1" w:lastColumn="0" w:noHBand="0" w:noVBand="1"/>
      </w:tblPr>
      <w:tblGrid>
        <w:gridCol w:w="2388"/>
        <w:gridCol w:w="2571"/>
        <w:gridCol w:w="2888"/>
        <w:gridCol w:w="2144"/>
      </w:tblGrid>
      <w:tr w:rsidR="00052ADE" w:rsidRPr="00052ADE" w:rsidTr="00052ADE">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Development Stage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Average Competency Score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Key Learning Areas</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Development Intensity</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Early Career (Years 1-3)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3.8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Basic application skills</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High</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Mid-Career (Years 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4.3</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Strategic thinking development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Moderate</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Senior Career (Years 8-10)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Leadership and innovation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Continuous</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Current Professional Level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Mentoring and strategic direction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Advanced</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Supply Chain Economic Optimization theme reveals exceptional competency in cost management, efficiency enhancement, and value creation strategies. Participants consistently demonstrated advanced capabilities in economic analysis, strategic decision-making, and performance optimization within complex </w:t>
      </w:r>
      <w:r w:rsidRPr="00052ADE">
        <w:rPr>
          <w:rFonts w:ascii="Times New Roman" w:eastAsia="Times New Roman" w:hAnsi="Times New Roman"/>
          <w:iCs/>
          <w:lang w:val="en-US" w:eastAsia="zh-CN"/>
        </w:rPr>
        <w:t>supply chain networks. The analysis shows that participants' educational preparation effectively equipped them for sophisticated economic responsibilities in global shipping contexts.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5: Supply Chain Economic Optimization Competencies</w:t>
      </w:r>
    </w:p>
    <w:tbl>
      <w:tblPr>
        <w:tblStyle w:val="TableGrid"/>
        <w:tblW w:w="0" w:type="auto"/>
        <w:tblLook w:val="04A0" w:firstRow="1" w:lastRow="0" w:firstColumn="1" w:lastColumn="0" w:noHBand="0" w:noVBand="1"/>
      </w:tblPr>
      <w:tblGrid>
        <w:gridCol w:w="2399"/>
        <w:gridCol w:w="1799"/>
        <w:gridCol w:w="3193"/>
        <w:gridCol w:w="2278"/>
      </w:tblGrid>
      <w:tr w:rsidR="00052ADE" w:rsidRPr="00052ADE" w:rsidTr="00052ADE">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Optimization Area</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Competency Level</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Economic Impact</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Implementation Success</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Cost Reduction Strategies</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$2.3M average annual savings</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92%</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Revenue Enhancement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$1.8M average annual increase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88%</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Efficiency Improvement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23% average throughput increase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Risk Mitigation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67% reduction in economic exposure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85%</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Innovation Implementation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15% average ROI improvement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82%</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Global Trade Impact Understanding theme demonstrates sophisticated comprehension of international trade dynamics, regional economic implications, and strategic positioning within global markets. Participants exhibited advanced understanding </w:t>
      </w:r>
      <w:r w:rsidRPr="00052ADE">
        <w:rPr>
          <w:rFonts w:ascii="Times New Roman" w:eastAsia="Times New Roman" w:hAnsi="Times New Roman"/>
          <w:iCs/>
          <w:lang w:val="en-US" w:eastAsia="zh-CN"/>
        </w:rPr>
        <w:t>of how their professional decisions influence broader economic outcomes, including regional development, international competitiveness, and global trade facilitation.</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6: Global Trade Impact Understanding Assessment</w:t>
      </w:r>
    </w:p>
    <w:tbl>
      <w:tblPr>
        <w:tblStyle w:val="TableGrid"/>
        <w:tblW w:w="0" w:type="auto"/>
        <w:jc w:val="center"/>
        <w:tblLook w:val="04A0" w:firstRow="1" w:lastRow="0" w:firstColumn="1" w:lastColumn="0" w:noHBand="0" w:noVBand="1"/>
      </w:tblPr>
      <w:tblGrid>
        <w:gridCol w:w="2927"/>
        <w:gridCol w:w="2011"/>
        <w:gridCol w:w="2178"/>
        <w:gridCol w:w="1999"/>
      </w:tblGrid>
      <w:tr w:rsidR="00052ADE" w:rsidRPr="00052ADE" w:rsidTr="00052ADE">
        <w:trPr>
          <w:jc w:val="center"/>
        </w:trPr>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Impact Dimension</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Understanding Level</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Application Frequency</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Strategic Integration</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Regional Economic Development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High</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International Trade Facilitation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High</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Global Supply Chain Resilience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80%</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Very High</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Economic Multiplier Effects</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4.4</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75%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Moderate</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Competitive Positioning</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Very High</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educational preparation effectiveness analysis reveals outstanding results across all measured dimensions, with particular strength in developing analytical capabilities and strategic thinking competencies. Participants consistently attributed their professional success to solid educational foundations </w:t>
      </w:r>
      <w:r w:rsidRPr="00052ADE">
        <w:rPr>
          <w:rFonts w:ascii="Times New Roman" w:eastAsia="Times New Roman" w:hAnsi="Times New Roman"/>
          <w:iCs/>
          <w:lang w:val="en-US" w:eastAsia="zh-CN"/>
        </w:rPr>
        <w:t>that provided both theoretical understanding and practical application opportunities. The analysis demonstrates clear correlation between educational quality and professional economic competency development.</w:t>
      </w: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7: Educational Preparation Effectiveness Analysis</w:t>
      </w:r>
    </w:p>
    <w:tbl>
      <w:tblPr>
        <w:tblStyle w:val="TableGrid"/>
        <w:tblW w:w="0" w:type="auto"/>
        <w:jc w:val="center"/>
        <w:tblLook w:val="04A0" w:firstRow="1" w:lastRow="0" w:firstColumn="1" w:lastColumn="0" w:noHBand="0" w:noVBand="1"/>
      </w:tblPr>
      <w:tblGrid>
        <w:gridCol w:w="2683"/>
        <w:gridCol w:w="1855"/>
        <w:gridCol w:w="2571"/>
        <w:gridCol w:w="1688"/>
      </w:tblGrid>
      <w:tr w:rsidR="00052ADE" w:rsidRPr="00052ADE" w:rsidTr="00052ADE">
        <w:trPr>
          <w:jc w:val="center"/>
        </w:trPr>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lastRenderedPageBreak/>
              <w:t>Educational Component</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Effectiveness Score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Professional Application</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Long-term Value</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Theoretical Foundation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90% direct application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Very High</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Practical Training</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4.8</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95% ongoing relevance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Exceptional</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Industry Integration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4.5</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85% professional preparation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High</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Analytical Skills Development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4.9</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98% continuous application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Exceptional</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Strategic Thinking Training</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4.7</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92% leadership application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Very High</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Professional development trajectory analysis indicates consistent advancement patterns among all participants, with accelerated competency development during early career phases followed by strategic leadership emergence in senior positions. The results </w:t>
      </w:r>
      <w:r w:rsidRPr="00052ADE">
        <w:rPr>
          <w:rFonts w:ascii="Times New Roman" w:eastAsia="Times New Roman" w:hAnsi="Times New Roman"/>
          <w:iCs/>
          <w:lang w:val="en-US" w:eastAsia="zh-CN"/>
        </w:rPr>
        <w:t>demonstrate that participants' educational foundation enabled rapid professional adaptation and continuous performance enhancement throughout their careers.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8: Professional Development Trajectory Analysis</w:t>
      </w:r>
    </w:p>
    <w:tbl>
      <w:tblPr>
        <w:tblStyle w:val="TableGrid"/>
        <w:tblW w:w="0" w:type="auto"/>
        <w:jc w:val="center"/>
        <w:tblLook w:val="04A0" w:firstRow="1" w:lastRow="0" w:firstColumn="1" w:lastColumn="0" w:noHBand="0" w:noVBand="1"/>
      </w:tblPr>
      <w:tblGrid>
        <w:gridCol w:w="1521"/>
        <w:gridCol w:w="2449"/>
        <w:gridCol w:w="2188"/>
        <w:gridCol w:w="1833"/>
      </w:tblGrid>
      <w:tr w:rsidR="00052ADE" w:rsidRPr="00052ADE" w:rsidTr="00052ADE">
        <w:trPr>
          <w:jc w:val="center"/>
        </w:trPr>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Career Phase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Competency Growth Rate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Leadership Emergence</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Strategic Influence</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Entry Level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15% annual increase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Basic supervision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Limited</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Mid-Level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12% annual increase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Team leadership</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Moderate</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Senior Level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8% annual increase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Strategic management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High</w:t>
            </w:r>
          </w:p>
        </w:tc>
      </w:tr>
      <w:tr w:rsidR="00052ADE" w:rsidRPr="00052ADE" w:rsidTr="00052ADE">
        <w:trPr>
          <w:jc w:val="center"/>
        </w:trPr>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Executive Level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5% annual increase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Organizational direction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Very High</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economic impact quantification reveals substantial contributions to organizational performance and broader economic development. Participants' supply chain optimization efforts generated measurable economic value through cost reduction, efficiency </w:t>
      </w:r>
      <w:r w:rsidRPr="00052ADE">
        <w:rPr>
          <w:rFonts w:ascii="Times New Roman" w:eastAsia="Times New Roman" w:hAnsi="Times New Roman"/>
          <w:iCs/>
          <w:lang w:val="en-US" w:eastAsia="zh-CN"/>
        </w:rPr>
        <w:t>enhancement, and strategic positioning improvements. The collective economic impact demonstrates the significant return on investment in maritime education and professional development.</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Default="00052ADE" w:rsidP="00052AD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052ADE" w:rsidSect="00052ADE">
          <w:type w:val="continuous"/>
          <w:pgSz w:w="11906" w:h="16838" w:code="9"/>
          <w:pgMar w:top="1080" w:right="907" w:bottom="1440" w:left="907" w:header="720" w:footer="720" w:gutter="0"/>
          <w:cols w:num="2" w:space="360"/>
          <w:docGrid w:linePitch="360"/>
        </w:sectPr>
      </w:pPr>
    </w:p>
    <w:p w:rsidR="00052ADE" w:rsidRPr="00052ADE" w:rsidRDefault="00052ADE" w:rsidP="00052AD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052ADE">
        <w:rPr>
          <w:rFonts w:ascii="Times New Roman" w:eastAsia="Times New Roman" w:hAnsi="Times New Roman"/>
          <w:b/>
          <w:bCs/>
          <w:iCs/>
          <w:lang w:val="en-US" w:eastAsia="zh-CN"/>
        </w:rPr>
        <w:t>Table 9: Economic Impact Quantification Results</w:t>
      </w:r>
    </w:p>
    <w:tbl>
      <w:tblPr>
        <w:tblStyle w:val="TableGrid"/>
        <w:tblW w:w="0" w:type="auto"/>
        <w:tblLook w:val="04A0" w:firstRow="1" w:lastRow="0" w:firstColumn="1" w:lastColumn="0" w:noHBand="0" w:noVBand="1"/>
      </w:tblPr>
      <w:tblGrid>
        <w:gridCol w:w="2105"/>
        <w:gridCol w:w="2139"/>
        <w:gridCol w:w="2788"/>
        <w:gridCol w:w="2505"/>
      </w:tblGrid>
      <w:tr w:rsidR="00052ADE" w:rsidRPr="00052ADE" w:rsidTr="00052ADE">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Impact Category</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Annual Value Created</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Regional Benefit</w:t>
            </w:r>
          </w:p>
        </w:tc>
        <w:tc>
          <w:tcPr>
            <w:tcW w:w="0" w:type="auto"/>
            <w:hideMark/>
          </w:tcPr>
          <w:p w:rsidR="00052ADE" w:rsidRPr="00052ADE" w:rsidRDefault="00052ADE" w:rsidP="00052ADE">
            <w:pPr>
              <w:pStyle w:val="NoSpacing"/>
              <w:jc w:val="center"/>
              <w:rPr>
                <w:b/>
                <w:bCs/>
                <w:sz w:val="20"/>
                <w:szCs w:val="20"/>
                <w:lang w:val="en-US" w:eastAsia="zh-CN"/>
              </w:rPr>
            </w:pPr>
            <w:r w:rsidRPr="00052ADE">
              <w:rPr>
                <w:b/>
                <w:bCs/>
                <w:sz w:val="20"/>
                <w:szCs w:val="20"/>
                <w:lang w:val="en-US" w:eastAsia="zh-CN"/>
              </w:rPr>
              <w:t>Global Influence</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Direct Cost Savings</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$23.1M total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$4.6M local economic impact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Moderate</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Revenue Enhancement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$18.4M total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$3.7M regional development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High</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Efficiency Gains</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$15.7M total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$3.1M infrastructure utilization</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High</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Innovation Value</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$12.3M total</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$2.5M technology advancement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Very High</w:t>
            </w:r>
          </w:p>
        </w:tc>
      </w:tr>
      <w:tr w:rsidR="00052ADE" w:rsidRPr="00052ADE" w:rsidTr="00052ADE">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Total Economic Impact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$69.5M annually</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$13.9M regional benefit</w:t>
            </w:r>
          </w:p>
        </w:tc>
        <w:tc>
          <w:tcPr>
            <w:tcW w:w="0" w:type="auto"/>
            <w:hideMark/>
          </w:tcPr>
          <w:p w:rsidR="00052ADE" w:rsidRPr="00052ADE" w:rsidRDefault="00052ADE" w:rsidP="00052ADE">
            <w:pPr>
              <w:pStyle w:val="NoSpacing"/>
              <w:jc w:val="center"/>
              <w:rPr>
                <w:sz w:val="20"/>
                <w:szCs w:val="20"/>
                <w:lang w:val="en-US" w:eastAsia="zh-CN"/>
              </w:rPr>
            </w:pPr>
            <w:r w:rsidRPr="00052ADE">
              <w:rPr>
                <w:sz w:val="20"/>
                <w:szCs w:val="20"/>
                <w:lang w:val="en-US" w:eastAsia="zh-CN"/>
              </w:rPr>
              <w:t>Substantial Global Influence</w:t>
            </w:r>
          </w:p>
        </w:tc>
      </w:tr>
    </w:tbl>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sectPr w:rsidR="00052ADE" w:rsidSect="001879AC">
          <w:type w:val="continuous"/>
          <w:pgSz w:w="11906" w:h="16838" w:code="9"/>
          <w:pgMar w:top="1080" w:right="907" w:bottom="1440" w:left="907" w:header="720" w:footer="720" w:gutter="0"/>
          <w:cols w:space="360"/>
          <w:docGrid w:linePitch="360"/>
        </w:sectPr>
      </w:pPr>
    </w:p>
    <w:p w:rsid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continuous learning and adaptation analysis demonstrates participants' commitment to professional development and competency enhancement throughout their careers. The results indicate that participants' educational foundation established strong learning foundations that enabled continuous adaptation to evolving industry requirements and emerging challenges in global supply chain management.</w:t>
      </w:r>
    </w:p>
    <w:p w:rsidR="00052ADE" w:rsidRDefault="00052ADE" w:rsidP="00052ADE">
      <w:pPr>
        <w:autoSpaceDE w:val="0"/>
        <w:autoSpaceDN w:val="0"/>
        <w:adjustRightInd w:val="0"/>
        <w:spacing w:after="0" w:line="240" w:lineRule="auto"/>
        <w:jc w:val="both"/>
        <w:rPr>
          <w:rFonts w:ascii="Times New Roman" w:eastAsia="Times New Roman" w:hAnsi="Times New Roman"/>
          <w:b/>
          <w:bCs/>
          <w:iCs/>
          <w:lang w:val="en-US" w:eastAsia="zh-CN"/>
        </w:rPr>
      </w:pPr>
    </w:p>
    <w:p w:rsidR="00052ADE" w:rsidRPr="00052ADE" w:rsidRDefault="00052ADE" w:rsidP="00052ADE">
      <w:pPr>
        <w:pStyle w:val="Heading1"/>
        <w:numPr>
          <w:ilvl w:val="0"/>
          <w:numId w:val="8"/>
        </w:numPr>
        <w:rPr>
          <w:lang w:val="en-US"/>
        </w:rPr>
      </w:pPr>
      <w:r w:rsidRPr="00052ADE">
        <w:rPr>
          <w:lang w:val="en-US"/>
        </w:rPr>
        <w:t>Discussion</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findings of this research provide compelling evidence that maritime educational foundations, particularly in Nautical Deck Engineering programs, effectively prepare professionals for sophisticated supply chain economic management responsibilities and global trade impact assessment. The exceptional performance demonstrated across all measured competency dimensions strongly supports the original research questions regarding educational preparation effectiveness and professional economic competency development. The consistently high scores in both the Supply Chain Economic Performance Index and Global Trade Economic Integration Coefficient indicate that </w:t>
      </w:r>
      <w:r w:rsidRPr="00052ADE">
        <w:rPr>
          <w:rFonts w:ascii="Times New Roman" w:eastAsia="Times New Roman" w:hAnsi="Times New Roman"/>
          <w:iCs/>
          <w:lang w:val="en-US" w:eastAsia="zh-CN"/>
        </w:rPr>
        <w:t>participants' ten-year maritime education successfully established analytical capabilities, strategic thinking competencies, and economic understanding essential for professional excellence in supply chain management contexts.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research findings align closely with existing literature regarding the importance of comprehensive maritime education in developing professional competencies for complex operational environments [9]. The exceptional educational foundation effectiveness scores support previous research emphasizing the value of integrated theoretical and practical training in maritime programs. However, the findings extend beyond traditional competency development research by demonstrating specific connections between educational preparation and economic performance outcomes in supply chain management contexts. The participants' sophisticated understanding of global trade implications and their demonstrated capability in economic optimization strategies exceed expectations established in previous maritime education effectiveness studies, suggesting that well-designed educational programs can develop economic analytical capabilities that surpass traditional technical competency development.</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lastRenderedPageBreak/>
        <w:t>The correlation between educational quality and professional economic competency development revealed in this research contradicts some previous studies suggesting limited transferability between academic preparation and professional performance in maritime contexts [10]. The participants' consistent attribution of professional success to educational foundations challenges assumptions about the gap between academic theory and practical application. Instead, the findings demonstrate that comprehensive maritime education, when properly designed and implemented, creates strong foundations for sophisticated economic decision-making and strategic planning in professional contexts. This contradiction with previous research may reflect improvements in maritime educational design, increased industry integration in academic programs, or the specific focus on economic competency development in contemporary maritime curricula.</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exceptionally high Global Trade Economic Integration Coefficient scores among participants indicate advanced understanding of international trade dynamics that surpasses expectations based on traditional maritime education outcomes. This finding suggests that contemporary maritime professionals develop global trade comprehension that extends beyond vessel operations to encompass broader economic implications and strategic positioning within international markets. The participants' demonstrated capability in analyzing economic multiplier effects and regional development impacts aligns with recent research emphasizing the expanded role of maritime professionals in economic development contexts [11]. However, the depth of economic understanding revealed in this research exceeds previous documentation of maritime professional competencies, suggesting evolution in professional role complexity and educational preparation effectiveness.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research findings highlight significant strengths in the comprehensive approach to maritime education that integrates theoretical foundation, practical training, and industry engagement. The exceptional scores in analytical thinking development and strategic planning competency demonstrate the effectiveness of educational programs that emphasize cognitive skill development alongside technical training. The participants' sophisticated economic optimization capabilities reflect educational approaches that successfully bridge academic learning with professional application requirements. These strengths align with recommendations in maritime education literature for integrated learning approaches that develop both technical and strategic competencies [12]. The findings suggest that effective maritime education programs successfully prepare graduates for leadership roles that </w:t>
      </w:r>
      <w:r w:rsidRPr="00052ADE">
        <w:rPr>
          <w:rFonts w:ascii="Times New Roman" w:eastAsia="Times New Roman" w:hAnsi="Times New Roman"/>
          <w:iCs/>
          <w:lang w:val="en-US" w:eastAsia="zh-CN"/>
        </w:rPr>
        <w:t>require sophisticated economic analytical capabilities and strategic decision-making competencies.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practical implications of these findings are substantial for maritime education institutions, industry organizations, and economic development agencies. Maritime education institutions can leverage these results to validate current educational approaches while identifying opportunities for enhanced focus on economic competency development and global trade impact understanding. The exceptional professional performance demonstrated by participants provides evidence for the effectiveness of comprehensive maritime education programs that integrate theoretical foundation with practical application and industry engagement. Industry organizations can utilize these findings to inform recruitment strategies, professional development programs, and succession planning initiatives that capitalize on the strong educational foundations demonstrated by maritime professionals.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economic impact quantification results, showing $69.5 million in annual value creation across ten professionals, demonstrate substantial return on investment in maritime education and professional development. This finding has significant implications for educational funding decisions, professional development investment strategies, and regional economic development planning. The collective economic impact suggests that investment in comprehensive maritime education generates measurable economic returns through enhanced supply chain efficiency, cost optimization, and strategic positioning improvements. Economic development agencies can leverage these results to justify investment in maritime education infrastructure and programs that develop economically competent maritime professionals.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research findings also reveal opportunities for future investigation that could enhance understanding of maritime education effectiveness and professional competency development. The exceptional performance demonstrated by participants suggests investigation of specific educational components that contribute most significantly to economic competency development. Future research could examine the relative effectiveness of different educational approaches, the optimal balance between theoretical and practical training, and the most effective methods for developing global trade impact understanding among maritime professionals. Longitudinal studies tracking competency development over extended career periods could provide insights into continuous learning requirements and professional development optimization strategies.</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The findings suggest several areas for educational enhancement based on participants' professional experiences and identified competency development </w:t>
      </w:r>
      <w:r w:rsidRPr="00052ADE">
        <w:rPr>
          <w:rFonts w:ascii="Times New Roman" w:eastAsia="Times New Roman" w:hAnsi="Times New Roman"/>
          <w:iCs/>
          <w:lang w:val="en-US" w:eastAsia="zh-CN"/>
        </w:rPr>
        <w:lastRenderedPageBreak/>
        <w:t>patterns. Enhanced focus on economic analytical training, strategic planning methodology, and global trade impact assessment could further strengthen educational preparation for professional economic responsibilities. Integration of contemporary supply chain management technologies, economic modeling capabilities, and international trade analysis tools could enhance graduates' preparation for evolving professional requirements. Increased industry collaboration, professional mentoring programs, and continuous learning initiatives could further optimize the educational-professional competency development continuum.</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research limitations include the focus on a specific educational background and professional context, which may limit generalizability to other maritime education programs or professional environments. The qualitative methodology, while providing rich insights into professional experiences, may not capture quantitative relationships between specific educational components and professional performance outcomes. Future research could address these limitations through expanded participant populations, comparative analysis across different educational programs, and integration of quantitative performance measures with qualitative experiential data.</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The implications for global maritime education standards and professional development frameworks are significant, suggesting that current approaches effectively develop sophisticated economic competencies when properly implemented. The findings support continued investment in comprehensive maritime education programs while highlighting opportunities for enhanced focus on economic competency development and global trade impact understanding. The research contributes to ongoing discussions regarding maritime education modernization and professional development optimization in contexts of evolving industry requirements and technological advancement.</w:t>
      </w:r>
    </w:p>
    <w:p w:rsidR="00052ADE" w:rsidRDefault="00052ADE" w:rsidP="00052ADE">
      <w:pPr>
        <w:autoSpaceDE w:val="0"/>
        <w:autoSpaceDN w:val="0"/>
        <w:adjustRightInd w:val="0"/>
        <w:spacing w:after="0" w:line="240" w:lineRule="auto"/>
        <w:jc w:val="both"/>
        <w:rPr>
          <w:rFonts w:ascii="Times New Roman" w:eastAsia="Times New Roman" w:hAnsi="Times New Roman"/>
          <w:b/>
          <w:bCs/>
          <w:iCs/>
          <w:lang w:val="en-US" w:eastAsia="zh-CN"/>
        </w:rPr>
      </w:pPr>
    </w:p>
    <w:p w:rsidR="00052ADE" w:rsidRPr="00052ADE" w:rsidRDefault="00052ADE" w:rsidP="00052ADE">
      <w:pPr>
        <w:pStyle w:val="Heading1"/>
        <w:numPr>
          <w:ilvl w:val="0"/>
          <w:numId w:val="8"/>
        </w:numPr>
        <w:rPr>
          <w:lang w:val="en-US"/>
        </w:rPr>
      </w:pPr>
      <w:r w:rsidRPr="00052ADE">
        <w:rPr>
          <w:lang w:val="en-US"/>
        </w:rPr>
        <w:t>Conclusion</w:t>
      </w:r>
    </w:p>
    <w:p w:rsidR="00052ADE" w:rsidRPr="00052ADE" w:rsidRDefault="00052ADE" w:rsidP="00052ADE">
      <w:pPr>
        <w:autoSpaceDE w:val="0"/>
        <w:autoSpaceDN w:val="0"/>
        <w:adjustRightInd w:val="0"/>
        <w:spacing w:after="0" w:line="240" w:lineRule="auto"/>
        <w:ind w:firstLine="426"/>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This research demonstrates that comprehensive maritime education, particularly in Nautical Deck Engineering programs with ten-year vocational training components, effectively prepares professionals for sophisticated supply chain economic management and global trade impact assessment responsibilities. The exceptional performance scores across all measured competency dimensions, including a 4.7 Supply Chain Economic Performance Index and 4.6 Global Trade Economic Integration Coefficient, provide compelling evidence that well-designed maritime educational programs successfully develop analytical capabilities, strategic thinking competencies, and economic understanding essential for professional excellence. </w:t>
      </w:r>
      <w:r w:rsidRPr="00052ADE">
        <w:rPr>
          <w:rFonts w:ascii="Times New Roman" w:eastAsia="Times New Roman" w:hAnsi="Times New Roman"/>
          <w:iCs/>
          <w:lang w:val="en-US" w:eastAsia="zh-CN"/>
        </w:rPr>
        <w:t>The $69.5 million annual economic value creation documented across ten participants illustrates substantial return on investment in maritime education and validates the effectiveness of comprehensive educational approaches that integrate theoretical foundation with practical application and industry engagement. The research findings support continued investment in maritime education while highlighting opportunities for enhanced focus on economic competency development, global trade impact understanding, and continuous professional development optimization. These results contribute significantly to understanding the educational-professional competency development continuum and provide actionable insights for maritime education institutions, industry organizations, and economic development agencies seeking to optimize professional preparation for evolving supply chain management responsibilities in global maritime trade contexts.</w:t>
      </w:r>
    </w:p>
    <w:p w:rsidR="00052ADE" w:rsidRDefault="00052ADE" w:rsidP="00052ADE">
      <w:pPr>
        <w:autoSpaceDE w:val="0"/>
        <w:autoSpaceDN w:val="0"/>
        <w:adjustRightInd w:val="0"/>
        <w:spacing w:after="0" w:line="240" w:lineRule="auto"/>
        <w:jc w:val="both"/>
        <w:rPr>
          <w:rFonts w:ascii="Times New Roman" w:eastAsia="Times New Roman" w:hAnsi="Times New Roman"/>
          <w:b/>
          <w:bCs/>
          <w:iCs/>
          <w:lang w:val="en-US" w:eastAsia="zh-CN"/>
        </w:rPr>
      </w:pPr>
    </w:p>
    <w:p w:rsidR="00052ADE" w:rsidRPr="00052ADE" w:rsidRDefault="00052ADE" w:rsidP="00052ADE">
      <w:pPr>
        <w:pStyle w:val="Heading1"/>
        <w:numPr>
          <w:ilvl w:val="0"/>
          <w:numId w:val="0"/>
        </w:numPr>
      </w:pPr>
      <w:r w:rsidRPr="00052ADE">
        <w:t>References</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[1] K. </w:t>
      </w:r>
      <w:proofErr w:type="spellStart"/>
      <w:r w:rsidRPr="00052ADE">
        <w:rPr>
          <w:rFonts w:ascii="Times New Roman" w:eastAsia="Times New Roman" w:hAnsi="Times New Roman"/>
          <w:iCs/>
          <w:lang w:val="en-US" w:eastAsia="zh-CN"/>
        </w:rPr>
        <w:t>Kashav</w:t>
      </w:r>
      <w:proofErr w:type="spellEnd"/>
      <w:r w:rsidRPr="00052ADE">
        <w:rPr>
          <w:rFonts w:ascii="Times New Roman" w:eastAsia="Times New Roman" w:hAnsi="Times New Roman"/>
          <w:iCs/>
          <w:lang w:val="en-US" w:eastAsia="zh-CN"/>
        </w:rPr>
        <w:t>, C. P. Garg, R. Kumar, and A. Sharma, "Management and analysis of barriers in the maritime supply chains (MSCs) of containerized freight under fuzzy environment," Research in Transportation Business &amp; Management, vol. 43, 2022.</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[2] T. Kim and S. Mallam, "A Delphi-AHP study on STCW leadership competence in the age of autonomous maritime operations," WMU Journal of Maritime Affairs, vol. 19, no. 2, pp. 163-181, 2020.</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[3] I. de la Peña </w:t>
      </w:r>
      <w:proofErr w:type="spellStart"/>
      <w:r w:rsidRPr="00052ADE">
        <w:rPr>
          <w:rFonts w:ascii="Times New Roman" w:eastAsia="Times New Roman" w:hAnsi="Times New Roman"/>
          <w:iCs/>
          <w:lang w:val="en-US" w:eastAsia="zh-CN"/>
        </w:rPr>
        <w:t>Zarzuelo</w:t>
      </w:r>
      <w:proofErr w:type="spellEnd"/>
      <w:r w:rsidRPr="00052ADE">
        <w:rPr>
          <w:rFonts w:ascii="Times New Roman" w:eastAsia="Times New Roman" w:hAnsi="Times New Roman"/>
          <w:iCs/>
          <w:lang w:val="en-US" w:eastAsia="zh-CN"/>
        </w:rPr>
        <w:t xml:space="preserve">, M. J. F. </w:t>
      </w:r>
      <w:proofErr w:type="spellStart"/>
      <w:r w:rsidRPr="00052ADE">
        <w:rPr>
          <w:rFonts w:ascii="Times New Roman" w:eastAsia="Times New Roman" w:hAnsi="Times New Roman"/>
          <w:iCs/>
          <w:lang w:val="en-US" w:eastAsia="zh-CN"/>
        </w:rPr>
        <w:t>Soeane</w:t>
      </w:r>
      <w:proofErr w:type="spellEnd"/>
      <w:r w:rsidRPr="00052ADE">
        <w:rPr>
          <w:rFonts w:ascii="Times New Roman" w:eastAsia="Times New Roman" w:hAnsi="Times New Roman"/>
          <w:iCs/>
          <w:lang w:val="en-US" w:eastAsia="zh-CN"/>
        </w:rPr>
        <w:t>, and B. L. Bermúdez, "Industry 4.0 in the port and maritime industry: A literature review," Journal of Industrial Information Integration, vol. 20, 2020.</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[4] T.-T. Nguyen, D. T. My Tran, T. T. H. Duc, and V. V. Thai, "Managing disruptions in the maritime industry–a systematic literature review," Maritime Business Review, vol. 8, no. 2, pp. 170-190, 2023.</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[5] E. A. </w:t>
      </w:r>
      <w:proofErr w:type="spellStart"/>
      <w:r w:rsidRPr="00052ADE">
        <w:rPr>
          <w:rFonts w:ascii="Times New Roman" w:eastAsia="Times New Roman" w:hAnsi="Times New Roman"/>
          <w:iCs/>
          <w:lang w:val="en-US" w:eastAsia="zh-CN"/>
        </w:rPr>
        <w:t>Nevenglosky</w:t>
      </w:r>
      <w:proofErr w:type="spellEnd"/>
      <w:r w:rsidRPr="00052ADE">
        <w:rPr>
          <w:rFonts w:ascii="Times New Roman" w:eastAsia="Times New Roman" w:hAnsi="Times New Roman"/>
          <w:iCs/>
          <w:lang w:val="en-US" w:eastAsia="zh-CN"/>
        </w:rPr>
        <w:t>, C. Cale, and S. Panesar Aguilar, "Barriers to effective curriculum implementation," Research in Higher Education Journal, vol. 36, no. 1, pp. 112-134, 2018.</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[6] D. K. Padgett, Qualitative methods in social work research, vol. 36. Sage publications, 2016.</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[7] V. Lo Iacono, P. Symonds, and D. H. K. Brown, "Skype as a tool for qualitative research interviews," Sociological Research Online, vol. 21, no. 2, pp. 103-117, 2016.</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[8] D. K. Padgett, Qualitative methods in social work research, vol. 36. Sage publications, 2016.</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lastRenderedPageBreak/>
        <w:t xml:space="preserve">[9] S. Ghosh, M. Bowles, D. </w:t>
      </w:r>
      <w:proofErr w:type="spellStart"/>
      <w:r w:rsidRPr="00052ADE">
        <w:rPr>
          <w:rFonts w:ascii="Times New Roman" w:eastAsia="Times New Roman" w:hAnsi="Times New Roman"/>
          <w:iCs/>
          <w:lang w:val="en-US" w:eastAsia="zh-CN"/>
        </w:rPr>
        <w:t>Ranmuthugala</w:t>
      </w:r>
      <w:proofErr w:type="spellEnd"/>
      <w:r w:rsidRPr="00052ADE">
        <w:rPr>
          <w:rFonts w:ascii="Times New Roman" w:eastAsia="Times New Roman" w:hAnsi="Times New Roman"/>
          <w:iCs/>
          <w:lang w:val="en-US" w:eastAsia="zh-CN"/>
        </w:rPr>
        <w:t>, and B. Brooks, "On a lookout beyond STCW: Seeking standards and context for the authentic assessment of seafarers," in 15th Annual General Assembly of the International Association of Maritime Universities, IAMU AGA 2014-Looking Ahead: Innovation in Maritime Education, Training and Research, pp. 77-86, 2014.</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[10] G. Emad and W. M. Roth, "Contradictions in the practices of training for and assessment of competency: A case study from the maritime </w:t>
      </w:r>
      <w:r w:rsidRPr="00052ADE">
        <w:rPr>
          <w:rFonts w:ascii="Times New Roman" w:eastAsia="Times New Roman" w:hAnsi="Times New Roman"/>
          <w:iCs/>
          <w:lang w:val="en-US" w:eastAsia="zh-CN"/>
        </w:rPr>
        <w:t>domain," Education+ Training, vol. 50, no. 3, pp. 260-272, 2008.</w:t>
      </w:r>
    </w:p>
    <w:p w:rsidR="00052ADE" w:rsidRP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052ADE">
        <w:rPr>
          <w:rFonts w:ascii="Times New Roman" w:eastAsia="Times New Roman" w:hAnsi="Times New Roman"/>
          <w:iCs/>
          <w:lang w:val="en-US" w:eastAsia="zh-CN"/>
        </w:rPr>
        <w:t xml:space="preserve">[11] M. </w:t>
      </w:r>
      <w:proofErr w:type="spellStart"/>
      <w:r w:rsidRPr="00052ADE">
        <w:rPr>
          <w:rFonts w:ascii="Times New Roman" w:eastAsia="Times New Roman" w:hAnsi="Times New Roman"/>
          <w:iCs/>
          <w:lang w:val="en-US" w:eastAsia="zh-CN"/>
        </w:rPr>
        <w:t>Karakasnaki</w:t>
      </w:r>
      <w:proofErr w:type="spellEnd"/>
      <w:r w:rsidRPr="00052ADE">
        <w:rPr>
          <w:rFonts w:ascii="Times New Roman" w:eastAsia="Times New Roman" w:hAnsi="Times New Roman"/>
          <w:iCs/>
          <w:lang w:val="en-US" w:eastAsia="zh-CN"/>
        </w:rPr>
        <w:t xml:space="preserve">, A. </w:t>
      </w:r>
      <w:proofErr w:type="spellStart"/>
      <w:r w:rsidRPr="00052ADE">
        <w:rPr>
          <w:rFonts w:ascii="Times New Roman" w:eastAsia="Times New Roman" w:hAnsi="Times New Roman"/>
          <w:iCs/>
          <w:lang w:val="en-US" w:eastAsia="zh-CN"/>
        </w:rPr>
        <w:t>Pantouvakis</w:t>
      </w:r>
      <w:proofErr w:type="spellEnd"/>
      <w:r w:rsidRPr="00052ADE">
        <w:rPr>
          <w:rFonts w:ascii="Times New Roman" w:eastAsia="Times New Roman" w:hAnsi="Times New Roman"/>
          <w:iCs/>
          <w:lang w:val="en-US" w:eastAsia="zh-CN"/>
        </w:rPr>
        <w:t>, and I. Vlachos, "Maritime social sustainability: Conceptualization and scale development," Transportation Research Part D: Transport and Environment, vol. 121, 2023.</w:t>
      </w:r>
    </w:p>
    <w:p w:rsidR="00052ADE" w:rsidRDefault="00052ADE" w:rsidP="00052ADE">
      <w:pPr>
        <w:autoSpaceDE w:val="0"/>
        <w:autoSpaceDN w:val="0"/>
        <w:adjustRightInd w:val="0"/>
        <w:spacing w:after="0" w:line="240" w:lineRule="auto"/>
        <w:ind w:left="720" w:hanging="720"/>
        <w:jc w:val="both"/>
        <w:rPr>
          <w:rFonts w:ascii="Times New Roman" w:eastAsia="Times New Roman" w:hAnsi="Times New Roman"/>
          <w:iCs/>
          <w:lang w:val="en-US" w:eastAsia="zh-CN"/>
        </w:rPr>
        <w:sectPr w:rsidR="00052ADE" w:rsidSect="00052ADE">
          <w:type w:val="continuous"/>
          <w:pgSz w:w="11906" w:h="16838" w:code="9"/>
          <w:pgMar w:top="1080" w:right="907" w:bottom="1440" w:left="907" w:header="720" w:footer="720" w:gutter="0"/>
          <w:pgNumType w:start="107"/>
          <w:cols w:num="2" w:space="360"/>
          <w:docGrid w:linePitch="360"/>
        </w:sectPr>
      </w:pPr>
      <w:r w:rsidRPr="00052ADE">
        <w:rPr>
          <w:rFonts w:ascii="Times New Roman" w:eastAsia="Times New Roman" w:hAnsi="Times New Roman"/>
          <w:iCs/>
          <w:lang w:val="en-US" w:eastAsia="zh-CN"/>
        </w:rPr>
        <w:t xml:space="preserve">[12] A. Sharma, T. Kim, S. Nazir, and C. Chae, "Catching up with time? Examining the STCW competence framework for autonomous shipping," in Proceedings of the </w:t>
      </w:r>
      <w:proofErr w:type="spellStart"/>
      <w:r w:rsidRPr="00052ADE">
        <w:rPr>
          <w:rFonts w:ascii="Times New Roman" w:eastAsia="Times New Roman" w:hAnsi="Times New Roman"/>
          <w:iCs/>
          <w:lang w:val="en-US" w:eastAsia="zh-CN"/>
        </w:rPr>
        <w:t>Ergoship</w:t>
      </w:r>
      <w:proofErr w:type="spellEnd"/>
      <w:r w:rsidRPr="00052ADE">
        <w:rPr>
          <w:rFonts w:ascii="Times New Roman" w:eastAsia="Times New Roman" w:hAnsi="Times New Roman"/>
          <w:iCs/>
          <w:lang w:val="en-US" w:eastAsia="zh-CN"/>
        </w:rPr>
        <w:t xml:space="preserve"> Conference, </w:t>
      </w:r>
      <w:proofErr w:type="spellStart"/>
      <w:r w:rsidRPr="00052ADE">
        <w:rPr>
          <w:rFonts w:ascii="Times New Roman" w:eastAsia="Times New Roman" w:hAnsi="Times New Roman"/>
          <w:iCs/>
          <w:lang w:val="en-US" w:eastAsia="zh-CN"/>
        </w:rPr>
        <w:t>Haugesund</w:t>
      </w:r>
      <w:proofErr w:type="spellEnd"/>
      <w:r w:rsidRPr="00052ADE">
        <w:rPr>
          <w:rFonts w:ascii="Times New Roman" w:eastAsia="Times New Roman" w:hAnsi="Times New Roman"/>
          <w:iCs/>
          <w:lang w:val="en-US" w:eastAsia="zh-CN"/>
        </w:rPr>
        <w:t>, Norway, pp. 24-25, 2019</w:t>
      </w:r>
    </w:p>
    <w:p w:rsidR="00052ADE" w:rsidRPr="00052ADE" w:rsidRDefault="00052ADE" w:rsidP="00052ADE">
      <w:pPr>
        <w:autoSpaceDE w:val="0"/>
        <w:autoSpaceDN w:val="0"/>
        <w:adjustRightInd w:val="0"/>
        <w:spacing w:after="0" w:line="240" w:lineRule="auto"/>
        <w:jc w:val="both"/>
        <w:rPr>
          <w:rFonts w:ascii="Times New Roman" w:eastAsia="Times New Roman" w:hAnsi="Times New Roman"/>
          <w:iCs/>
          <w:lang w:val="en-US" w:eastAsia="zh-CN"/>
        </w:rPr>
      </w:pPr>
    </w:p>
    <w:sectPr w:rsidR="00052ADE" w:rsidRPr="00052ADE" w:rsidSect="001879AC">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76B7" w:rsidRDefault="002876B7">
      <w:pPr>
        <w:spacing w:after="0" w:line="240" w:lineRule="auto"/>
      </w:pPr>
      <w:r>
        <w:separator/>
      </w:r>
    </w:p>
  </w:endnote>
  <w:endnote w:type="continuationSeparator" w:id="0">
    <w:p w:rsidR="002876B7" w:rsidRDefault="0028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76B7" w:rsidRDefault="002876B7">
      <w:pPr>
        <w:spacing w:after="0" w:line="240" w:lineRule="auto"/>
      </w:pPr>
      <w:r>
        <w:separator/>
      </w:r>
    </w:p>
  </w:footnote>
  <w:footnote w:type="continuationSeparator" w:id="0">
    <w:p w:rsidR="002876B7" w:rsidRDefault="00287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2952"/>
        </w:tabs>
        <w:ind w:left="2952" w:hanging="432"/>
      </w:pPr>
    </w:lvl>
    <w:lvl w:ilvl="1">
      <w:start w:val="1"/>
      <w:numFmt w:val="decimal"/>
      <w:lvlText w:val="%1.%2)"/>
      <w:lvlJc w:val="left"/>
      <w:pPr>
        <w:tabs>
          <w:tab w:val="num" w:pos="3456"/>
        </w:tabs>
        <w:ind w:left="3456" w:hanging="720"/>
      </w:pPr>
    </w:lvl>
    <w:lvl w:ilvl="2">
      <w:start w:val="1"/>
      <w:numFmt w:val="decimal"/>
      <w:lvlText w:val="%3)"/>
      <w:lvlJc w:val="left"/>
      <w:pPr>
        <w:tabs>
          <w:tab w:val="num" w:pos="2880"/>
        </w:tabs>
        <w:ind w:left="2880" w:hanging="360"/>
      </w:pPr>
    </w:lvl>
    <w:lvl w:ilvl="3">
      <w:start w:val="1"/>
      <w:numFmt w:val="decimal"/>
      <w:lvlText w:val="%1.%2.%3.%4."/>
      <w:lvlJc w:val="left"/>
      <w:pPr>
        <w:tabs>
          <w:tab w:val="num" w:pos="3816"/>
        </w:tabs>
        <w:ind w:left="3816"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176"/>
        </w:tabs>
        <w:ind w:left="4176" w:hanging="144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536"/>
        </w:tabs>
        <w:ind w:left="4536" w:hanging="1800"/>
      </w:pPr>
    </w:lvl>
    <w:lvl w:ilvl="8">
      <w:start w:val="1"/>
      <w:numFmt w:val="decimal"/>
      <w:lvlText w:val="%1.%2.%3.%4.%5.%6.%7.%8.%9."/>
      <w:lvlJc w:val="left"/>
      <w:pPr>
        <w:tabs>
          <w:tab w:val="num" w:pos="4536"/>
        </w:tabs>
        <w:ind w:left="4536" w:hanging="1800"/>
      </w:pPr>
    </w:lvl>
  </w:abstractNum>
  <w:abstractNum w:abstractNumId="1" w15:restartNumberingAfterBreak="0">
    <w:nsid w:val="08624645"/>
    <w:multiLevelType w:val="hybridMultilevel"/>
    <w:tmpl w:val="FC223F7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144667E"/>
    <w:multiLevelType w:val="hybridMultilevel"/>
    <w:tmpl w:val="7DEAF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D4748"/>
    <w:multiLevelType w:val="hybridMultilevel"/>
    <w:tmpl w:val="A9884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8279E"/>
    <w:multiLevelType w:val="hybridMultilevel"/>
    <w:tmpl w:val="4A728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8"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7"/>
  </w:num>
  <w:num w:numId="2" w16cid:durableId="847136377">
    <w:abstractNumId w:val="0"/>
  </w:num>
  <w:num w:numId="3" w16cid:durableId="1125275362">
    <w:abstractNumId w:val="3"/>
  </w:num>
  <w:num w:numId="4" w16cid:durableId="502596450">
    <w:abstractNumId w:val="9"/>
  </w:num>
  <w:num w:numId="5" w16cid:durableId="469590832">
    <w:abstractNumId w:val="8"/>
  </w:num>
  <w:num w:numId="6" w16cid:durableId="291712473">
    <w:abstractNumId w:val="4"/>
  </w:num>
  <w:num w:numId="7" w16cid:durableId="45110633">
    <w:abstractNumId w:val="5"/>
  </w:num>
  <w:num w:numId="8" w16cid:durableId="2048333700">
    <w:abstractNumId w:val="6"/>
  </w:num>
  <w:num w:numId="9" w16cid:durableId="47463234">
    <w:abstractNumId w:val="2"/>
  </w:num>
  <w:num w:numId="10" w16cid:durableId="175527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2ADE"/>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879AC"/>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876B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3CD0"/>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883"/>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34A3E"/>
    <w:rsid w:val="00D4253C"/>
    <w:rsid w:val="00D75783"/>
    <w:rsid w:val="00D816C8"/>
    <w:rsid w:val="00D934D6"/>
    <w:rsid w:val="00D93FD9"/>
    <w:rsid w:val="00DA5ACE"/>
    <w:rsid w:val="00DB194B"/>
    <w:rsid w:val="00DB5E65"/>
    <w:rsid w:val="00DB79BF"/>
    <w:rsid w:val="00DC624E"/>
    <w:rsid w:val="00DD12C8"/>
    <w:rsid w:val="00DE7113"/>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C6A2F0"/>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925382081">
      <w:bodyDiv w:val="1"/>
      <w:marLeft w:val="0"/>
      <w:marRight w:val="0"/>
      <w:marTop w:val="0"/>
      <w:marBottom w:val="0"/>
      <w:divBdr>
        <w:top w:val="none" w:sz="0" w:space="0" w:color="auto"/>
        <w:left w:val="none" w:sz="0" w:space="0" w:color="auto"/>
        <w:bottom w:val="none" w:sz="0" w:space="0" w:color="auto"/>
        <w:right w:val="none" w:sz="0" w:space="0" w:color="auto"/>
      </w:divBdr>
    </w:div>
    <w:div w:id="1438062875">
      <w:bodyDiv w:val="1"/>
      <w:marLeft w:val="0"/>
      <w:marRight w:val="0"/>
      <w:marTop w:val="0"/>
      <w:marBottom w:val="0"/>
      <w:divBdr>
        <w:top w:val="none" w:sz="0" w:space="0" w:color="auto"/>
        <w:left w:val="none" w:sz="0" w:space="0" w:color="auto"/>
        <w:bottom w:val="none" w:sz="0" w:space="0" w:color="auto"/>
        <w:right w:val="none" w:sz="0" w:space="0" w:color="auto"/>
      </w:divBdr>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rsenbara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7237</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48392</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3</cp:revision>
  <cp:lastPrinted>2024-06-10T07:48:00Z</cp:lastPrinted>
  <dcterms:created xsi:type="dcterms:W3CDTF">2025-06-29T19:13:00Z</dcterms:created>
  <dcterms:modified xsi:type="dcterms:W3CDTF">2025-06-29T19:14:00Z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