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166D83" w:rsidRDefault="00DA1E36" w:rsidP="00635CBD">
            <w:pPr>
              <w:jc w:val="center"/>
              <w:rPr>
                <w:rFonts w:ascii="Times New Roman" w:hAnsi="Times New Roman" w:cs="Times New Roman"/>
                <w:b w:val="0"/>
                <w:color w:val="000000" w:themeColor="text1"/>
                <w:sz w:val="32"/>
                <w:szCs w:val="32"/>
              </w:rPr>
            </w:pPr>
            <w:r w:rsidRPr="00DA1E36">
              <w:rPr>
                <w:rFonts w:ascii="Times New Roman" w:eastAsia="Calibri" w:hAnsi="Times New Roman" w:cs="Times New Roman"/>
                <w:sz w:val="32"/>
                <w:szCs w:val="32"/>
                <w:lang w:val="en-US"/>
              </w:rPr>
              <w:t>Navigating Literacy Horizons: Insights from Semester 1 Cadets at Maritime Institute Jakarta (STIP Jakarta)</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Marudut Bernadtua Simanjuntak</w:t>
            </w:r>
            <w:r w:rsidRPr="00373B88">
              <w:rPr>
                <w:rFonts w:ascii="TimesNewRomanPS-ItalicMT" w:hAnsi="TimesNewRomanPS-ItalicMT" w:cs="TimesNewRomanPS-ItalicMT"/>
                <w:b w:val="0"/>
                <w:i/>
                <w:iCs/>
                <w:szCs w:val="20"/>
                <w:vertAlign w:val="superscript"/>
              </w:rPr>
              <w:t>1)</w:t>
            </w:r>
            <w:r>
              <w:rPr>
                <w:rFonts w:ascii="TimesNewRomanPS-ItalicMT" w:hAnsi="TimesNewRomanPS-ItalicMT" w:cs="TimesNewRomanPS-ItalicMT"/>
                <w:b w:val="0"/>
                <w:i/>
                <w:iCs/>
                <w:szCs w:val="20"/>
              </w:rPr>
              <w:t xml:space="preserve">  </w:t>
            </w:r>
            <w:hyperlink r:id="rId10" w:history="1">
              <w:r w:rsidRPr="00373B88">
                <w:rPr>
                  <w:rStyle w:val="Hyperlink"/>
                  <w:rFonts w:ascii="TimesNewRomanPS-ItalicMT" w:hAnsi="TimesNewRomanPS-ItalicMT" w:cs="TimesNewRomanPS-ItalicMT"/>
                  <w:b w:val="0"/>
                  <w:bCs w:val="0"/>
                  <w:i/>
                  <w:iCs/>
                  <w:szCs w:val="20"/>
                </w:rPr>
                <w:t>bernadmarudut@gmail.com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Panderaja Soritua Sijabat</w:t>
            </w:r>
            <w:r w:rsidRPr="00373B88">
              <w:rPr>
                <w:rFonts w:ascii="TimesNewRomanPS-ItalicMT" w:hAnsi="TimesNewRomanPS-ItalicMT" w:cs="TimesNewRomanPS-ItalicMT"/>
                <w:b w:val="0"/>
                <w:i/>
                <w:iCs/>
                <w:szCs w:val="20"/>
                <w:vertAlign w:val="superscript"/>
              </w:rPr>
              <w:t>2)</w:t>
            </w:r>
            <w:r>
              <w:rPr>
                <w:rFonts w:ascii="TimesNewRomanPS-ItalicMT" w:hAnsi="TimesNewRomanPS-ItalicMT" w:cs="TimesNewRomanPS-ItalicMT"/>
                <w:b w:val="0"/>
                <w:i/>
                <w:iCs/>
                <w:szCs w:val="20"/>
              </w:rPr>
              <w:t xml:space="preserve">  </w:t>
            </w:r>
            <w:hyperlink r:id="rId11" w:history="1">
              <w:r w:rsidRPr="00373B88">
                <w:rPr>
                  <w:rStyle w:val="Hyperlink"/>
                  <w:rFonts w:ascii="TimesNewRomanPS-ItalicMT" w:hAnsi="TimesNewRomanPS-ItalicMT" w:cs="TimesNewRomanPS-ItalicMT"/>
                  <w:b w:val="0"/>
                  <w:bCs w:val="0"/>
                  <w:i/>
                  <w:iCs/>
                  <w:szCs w:val="20"/>
                </w:rPr>
                <w:t>pande.sijabat@gmail.com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Meriyanti Agustinawati</w:t>
            </w:r>
            <w:r w:rsidRPr="00373B88">
              <w:rPr>
                <w:rFonts w:ascii="TimesNewRomanPS-ItalicMT" w:hAnsi="TimesNewRomanPS-ItalicMT" w:cs="TimesNewRomanPS-ItalicMT"/>
                <w:b w:val="0"/>
                <w:i/>
                <w:iCs/>
                <w:szCs w:val="20"/>
                <w:vertAlign w:val="superscript"/>
              </w:rPr>
              <w:t>3)</w:t>
            </w:r>
            <w:r>
              <w:rPr>
                <w:rFonts w:ascii="TimesNewRomanPS-ItalicMT" w:hAnsi="TimesNewRomanPS-ItalicMT" w:cs="TimesNewRomanPS-ItalicMT"/>
                <w:b w:val="0"/>
                <w:i/>
                <w:iCs/>
                <w:szCs w:val="20"/>
              </w:rPr>
              <w:t xml:space="preserve">  </w:t>
            </w:r>
            <w:hyperlink r:id="rId12" w:history="1">
              <w:r w:rsidRPr="00373B88">
                <w:rPr>
                  <w:rStyle w:val="Hyperlink"/>
                  <w:rFonts w:ascii="TimesNewRomanPS-ItalicMT" w:hAnsi="TimesNewRomanPS-ItalicMT" w:cs="TimesNewRomanPS-ItalicMT"/>
                  <w:b w:val="0"/>
                  <w:bCs w:val="0"/>
                  <w:i/>
                  <w:iCs/>
                  <w:szCs w:val="20"/>
                </w:rPr>
                <w:t>merri.saja@gmail.com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Mudakir</w:t>
            </w:r>
            <w:r w:rsidRPr="00373B88">
              <w:rPr>
                <w:rFonts w:ascii="TimesNewRomanPS-ItalicMT" w:hAnsi="TimesNewRomanPS-ItalicMT" w:cs="TimesNewRomanPS-ItalicMT"/>
                <w:b w:val="0"/>
                <w:i/>
                <w:iCs/>
                <w:szCs w:val="20"/>
                <w:vertAlign w:val="superscript"/>
              </w:rPr>
              <w:t>4)</w:t>
            </w:r>
            <w:r>
              <w:rPr>
                <w:rFonts w:ascii="TimesNewRomanPS-ItalicMT" w:hAnsi="TimesNewRomanPS-ItalicMT" w:cs="TimesNewRomanPS-ItalicMT"/>
                <w:b w:val="0"/>
                <w:i/>
                <w:iCs/>
                <w:szCs w:val="20"/>
              </w:rPr>
              <w:t xml:space="preserve">  </w:t>
            </w:r>
            <w:hyperlink r:id="rId13" w:history="1">
              <w:r w:rsidRPr="00373B88">
                <w:rPr>
                  <w:rStyle w:val="Hyperlink"/>
                  <w:rFonts w:ascii="TimesNewRomanPS-ItalicMT" w:hAnsi="TimesNewRomanPS-ItalicMT" w:cs="TimesNewRomanPS-ItalicMT"/>
                  <w:b w:val="0"/>
                  <w:bCs w:val="0"/>
                  <w:i/>
                  <w:iCs/>
                  <w:szCs w:val="20"/>
                </w:rPr>
                <w:t>mudakirkir998@gmail.com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Siska Yoniessa</w:t>
            </w:r>
            <w:r w:rsidRPr="00373B88">
              <w:rPr>
                <w:rFonts w:ascii="TimesNewRomanPS-ItalicMT" w:hAnsi="TimesNewRomanPS-ItalicMT" w:cs="TimesNewRomanPS-ItalicMT"/>
                <w:b w:val="0"/>
                <w:i/>
                <w:iCs/>
                <w:szCs w:val="20"/>
                <w:vertAlign w:val="superscript"/>
              </w:rPr>
              <w:t>5)</w:t>
            </w:r>
            <w:r>
              <w:rPr>
                <w:rFonts w:ascii="TimesNewRomanPS-ItalicMT" w:hAnsi="TimesNewRomanPS-ItalicMT" w:cs="TimesNewRomanPS-ItalicMT"/>
                <w:b w:val="0"/>
                <w:i/>
                <w:iCs/>
                <w:szCs w:val="20"/>
              </w:rPr>
              <w:t xml:space="preserve">  </w:t>
            </w:r>
            <w:hyperlink r:id="rId14" w:history="1">
              <w:r w:rsidRPr="00373B88">
                <w:rPr>
                  <w:rStyle w:val="Hyperlink"/>
                  <w:rFonts w:ascii="TimesNewRomanPS-ItalicMT" w:hAnsi="TimesNewRomanPS-ItalicMT" w:cs="TimesNewRomanPS-ItalicMT"/>
                  <w:b w:val="0"/>
                  <w:bCs w:val="0"/>
                  <w:i/>
                  <w:iCs/>
                  <w:szCs w:val="20"/>
                </w:rPr>
                <w:t>yoniessasiska@gmail.com</w:t>
              </w:r>
            </w:hyperlink>
          </w:p>
          <w:p w:rsidR="009E2290" w:rsidRPr="00F4452A" w:rsidRDefault="009E2290" w:rsidP="003C5E0E">
            <w:pPr>
              <w:autoSpaceDE w:val="0"/>
              <w:autoSpaceDN w:val="0"/>
              <w:adjustRightInd w:val="0"/>
              <w:jc w:val="center"/>
              <w:rPr>
                <w:rFonts w:ascii="TimesNewRomanPS-ItalicMT" w:hAnsi="TimesNewRomanPS-ItalicMT" w:cs="TimesNewRomanPS-ItalicMT"/>
                <w:b w:val="0"/>
                <w:i/>
                <w:iCs/>
                <w:szCs w:val="20"/>
                <w:lang w:val="en-US"/>
              </w:rPr>
            </w:pPr>
          </w:p>
          <w:p w:rsidR="009E2290" w:rsidRDefault="00373B88" w:rsidP="003C5E0E">
            <w:pPr>
              <w:autoSpaceDE w:val="0"/>
              <w:autoSpaceDN w:val="0"/>
              <w:adjustRightInd w:val="0"/>
              <w:jc w:val="center"/>
              <w:rPr>
                <w:rFonts w:ascii="TimesNewRomanPS-ItalicMT" w:hAnsi="TimesNewRomanPS-ItalicMT" w:cs="TimesNewRomanPS-ItalicMT"/>
                <w:b w:val="0"/>
                <w:i/>
                <w:iCs/>
                <w:szCs w:val="20"/>
                <w:lang w:val="en-US"/>
              </w:rPr>
            </w:pPr>
            <w:r w:rsidRPr="00373B88">
              <w:rPr>
                <w:rFonts w:ascii="TimesNewRomanPS-ItalicMT" w:hAnsi="TimesNewRomanPS-ItalicMT" w:cs="TimesNewRomanPS-ItalicMT"/>
                <w:b w:val="0"/>
                <w:i/>
                <w:iCs/>
                <w:szCs w:val="20"/>
                <w:lang w:val="en-US"/>
              </w:rPr>
              <w:t xml:space="preserve">Maritime Institute </w:t>
            </w:r>
            <w:r>
              <w:rPr>
                <w:rFonts w:ascii="TimesNewRomanPS-ItalicMT" w:hAnsi="TimesNewRomanPS-ItalicMT" w:cs="TimesNewRomanPS-ItalicMT"/>
                <w:b w:val="0"/>
                <w:i/>
                <w:iCs/>
                <w:szCs w:val="20"/>
              </w:rPr>
              <w:t xml:space="preserve">of </w:t>
            </w:r>
            <w:r w:rsidRPr="00373B88">
              <w:rPr>
                <w:rFonts w:ascii="TimesNewRomanPS-ItalicMT" w:hAnsi="TimesNewRomanPS-ItalicMT" w:cs="TimesNewRomanPS-ItalicMT"/>
                <w:b w:val="0"/>
                <w:i/>
                <w:iCs/>
                <w:szCs w:val="20"/>
                <w:lang w:val="en-US"/>
              </w:rPr>
              <w:t>Jakarta (S</w:t>
            </w:r>
            <w:r>
              <w:rPr>
                <w:rFonts w:ascii="TimesNewRomanPS-ItalicMT" w:hAnsi="TimesNewRomanPS-ItalicMT" w:cs="TimesNewRomanPS-ItalicMT"/>
                <w:b w:val="0"/>
                <w:i/>
                <w:iCs/>
                <w:szCs w:val="20"/>
              </w:rPr>
              <w:t xml:space="preserve">ekolah </w:t>
            </w:r>
            <w:r w:rsidRPr="00373B88">
              <w:rPr>
                <w:rFonts w:ascii="TimesNewRomanPS-ItalicMT" w:hAnsi="TimesNewRomanPS-ItalicMT" w:cs="TimesNewRomanPS-ItalicMT"/>
                <w:b w:val="0"/>
                <w:i/>
                <w:iCs/>
                <w:szCs w:val="20"/>
                <w:lang w:val="en-US"/>
              </w:rPr>
              <w:t>T</w:t>
            </w:r>
            <w:r>
              <w:rPr>
                <w:rFonts w:ascii="TimesNewRomanPS-ItalicMT" w:hAnsi="TimesNewRomanPS-ItalicMT" w:cs="TimesNewRomanPS-ItalicMT"/>
                <w:b w:val="0"/>
                <w:i/>
                <w:iCs/>
                <w:szCs w:val="20"/>
              </w:rPr>
              <w:t xml:space="preserve">inggi </w:t>
            </w:r>
            <w:r w:rsidRPr="00373B88">
              <w:rPr>
                <w:rFonts w:ascii="TimesNewRomanPS-ItalicMT" w:hAnsi="TimesNewRomanPS-ItalicMT" w:cs="TimesNewRomanPS-ItalicMT"/>
                <w:b w:val="0"/>
                <w:i/>
                <w:iCs/>
                <w:szCs w:val="20"/>
                <w:lang w:val="en-US"/>
              </w:rPr>
              <w:t>I</w:t>
            </w:r>
            <w:r>
              <w:rPr>
                <w:rFonts w:ascii="TimesNewRomanPS-ItalicMT" w:hAnsi="TimesNewRomanPS-ItalicMT" w:cs="TimesNewRomanPS-ItalicMT"/>
                <w:b w:val="0"/>
                <w:i/>
                <w:iCs/>
                <w:szCs w:val="20"/>
              </w:rPr>
              <w:t xml:space="preserve">lmu </w:t>
            </w:r>
            <w:r w:rsidRPr="00373B88">
              <w:rPr>
                <w:rFonts w:ascii="TimesNewRomanPS-ItalicMT" w:hAnsi="TimesNewRomanPS-ItalicMT" w:cs="TimesNewRomanPS-ItalicMT"/>
                <w:b w:val="0"/>
                <w:i/>
                <w:iCs/>
                <w:szCs w:val="20"/>
                <w:lang w:val="en-US"/>
              </w:rPr>
              <w:t>P</w:t>
            </w:r>
            <w:r>
              <w:rPr>
                <w:rFonts w:ascii="TimesNewRomanPS-ItalicMT" w:hAnsi="TimesNewRomanPS-ItalicMT" w:cs="TimesNewRomanPS-ItalicMT"/>
                <w:b w:val="0"/>
                <w:i/>
                <w:iCs/>
                <w:szCs w:val="20"/>
              </w:rPr>
              <w:t xml:space="preserve">elayaran - </w:t>
            </w:r>
            <w:r w:rsidRPr="00373B88">
              <w:rPr>
                <w:rFonts w:ascii="TimesNewRomanPS-ItalicMT" w:hAnsi="TimesNewRomanPS-ItalicMT" w:cs="TimesNewRomanPS-ItalicMT"/>
                <w:b w:val="0"/>
                <w:i/>
                <w:iCs/>
                <w:szCs w:val="20"/>
                <w:lang w:val="en-US"/>
              </w:rPr>
              <w:t xml:space="preserve">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E26505" w:rsidP="008D0AEE">
      <w:pPr>
        <w:spacing w:after="0" w:line="240" w:lineRule="auto"/>
        <w:jc w:val="both"/>
        <w:rPr>
          <w:rFonts w:ascii="Times New Roman" w:eastAsia="Calibri" w:hAnsi="Times New Roman" w:cs="Times New Roman"/>
          <w:i/>
          <w:sz w:val="20"/>
          <w:szCs w:val="20"/>
        </w:rPr>
      </w:pPr>
      <w:r w:rsidRPr="00E26505">
        <w:rPr>
          <w:rFonts w:ascii="Times New Roman" w:eastAsia="Calibri" w:hAnsi="Times New Roman" w:cs="Times New Roman"/>
          <w:i/>
          <w:sz w:val="20"/>
          <w:szCs w:val="20"/>
        </w:rPr>
        <w:t>This study delves into the complex realm of maritime literacy interest among Semester 1 cadets at the distinguished Maritime Institute Jakarta (STIP Jakarta). Employing a qualitative descriptive approach, the research meticulously analysed survey responses from 200 cadets, unraveling nuanced insights into comprehension levels, motivations, and the perceived relevance of maritime literacy. The findings illuminate a diverse range of comprehension levels among cadets, necessitating an adaptive approach in curriculum design. While a majority exhibited foundational understanding, a substantial proportion displayed eagerness for deeper insights, particularly in niche areas such as maritime law and environmental regulations. This calls for a modular curriculum structure, accommodating varying levels of proficiency, and elective courses to cater to specific areas of interest. Motivational factors driving cadets towards maritime education are multifaceted. Family legacy, adventure, and an emergent environmental consciousness were identified as primary motivators. The implications for career counselling and outreach strategies are profound, calling for targeted communication to families with maritime backgrounds and integrating sustainability themes into the curriculum. The unanimous recognition of the relevance of maritime literacy across majors underscores its foundational nature. Cadets acknowledge literacy as a cornerstone for effective communication, regulatory compliance, and career advancement. The universal understanding across disciplines paves the way for a cohesive curriculum, ensuring seamless integration of literacy skills. Additionally, the subset of cadets recognising literacy's role in safety and environmental sustainability signals opportunities for interdisciplinary initiatives. In essence, this research not only refines educational strategies for STIP Jakarta but contributes to the broader discourse on maritime education globally. The recommendations advocate for adaptability, collaboration, and responsiveness within maritime education institutions, fostering the evolution of proficient professionals and environmentally conscious leaders for the maritime industry's future.</w:t>
      </w:r>
      <w:r>
        <w:rPr>
          <w:rFonts w:ascii="Times New Roman" w:eastAsia="Calibri" w:hAnsi="Times New Roman" w:cs="Times New Roman"/>
          <w:i/>
          <w:sz w:val="20"/>
          <w:szCs w:val="20"/>
        </w:rPr>
        <w:t>.</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E26505" w:rsidRDefault="00E26505" w:rsidP="00E26505">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Pr="00E26505">
              <w:rPr>
                <w:rFonts w:ascii="Times New Roman" w:eastAsia="Calibri" w:hAnsi="Times New Roman" w:cs="Times New Roman"/>
                <w:b w:val="0"/>
                <w:i/>
                <w:sz w:val="20"/>
                <w:szCs w:val="20"/>
                <w:lang w:val="en-US"/>
              </w:rPr>
              <w:t>Maritime Literacy</w:t>
            </w:r>
            <w:r>
              <w:rPr>
                <w:rFonts w:ascii="Times New Roman" w:eastAsia="Calibri" w:hAnsi="Times New Roman" w:cs="Times New Roman"/>
                <w:b w:val="0"/>
                <w:i/>
                <w:sz w:val="20"/>
                <w:szCs w:val="20"/>
              </w:rPr>
              <w:t xml:space="preserve">, </w:t>
            </w:r>
            <w:r w:rsidRPr="00E26505">
              <w:rPr>
                <w:rFonts w:ascii="Times New Roman" w:eastAsia="Calibri" w:hAnsi="Times New Roman" w:cs="Times New Roman"/>
                <w:b w:val="0"/>
                <w:i/>
                <w:sz w:val="20"/>
                <w:szCs w:val="20"/>
                <w:lang w:val="en-US"/>
              </w:rPr>
              <w:t>Cadet Motivations</w:t>
            </w:r>
            <w:r>
              <w:rPr>
                <w:rFonts w:ascii="Times New Roman" w:eastAsia="Calibri" w:hAnsi="Times New Roman" w:cs="Times New Roman"/>
                <w:b w:val="0"/>
                <w:i/>
                <w:sz w:val="20"/>
                <w:szCs w:val="20"/>
              </w:rPr>
              <w:t xml:space="preserve">, </w:t>
            </w:r>
            <w:r w:rsidRPr="00E26505">
              <w:rPr>
                <w:rFonts w:ascii="Times New Roman" w:eastAsia="Calibri" w:hAnsi="Times New Roman" w:cs="Times New Roman"/>
                <w:b w:val="0"/>
                <w:i/>
                <w:sz w:val="20"/>
                <w:szCs w:val="20"/>
                <w:lang w:val="en-US"/>
              </w:rPr>
              <w:t>Curriculum Adaptability</w:t>
            </w:r>
            <w:r>
              <w:rPr>
                <w:rFonts w:ascii="Times New Roman" w:eastAsia="Calibri" w:hAnsi="Times New Roman" w:cs="Times New Roman"/>
                <w:b w:val="0"/>
                <w:i/>
                <w:sz w:val="20"/>
                <w:szCs w:val="20"/>
              </w:rPr>
              <w:t>, Literacy Horizon</w:t>
            </w:r>
          </w:p>
        </w:tc>
      </w:tr>
    </w:tbl>
    <w:p w:rsidR="00E26505" w:rsidRPr="00BC2F62" w:rsidRDefault="00E26505" w:rsidP="00E26505">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E26505" w:rsidRDefault="00E26505" w:rsidP="00E26505">
      <w:pPr>
        <w:spacing w:after="0" w:line="240" w:lineRule="auto"/>
        <w:jc w:val="both"/>
        <w:rPr>
          <w:rFonts w:ascii="Times New Roman" w:eastAsia="Calibri" w:hAnsi="Times New Roman" w:cs="Times New Roman"/>
          <w:i/>
          <w:sz w:val="20"/>
          <w:szCs w:val="20"/>
        </w:rPr>
      </w:pPr>
      <w:r w:rsidRPr="00E26505">
        <w:rPr>
          <w:rFonts w:ascii="Times New Roman" w:eastAsia="Calibri" w:hAnsi="Times New Roman" w:cs="Times New Roman"/>
          <w:i/>
          <w:sz w:val="20"/>
          <w:szCs w:val="20"/>
        </w:rPr>
        <w:t>Penelitian ini m</w:t>
      </w:r>
      <w:r>
        <w:rPr>
          <w:rFonts w:ascii="Times New Roman" w:eastAsia="Calibri" w:hAnsi="Times New Roman" w:cs="Times New Roman"/>
          <w:i/>
          <w:sz w:val="20"/>
          <w:szCs w:val="20"/>
        </w:rPr>
        <w:t>engkaji</w:t>
      </w:r>
      <w:r w:rsidRPr="00E26505">
        <w:rPr>
          <w:rFonts w:ascii="Times New Roman" w:eastAsia="Calibri" w:hAnsi="Times New Roman" w:cs="Times New Roman"/>
          <w:i/>
          <w:sz w:val="20"/>
          <w:szCs w:val="20"/>
        </w:rPr>
        <w:t xml:space="preserve"> ranah kompleks minat literasi maritim di antara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Semester 1 di Institut Maritim Jakarta yang terkemuka (STIP Jakarta). Dengan menerapkan pendekatan deskriptif kualitatif, penelitian ini secara cermat menganalisis tanggapan survei dari 200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mengurai wawasan halus tentang tingkat pemahaman, motivasi, dan relevansi yang dirasakan terhadap literasi maritim. Temuan ini menerangi beragam tingkat pemahaman di antara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menuntut pendekatan yang adaptif dalam desain kurikulum. Sementara sebagian besar menunjukkan pemahaman dasar, proporsi yang signifikan menunjukkan antusiasme untuk wawasan yang lebih mendalam, terutama dalam bidang khusus seperti hukum maritim dan regulasi lingkungan. Ini menuntut struktur kurikulum modular, yang dapat menampung berbagai tingkat kecakapan, dan kursus elektif untuk memenuhi kepentingan khusus. Faktor motivasional yang mendorong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menuju pendidikan maritim bersifat multifaset. Warisan keluarga, petualangan, dan kesadaran lingkungan yang muncul diidentifikasi sebagai motivator utama. Implikasi untuk konseling karier dan strategi pengembangan sangat dalam, menuntut komunikasi yang ditargetkan kepada keluarga dengan latar belakang maritim dan integrasi tema keberlanjutan ke dalam kurikulum. Pengakuan bulat tentang relevansi literasi maritim di semua jurusan menekankan sifat fundamentalnya.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mengakui literasi sebagai pondasi bagi komunikasi efektif, kepatuhan regulasi, dan kemajuan karier. Pemahaman universal di seluruh disiplin ilmu membuka jalan bagi kurikulum </w:t>
      </w:r>
      <w:r w:rsidRPr="00E26505">
        <w:rPr>
          <w:rFonts w:ascii="Times New Roman" w:eastAsia="Calibri" w:hAnsi="Times New Roman" w:cs="Times New Roman"/>
          <w:i/>
          <w:sz w:val="20"/>
          <w:szCs w:val="20"/>
        </w:rPr>
        <w:lastRenderedPageBreak/>
        <w:t xml:space="preserve">yang kohesif, memastikan integrasi yang mulus dari keterampilan literasi. Selain itu, subset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yang mengakui peran literasi dalam keamanan dan keberlanjutan lingkungan menandakan peluang untuk inisiatif lintas disiplin. Pada intinya, penelitian ini tidak hanya menyempurnakan strategi pendidikan untuk STIP Jakarta tetapi juga memberikan kontribusi pada wacana lebih luas tentang pendidikan maritim secara global. Rekomendasi mengadvokasi untuk adaptabilitas, kolaborasi, dan responsivitas di lembaga pendidikan maritim, mendorong evolusi profesional yang terampil dan pemimpin yang sadar lingkungan untuk masa depan industri maritim.</w:t>
      </w:r>
    </w:p>
    <w:p w:rsidR="00E26505" w:rsidRDefault="00E26505" w:rsidP="00E26505">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E26505" w:rsidRPr="00BC2F62" w:rsidTr="00F96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E26505" w:rsidRPr="00BC2F62" w:rsidRDefault="00E26505" w:rsidP="009E2290">
            <w:pPr>
              <w:autoSpaceDE w:val="0"/>
              <w:autoSpaceDN w:val="0"/>
              <w:adjustRightInd w:val="0"/>
              <w:ind w:left="-105"/>
              <w:jc w:val="both"/>
              <w:rPr>
                <w:rFonts w:ascii="Times New Roman" w:hAnsi="Times New Roman" w:cs="Times New Roman"/>
                <w:b w:val="0"/>
                <w:color w:val="000000" w:themeColor="text1"/>
                <w:sz w:val="20"/>
                <w:szCs w:val="20"/>
              </w:rPr>
            </w:pPr>
            <w:r w:rsidRPr="003D1666">
              <w:rPr>
                <w:rFonts w:ascii="Times New Roman" w:eastAsia="Calibri" w:hAnsi="Times New Roman" w:cs="Times New Roman"/>
                <w:b w:val="0"/>
                <w:i/>
                <w:sz w:val="20"/>
                <w:szCs w:val="20"/>
              </w:rPr>
              <w:t xml:space="preserve">Kata Kunci : </w:t>
            </w:r>
            <w:r w:rsidR="009E2290" w:rsidRPr="009E2290">
              <w:rPr>
                <w:rFonts w:ascii="Times New Roman" w:eastAsia="Calibri" w:hAnsi="Times New Roman" w:cs="Times New Roman"/>
                <w:b w:val="0"/>
                <w:i/>
                <w:sz w:val="20"/>
                <w:szCs w:val="20"/>
                <w:lang w:val="en-US"/>
              </w:rPr>
              <w:t xml:space="preserve">Literasi Maritim, Motivasi </w:t>
            </w:r>
            <w:r w:rsidR="009E2290">
              <w:rPr>
                <w:rFonts w:ascii="Times New Roman" w:eastAsia="Calibri" w:hAnsi="Times New Roman" w:cs="Times New Roman"/>
                <w:b w:val="0"/>
                <w:i/>
                <w:sz w:val="20"/>
                <w:szCs w:val="20"/>
              </w:rPr>
              <w:t>Taruna/i</w:t>
            </w:r>
            <w:r w:rsidR="009E2290" w:rsidRPr="009E2290">
              <w:rPr>
                <w:rFonts w:ascii="Times New Roman" w:eastAsia="Calibri" w:hAnsi="Times New Roman" w:cs="Times New Roman"/>
                <w:b w:val="0"/>
                <w:i/>
                <w:sz w:val="20"/>
                <w:szCs w:val="20"/>
                <w:lang w:val="en-US"/>
              </w:rPr>
              <w:t>, Adaptabilitas Kurikulum, Cakrawala Literasi</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5"/>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bookmarkStart w:id="1" w:name="_GoBack"/>
      <w:r>
        <w:rPr>
          <w:rFonts w:ascii="Times New Roman" w:eastAsia="Calibri" w:hAnsi="Times New Roman" w:cs="Times New Roman"/>
          <w:b/>
          <w:bCs/>
        </w:rPr>
        <w:lastRenderedPageBreak/>
        <w:t>INTRODUCTION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Maritime education, as a distinct and vital field, stands at the nexus of academia and industry, where the intricate blend of theoretical knowledge and practical skills is paramount</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industry","type":"article-journal","volume":"158"},"uris":["http://www.mendeley.com/documents/?uuid=9d3896b5-9d1e-4368-8b0a-57c44f2800a5"]},{"id":"ITEM-2","itemData":{"author":[{"dropping-particle":"","family":"IMO","given":"SOLAS Consolidated Edition","non-dropping-particle":"","parse-names":false,"suffix":""}],"id":"ITEM-2","issued":{"date-parts":[["2018"]]},"publisher":"London","title":"IMO","type":"article"},"uris":["http://www.mendeley.com/documents/?uuid=ba6d2ea0-4ce7-44d2-b172-3aeb98149f50"]}],"mendeley":{"formattedCitation":"[1], [2]","plainTextFormattedCitation":"[1], [2]","previouslyFormattedCitation":"[1], [2]"},"properties":{"noteIndex":0},"schema":"https://github.com/citation-style-language/schema/raw/master/csl-citation.json"}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 [2]</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Among the stalwarts in this domain, the Maritime Institute Jakarta (STIP Jakarta) has emerged as a beacon of excellence, consistently producing a formidable cadre of qualified seafarers and maritime professionals. This research embarks on an exploration of a crucial facet within the educational journey of these maritime aspirants – their interest in maritime literacy during the foundational semester at STIP Jakarta.</w:t>
      </w:r>
    </w:p>
    <w:p w:rsidR="00DA1E36" w:rsidRPr="00DA1E36" w:rsidRDefault="00DA1E36" w:rsidP="00DA1E36">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1.1. </w:t>
      </w:r>
      <w:r w:rsidRPr="00DA1E36">
        <w:rPr>
          <w:rFonts w:ascii="Times New Roman" w:eastAsia="Calibri" w:hAnsi="Times New Roman" w:cs="Times New Roman"/>
          <w:b/>
          <w:bCs/>
          <w:lang w:val="en-ID"/>
        </w:rPr>
        <w:t>Background</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maritime industry, renowned for its dynamic and challenging nature, demands a unique set of competencies from its workforce. The importance of a well-rounded maritime education that encompasses not only technical proficiency but also a comprehensive understanding of maritime literacy cannot be overstated</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BN":"0709935919","author":[{"dropping-particle":"","family":"Mankabady","given":"Samir","non-dropping-particle":"","parse-names":false,"suffix":""}],"id":"ITEM-2","issued":{"date-parts":[["1986"]]},"title":"The International Maritime Organization, Volume 1: International Shipping Rules","type":"book"},"uris":["http://www.mendeley.com/documents/?uuid=1ee38b80-ae6a-4d91-9cdc-bbf281134084"]}],"mendeley":{"formattedCitation":"[1], [3]","plainTextFormattedCitation":"[1], [3]","previouslyFormattedCitation":"[1], [3]"},"properties":{"noteIndex":0},"schema":"https://github.com/citation-style-language/schema/raw/master/csl-citation.json"}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 [3]</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Maritime literacy, in this context, extends beyond the conventional definitions of reading and writing; it encapsulates the ability to comprehend and navigate the complex web of maritime terminology, regulations, and global industry dynamics.</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Maritime Institute Jakarta (STIP Jakarta) has earned its reputation as an institution committed to imparting such holistic education. With an international program spanning three majors – Nautical, Technical, and Port and Shipping Management – the institute has been a crucible for nurturing skilled professionals across diverse facets of the maritime sector. The impetus for this research emanates from the need to discern and comprehend the early inclinations of cadets towards maritime literacy, setting the stage for their academic journey and, ultimately, their professional trajectories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{"citationItems":[{"id":"ITEM-1","itemData":{"author":[{"dropping-particle":"","family":"Chircop","given":"Aldo","non-dropping-particle":"","parse-names":false,"suffix":""}],"id":"ITEM-1","issued":{"date-parts":[["2015"]]},"title":"The international maritime organization","type":"article-journal"},"uris":["http://www.mendeley.com/documents/?uuid=9e0807b3-4d3a-482a-a9e2-6db29df2e8fc"]}],"mendeley":{"formattedCitation":"[4]","plainTextFormattedCitation":"[4]","previouslyFormattedCitation":"[4]"},"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[4]</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p>
    <w:p w:rsidR="00DA1E36" w:rsidRPr="00DA1E36" w:rsidRDefault="00DA1E36" w:rsidP="00DA1E36">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1.2. </w:t>
      </w:r>
      <w:r w:rsidRPr="00DA1E36">
        <w:rPr>
          <w:rFonts w:ascii="Times New Roman" w:eastAsia="Calibri" w:hAnsi="Times New Roman" w:cs="Times New Roman"/>
          <w:b/>
          <w:bCs/>
          <w:lang w:val="en-ID"/>
        </w:rPr>
        <w:t>Needs and Urgency of Research</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Understanding the factors that influence cadets' interest in maritime literacy at the outset of their academic voyage is imperative for several reasons. Firstly, as the maritime industry evolves, so do the expectations placed upon those entering its ranks. A nuanced comprehension of maritime literacy is no longer a desirable trait but a prerequisite for success in this multifaceted field. Thus, an exploration into the attitudes and motivations of cadets towards </w:t>
      </w:r>
      <w:r w:rsidRPr="00DA1E36">
        <w:rPr>
          <w:rFonts w:ascii="Times New Roman" w:eastAsia="Calibri" w:hAnsi="Times New Roman" w:cs="Times New Roman"/>
          <w:bCs/>
          <w:lang w:val="en-ID"/>
        </w:rPr>
        <w:lastRenderedPageBreak/>
        <w:t>maritime literacy is timely and pertinent, ensuring that their educational experience aligns with the evolving demands of the industry</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mendeley":{"formattedCitation":"[1]","plainTextFormattedCitation":"[1]","previouslyFormattedCitation":"[1]"},"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Secondly, the initiation phase of cadet education is pivotal in shaping their perspectives and proclivities. By delving into their nascent encounters with maritime literacy, we gain insights that extend beyond the classroom. These insights can inform educational strategies, curriculum design, and institutional policies, thereby enhancing the overall learning experience for future cohorts of cadets.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Moreover, the urgency is underscored by the potential impact on the individual cadet's journey. A strong foundation in maritime literacy not only augments academic performance but also instils a profound sense of confidence and preparedness as cadets progress through their chosen majors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{"citationItems":[{"id":"ITEM-1","itemData":{"DOI":"10.4324/9780429354953-6","author":[{"dropping-particle":"","family":"Blackburn","given":"Barbara R","non-dropping-particle":"","parse-names":false,"suffix":""},{"dropping-particle":"","family":"Witzel","given":"Bradley S","non-dropping-particle":"","parse-names":false,"suffix":""}],"container-title":"Rigor for Students with Special Needs","id":"ITEM-1","issued":{"date-parts":[["2021"]]},"page":"67-77","publisher":"Eye on Education","title":"Rigorous Literacy Strategies","type":"article"},"uris":["http://www.mendeley.com/documents/?uuid=0bbe7c37-ebf3-4e9a-93ba-7513d387767a"]}],"mendeley":{"formattedCitation":"[5]","plainTextFormattedCitation":"[5]","previouslyFormattedCitation":"[5]"},"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[5]</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Recognising and addressing any gaps or challenges in this early phase ensures a smoother transition into the more specialised and advanced stages of their maritime education.</w:t>
      </w:r>
    </w:p>
    <w:p w:rsidR="00DA1E36" w:rsidRPr="00DA1E36" w:rsidRDefault="00DA1E36" w:rsidP="00DA1E36">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1.3. </w:t>
      </w:r>
      <w:r w:rsidRPr="00DA1E36">
        <w:rPr>
          <w:rFonts w:ascii="Times New Roman" w:eastAsia="Calibri" w:hAnsi="Times New Roman" w:cs="Times New Roman"/>
          <w:b/>
          <w:bCs/>
          <w:lang w:val="en-ID"/>
        </w:rPr>
        <w:t>Literature Review</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burgeoning interest in maritime education has been met with a concomitant surge in scholarly investigations into various facets of this discipline. However, a discernible gap exists in the nuanced exploration of cadets' interest in maritime literacy, particularly during the initial stages of their education. The literature review encapsulates the current state of knowledge in this domain</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{"citationItems":[{"id":"ITEM-1","itemData":{"ISBN":"9382993665","author":[{"dropping-particle":"","family":"Zepetnek","given":"Steven Tötösy","non-dropping-particle":"de","parse-names":false,"suffix":""},{"dropping-particle":"","family":"Mukherjee","given":"Tutun","non-dropping-particle":"","parse-names":false,"suffix":""}],"id":"ITEM-1","issued":{"date-parts":[["2013"]]},"publisher":"Foundation Books","title":"Companion to comparative literature, world literatures, and comparative cultural studies","type":"book"},"uris":["http://www.mendeley.com/documents/?uuid=86e3f017-6a1c-4336-ab0e-a4a3e14f2960"]},{"id":"ITEM-2","itemData":{"ISSN":"2210-6707","author":[{"dropping-particle":"","family":"Bibri","given":"Simon Elias","non-dropping-particle":"","parse-names":false,"suffix":""},{"dropping-particle":"","family":"Krogstie","given":"John","non-dropping-particle":"","parse-names":false,"suffix":""}],"container-title":"Sustainable cities and society","id":"ITEM-2","issued":{"date-parts":[["2017"]]},"page":"183-212","publisher":"Elsevier","title":"Smart sustainable cities of the future: An extensive interdisciplinary literature review","type":"article-journal","volume":"31"},"uris":["http://www.mendeley.com/documents/?uuid=14421e2d-0603-4e9b-b03e-de99ce86ab27"]}],"mendeley":{"formattedCitation":"[6], [7]","plainTextFormattedCitation":"[6], [7]","previouslyFormattedCitation":"[6], [7]"},"properties":{"noteIndex":0},"schema":"https://github.com/citation-style-language/schema/raw/master/csl-citation.json"}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[6], [7]</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While literature abounds on maritime education, a dearth of studies focuses specifically on the cognitive and attitudinal dimensions of cadets towards maritime literacy</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id":"ITEM-2","itemData":{"ISSN":"0018-9545","author":[{"dropping-particle":"","family":"Fang","given":"Sidun","non-dropping-particle":"","parse-names":false,"suffix":""},{"dropping-particle":"","family":"Wang","given":"Yu","non-dropping-particle":"","parse-names":false,"suffix":""},{"dropping-particle":"","family":"Gou","given":"Bin","non-dropping-particle":"","parse-names":false,"suffix":""},{"dropping-particle":"","family":"Xu","given":"Yan","non-dropping-particle":"","parse-names":false,"suffix":""}],"container-title":"IEEE Transactions on Vehicular Technology","id":"ITEM-2","issue":"1","issued":{"date-parts":[["2019"]]},"page":"207-219","publisher":"IEEE","title":"Toward future green maritime transportation: An overview of seaport microgrids and all-electric ships","type":"article-journal","volume":"69"},"uris":["http://www.mendeley.com/documents/?uuid=12bb3460-44ef-4a24-b01a-cfef1b1e416e"]}],"mendeley":{"formattedCitation":"[8], [9]","plainTextFormattedCitation":"[8], [9]","previouslyFormattedCitation":"[8], [9]"},"properties":{"noteIndex":0},"schema":"https://github.com/citation-style-language/schema/raw/master/csl-citation.json"}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[8], [9]</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Existing research tends to pivot around broader topics such as seafarer training, industry demands, and the global maritime landscape. Consequently, there is a notable void in understanding the intricate interplay between a cadet's early educational experiences and their evolving perception of maritime literacy.</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Furthermore, within the limited body of literature that delves into maritime literacy, the emphasis has predominantly been on the technical and regulatory aspects. The psychological and behavioural aspects, which play a pivotal role in shaping a cadet's inclination towards literacy, have received comparatively scant attention. This research seeks to address this gap by delving into the qualitative aspects of cadets' attitudes and </w:t>
      </w:r>
      <w:r w:rsidRPr="00DA1E36">
        <w:rPr>
          <w:rFonts w:ascii="Times New Roman" w:eastAsia="Calibri" w:hAnsi="Times New Roman" w:cs="Times New Roman"/>
          <w:bCs/>
          <w:lang w:val="en-ID"/>
        </w:rPr>
        <w:lastRenderedPageBreak/>
        <w:t>motivations, providing a more holistic understanding of their engagement with maritime literacy.</w:t>
      </w:r>
    </w:p>
    <w:p w:rsidR="00DA1E36" w:rsidRPr="00DA1E36" w:rsidRDefault="009E2290"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00DA1E36" w:rsidRPr="00DA1E36">
        <w:rPr>
          <w:rFonts w:ascii="Times New Roman" w:eastAsia="Calibri" w:hAnsi="Times New Roman" w:cs="Times New Roman"/>
          <w:bCs/>
          <w:lang w:val="en-ID"/>
        </w:rPr>
        <w:t>he synthesis of maritime education and literacy is a critical nexus that warrants careful exploration, especially within the context of institutions like STIP Jakarta. This research, by probing into the initial impressions and predilections of cadets towards maritime literacy, aspires to contribute to the enrichment of pedagogical practices and the formulation of targeted interventions that will resonate throughout their academic and professional odyssey.</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This study adopts a qualitative descriptive approach to unravel the intricate dimensions of cadets' interest in maritime literacy at the Maritime Institute Jakarta (STIP Jakarta). Qualitative research is chosen as it allows for a nuanced exploration of the subjective experiences and perceptions of the participants, in this case, the Semester 1 cadets. The goal is to gain a comprehensive understanding of their attitudes and motivations towards maritime literacy without imposing preconceived categories or frameworks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id":"ITEM-2","itemData":{"ISSN":"0160-6891","author":[{"dropping-particle":"","family":"Kim","given":"Hyejin","non-dropping-particle":"","parse-names":false,"suffix":""},{"dropping-particle":"","family":"Sefcik","given":"Justine S","non-dropping-particle":"","parse-names":false,"suffix":""},{"dropping-particle":"","family":"Bradway","given":"Christine","non-dropping-particle":"","parse-names":false,"suffix":""}],"container-title":"Research in nursing &amp; health","id":"ITEM-2","issue":"1","issued":{"date-parts":[["2017"]]},"page":"23-42","publisher":"Wiley Online Library","title":"Characteristics of qualitative descriptive studies: A systematic review","type":"article-journal","volume":"40"},"uris":["http://www.mendeley.com/documents/?uuid=0c368bf4-8545-4a04-a1e1-a76931f94ef2"]}],"mendeley":{"formattedCitation":"[10], [11]","plainTextFormattedCitation":"[10], [11]","previouslyFormattedCitation":"[10], [11]"},"properties":{"noteIndex":0},"schema":"https://github.com/citation-style-language/schema/raw/master/csl-citation.json"}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[10], [11]</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Pr>
          <w:rFonts w:ascii="Times New Roman" w:eastAsia="Calibri" w:hAnsi="Times New Roman" w:cs="Times New Roman"/>
          <w:bCs/>
        </w:rPr>
        <w:t xml:space="preserve"> </w:t>
      </w:r>
      <w:r w:rsidRPr="00DA1E36">
        <w:rPr>
          <w:rFonts w:ascii="Times New Roman" w:eastAsia="Calibri" w:hAnsi="Times New Roman" w:cs="Times New Roman"/>
          <w:bCs/>
          <w:lang w:val="en-ID"/>
        </w:rPr>
        <w:t>Given the exploratory nature of the research and the need to capture the diverse perspectives of a sizable sample of 200 cadets, a non-intrusive method is deemed most appropriate. The researcher, as the primary instrument, adopts a passive yet observant role, relying on keen observation and document analysis. This approach aligns with the essence of qualitative description, which seeks to provide a detailed account of the studied phenomenon as it naturally occurs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[12]","plainTextFormattedCitation":"[12]","previouslyFormattedCitation":"[12]"},"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[12]</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The data collection process involves distributing carefully crafted surveys to the selected cadets. The survey instrument is designed to elicit responses related to their understanding of maritime literacy, motivations for pursuing maritime education, and perceptions of the relevance of literacy in the maritime context. The survey incorporates open-ended questions to allow cadets to articulate their thoughts freely and provide rich qualitative insights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mendeley":{"formattedCitation":"[13]","plainTextFormattedCitation":"[13]","previouslyFormattedCitation":"[13]"},"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[13]</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Pr>
          <w:rFonts w:ascii="Times New Roman" w:eastAsia="Calibri" w:hAnsi="Times New Roman" w:cs="Times New Roman"/>
          <w:bCs/>
        </w:rPr>
        <w:t xml:space="preserve"> </w:t>
      </w:r>
      <w:r w:rsidRPr="00DA1E36">
        <w:rPr>
          <w:rFonts w:ascii="Times New Roman" w:eastAsia="Calibri" w:hAnsi="Times New Roman" w:cs="Times New Roman"/>
          <w:bCs/>
          <w:lang w:val="en-ID"/>
        </w:rPr>
        <w:t>It is imperative to note that the researcher refrains from direct interviews to preserve the authenticity of the cadets' responses. The absence of direct interaction minimizes the potential for social desirability bias, enabling cadets to express their genuine perspectives on maritime literacy without external influence. The survey methodology, while non-intrusive, is meticulous in its construction, ensuring the elicitation of valid and insightful responses.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Ethical considerations play a pivotal role in this research. The surveys are administered with informed consent, and confidentiality is upheld to </w:t>
      </w:r>
      <w:r w:rsidRPr="00DA1E36">
        <w:rPr>
          <w:rFonts w:ascii="Times New Roman" w:eastAsia="Calibri" w:hAnsi="Times New Roman" w:cs="Times New Roman"/>
          <w:bCs/>
          <w:lang w:val="en-ID"/>
        </w:rPr>
        <w:lastRenderedPageBreak/>
        <w:t>protect the privacy of the participants. Cadets are briefed on the purpose of the study, emphasizing their voluntary participation and the confidential nature of their responses.</w:t>
      </w:r>
      <w:r>
        <w:rPr>
          <w:rFonts w:ascii="Times New Roman" w:eastAsia="Calibri" w:hAnsi="Times New Roman" w:cs="Times New Roman"/>
          <w:bCs/>
        </w:rPr>
        <w:t xml:space="preserve"> </w:t>
      </w:r>
      <w:r w:rsidRPr="00DA1E36">
        <w:rPr>
          <w:rFonts w:ascii="Times New Roman" w:eastAsia="Calibri" w:hAnsi="Times New Roman" w:cs="Times New Roman"/>
          <w:bCs/>
          <w:lang w:val="en-ID"/>
        </w:rPr>
        <w:t>Once the surveys are collected, a rigorous process of thematic analysis is employed. The researcher systematically examines the responses, identifying recurring themes and patterns within the data. This inductive approach allows for the emergence of insights directly from the cadets' perspectives, contributing to the richness and depth of the findings.</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The research method acknowledges its limitations, primarily stemming from the reliance on self-reported data and the absence of real-time interaction</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{"citationItems":[{"id":"ITEM-1","itemData":{"abstract":"The goal of this thesis is to propose a cognitive approach to intertextuality. Intertextuality has attracted the attention of a number of literary scholars interested in discussing the interrelations between literary texts without, however, focusing on how readers create these connections. On the other hand, despite its reader-oriented approach, cognitive poetics has largely neglected the concept.\n\nThis project employs recent developments in the field of cognitive linguistics and cognitive psychology and proposes a multi-layered approach to intertextuality in the light of the principles of cognitive poetics. The main part of the thesis draws on the cognitive notion of frames defined as online processing domains. I propose that readers create intertextual links by combining their background knowledge with textual elements in intertextual frames. Three types of frames are identified: semantic, topical and stylistic. The term 'semantic frame' refers to the more impressionistic links that emerge from the identification of a single lexical item, while the term 'topical frame' refers to more complex constructions built by readers through the identification of multiple textual elements. The term 'stylistic frame' refers to links based on quotation identification or genre similarities. A variety of literary texts will be discussed in order to illustrate how these frames may be created.\n\nThe final part of the thesis is dedicated to the investigation of the relationship between intertextuality and the emotional engagement of readers with literary texts reflecting recent directions in cognitive poetics. This is accompanied with a mixed methods study designed to present empirical data on how readers construct intertextual links and on the effects these have on the reading experience. The overall aim of this project is to provide the foundations and the theoretical point-of-entry for further related research.","author":[{"dropping-particle":"","family":"Panagiotidou","given":"Maria-Eireini","non-dropping-particle":"","parse-names":false,"suffix":""}],"id":"ITEM-1","issued":{"date-parts":[["2012","7","12"]]},"title":"Intertextuality and literary reading: a cognitive poetic approach","type":"article-journal"},"uris":["http://www.mendeley.com/documents/?uuid=9d692cd8-8658-4809-80cb-b73b94af1028"]},{"id":"ITEM-2","itemData":{"ISBN":"1483349845","author":[{"dropping-particle":"","family":"Saldana","given":"Johnny","non-dropping-particle":"","parse-names":false,"suffix":""}],"id":"ITEM-2","issued":{"date-parts":[["2014"]]},"publisher":"SAGE publications","title":"Thinking qualitatively: Methods of mind","type":"book"},"uris":["http://www.mendeley.com/documents/?uuid=53c234ec-5fa1-4059-8187-c24fd1d15999"]}],"mendeley":{"formattedCitation":"[14], [15]","plainTextFormattedCitation":"[14], [15]","previouslyFormattedCitation":"[14], [15]"},"properties":{"noteIndex":0},"schema":"https://github.com/citation-style-language/schema/raw/master/csl-citation.json"}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[14], [15]</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However, within the context of exploring cadets' initial impressions of maritime literacy, this non-intrusive approach serves as a pragmatic and ethical means of gathering valuable insights. As the study progresses, the emphasis remains on the rigorous analysis of the collected data to provide a nuanced and holistic understanding of the cadets' interest in maritime literacy at the Maritime Institute Jakarta.</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investigation into the maritime literacy interest among Semester 1 cadets at Maritime Institute Jakarta (STIP Jakarta) has yielded insightful findings. The research, conducted through a qualitative descriptive approach, focused on understanding cadets' perspectives without direct interviews but through survey responses. The analysis of 200 cadets' feedback revealed nuanced insights into their comprehension, motivations, and perceived relevance of maritime literacy.</w:t>
      </w:r>
    </w:p>
    <w:p w:rsidR="009C6C8A" w:rsidRPr="009C6C8A" w:rsidRDefault="009C6C8A" w:rsidP="009C6C8A">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 Results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A</w:t>
      </w:r>
      <w:r w:rsidR="00DA1E36" w:rsidRPr="00DA1E36">
        <w:rPr>
          <w:rFonts w:ascii="Times New Roman" w:eastAsia="Calibri" w:hAnsi="Times New Roman" w:cs="Times New Roman"/>
          <w:b/>
          <w:bCs/>
          <w:lang w:val="en-ID"/>
        </w:rPr>
        <w:t>. Comprehension of Maritime Literacy:</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survey sought to gauge the cadets' understanding of maritime literacy, encompassing terminology, regulations, and global industry dynamics. The results indicated a varied spectrum of comprehension levels. While a majority exhibited a foundational understanding, with the ability to define basic maritime terms, a notable proportion showcased a more comprehensive grasp</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SN":"0308-597X","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Policy","id":"ITEM-2","issued":{"date-parts":[["2019"]]},"page":"103602","publisher":"Elsevier","title":"Marine policy basis of Indonesia as a maritime state: The importance of integrated economy","type":"article-journal","volume":"108"},"uris":["http://www.mendeley.com/documents/?uuid=5858a9d4-7be7-4dc6-836f-362ff18ae1bc"]}],"mendeley":{"formattedCitation":"[1], [16]","plainTextFormattedCitation":"[1], [16]","previouslyFormattedCitation":"[1], [16]"},"properties":{"noteIndex":0},"schema":"https://github.com/citation-style-language/schema/raw/master/csl-citation.json"}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 [16]</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Interestingly, some cadets expressed an eagerness to delve deeper into niche areas such as maritime law and environmental regulations.</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1: Comprehension Levels of Maritime Literacy</w:t>
      </w:r>
    </w:p>
    <w:tbl>
      <w:tblPr>
        <w:tblW w:w="424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60"/>
        <w:gridCol w:w="1985"/>
      </w:tblGrid>
      <w:tr w:rsidR="00DA1E36" w:rsidRPr="000151F3" w:rsidTr="000151F3">
        <w:trPr>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Comprehension Level</w:t>
            </w:r>
          </w:p>
        </w:tc>
        <w:tc>
          <w:tcPr>
            <w:tcW w:w="1940" w:type="dxa"/>
            <w:tcBorders>
              <w:top w:val="single" w:sz="6"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Percentage of Cadets</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Foundational</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55%</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Comprehensive</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Eagerness for Depth</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15%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The data suggests a diverse range of prior knowledge and interest levels among the cadets, </w:t>
      </w:r>
      <w:r w:rsidRPr="00DA1E36">
        <w:rPr>
          <w:rFonts w:ascii="Times New Roman" w:eastAsia="Calibri" w:hAnsi="Times New Roman" w:cs="Times New Roman"/>
          <w:bCs/>
          <w:lang w:val="en-ID"/>
        </w:rPr>
        <w:lastRenderedPageBreak/>
        <w:t>laying the groundwork for targeted interventions in the curriculum to cater to varied proficiency levels.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B. </w:t>
      </w:r>
      <w:r w:rsidR="00DA1E36" w:rsidRPr="00DA1E36">
        <w:rPr>
          <w:rFonts w:ascii="Times New Roman" w:eastAsia="Calibri" w:hAnsi="Times New Roman" w:cs="Times New Roman"/>
          <w:b/>
          <w:bCs/>
          <w:lang w:val="en-ID"/>
        </w:rPr>
        <w:t>Motivations for Pursuing Maritime Education: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Understanding why cadets chose maritime education proved pivotal. The survey probed into their motivations, revealing multifaceted factors. A significant percentage cited a family legacy in the maritime sector as a primary motivator</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0953-7287","author":[{"dropping-particle":"","family":"Agrifoglio","given":"Rocco","non-dropping-particle":"","parse-names":false,"suffix":""},{"dropping-particle":"","family":"Cannavale","given":"Chiara","non-dropping-particle":"","parse-names":false,"suffix":""},{"dropping-particle":"","family":"Laurenza","given":"Elena","non-dropping-particle":"","parse-names":false,"suffix":""},{"dropping-particle":"","family":"Metallo","given":"Concetta","non-dropping-particle":"","parse-names":false,"suffix":""}],"container-title":"Production Planning &amp; Control","id":"ITEM-1","issue":"16","issued":{"date-parts":[["2017"]]},"page":"1298-1306","publisher":"Taylor &amp; Francis","title":"How emerging digital technologies affect operations management through co-creation. Empirical evidence from the maritime industry","type":"article-journal","volume":"28"},"uris":["http://www.mendeley.com/documents/?uuid=d7242d6a-7457-4727-a569-1e2a7c418628"]}],"mendeley":{"formattedCitation":"[17]","plainTextFormattedCitation":"[17]","previouslyFormattedCitation":"[17]"},"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[17]</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Others emphasised the allure of adventure and the prospect of a global career. A notable finding was the resonance of environmental consciousness, with a subset of cadets expressing a desire to contribute to sustainable maritime practices.</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2: Motivations for Pursuing Maritime Education</w:t>
      </w:r>
    </w:p>
    <w:tbl>
      <w:tblPr>
        <w:tblW w:w="424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60"/>
        <w:gridCol w:w="1985"/>
      </w:tblGrid>
      <w:tr w:rsidR="00DA1E36" w:rsidRPr="000151F3" w:rsidTr="000151F3">
        <w:trPr>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Motivational Factor</w:t>
            </w:r>
          </w:p>
        </w:tc>
        <w:tc>
          <w:tcPr>
            <w:tcW w:w="1940" w:type="dxa"/>
            <w:tcBorders>
              <w:top w:val="single" w:sz="6"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Percentage of Cadets</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Family Legacy</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40%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Adventure and Global Career</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35%</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Environmental Consciousness</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25%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These diverse motivations underline the need for a tailored approach in delivering the curriculum and career counselling, acknowledging the varied aspirations of the cadet cohort.</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C. </w:t>
      </w:r>
      <w:r w:rsidR="00DA1E36" w:rsidRPr="00DA1E36">
        <w:rPr>
          <w:rFonts w:ascii="Times New Roman" w:eastAsia="Calibri" w:hAnsi="Times New Roman" w:cs="Times New Roman"/>
          <w:b/>
          <w:bCs/>
          <w:lang w:val="en-ID"/>
        </w:rPr>
        <w:t>Perceived Relevance of Literacy in the Maritime Context:</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research aimed to discern cadets' perspectives on the practical relevance of maritime literacy. Results demonstrated a unanimous acknowledgment of its importance. The majority perceived literacy as a foundational skill crucial for effective communication onboard, compliance with regulations, and overall career advancement. A subset expressed a nuanced understanding of literacy as a tool for fostering safety and environmental sustainability within the maritime domain.</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3: Perceived Relevance of Maritime Literacy</w:t>
      </w:r>
    </w:p>
    <w:tbl>
      <w:tblPr>
        <w:tblW w:w="424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60"/>
        <w:gridCol w:w="1985"/>
      </w:tblGrid>
      <w:tr w:rsidR="00DA1E36" w:rsidRPr="000151F3" w:rsidTr="000151F3">
        <w:trPr>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Relevance Aspect</w:t>
            </w:r>
          </w:p>
        </w:tc>
        <w:tc>
          <w:tcPr>
            <w:tcW w:w="1940" w:type="dxa"/>
            <w:tcBorders>
              <w:top w:val="single" w:sz="6"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Percentage of Cadets</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 xml:space="preserve">Effective Communication </w:t>
            </w:r>
            <w:r w:rsidR="00E0457A" w:rsidRPr="000151F3">
              <w:rPr>
                <w:rFonts w:ascii="Times New Roman" w:eastAsia="Calibri" w:hAnsi="Times New Roman" w:cs="Times New Roman"/>
                <w:bCs/>
                <w:sz w:val="18"/>
              </w:rPr>
              <w:t>o</w:t>
            </w:r>
            <w:r w:rsidRPr="000151F3">
              <w:rPr>
                <w:rFonts w:ascii="Times New Roman" w:eastAsia="Calibri" w:hAnsi="Times New Roman" w:cs="Times New Roman"/>
                <w:bCs/>
                <w:sz w:val="18"/>
                <w:lang w:val="en-ID"/>
              </w:rPr>
              <w:t>nboard</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65%</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Compliance with Regulations</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20%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Career Advancement</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10%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Safety and Environmental Sustainability</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unanimous recognition of the practical implications of maritime literacy underscores its centrality in the cadets' professional journey.</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D. </w:t>
      </w:r>
      <w:r w:rsidR="00DA1E36" w:rsidRPr="00DA1E36">
        <w:rPr>
          <w:rFonts w:ascii="Times New Roman" w:eastAsia="Calibri" w:hAnsi="Times New Roman" w:cs="Times New Roman"/>
          <w:b/>
          <w:bCs/>
          <w:lang w:val="en-ID"/>
        </w:rPr>
        <w:t xml:space="preserve">Variations </w:t>
      </w:r>
      <w:r w:rsidRPr="00DA1E36">
        <w:rPr>
          <w:rFonts w:ascii="Times New Roman" w:eastAsia="Calibri" w:hAnsi="Times New Roman" w:cs="Times New Roman"/>
          <w:b/>
          <w:bCs/>
          <w:lang w:val="en-ID"/>
        </w:rPr>
        <w:t>across</w:t>
      </w:r>
      <w:r w:rsidR="00DA1E36" w:rsidRPr="00DA1E36">
        <w:rPr>
          <w:rFonts w:ascii="Times New Roman" w:eastAsia="Calibri" w:hAnsi="Times New Roman" w:cs="Times New Roman"/>
          <w:b/>
          <w:bCs/>
          <w:lang w:val="en-ID"/>
        </w:rPr>
        <w:t xml:space="preserve"> Majors: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An intriguing aspect of the findings was the exploration of variations in literacy interest across the three majors offered by STIP Jakarta. While there were subtle differences, no significant disparities were observed. Cadets across Nautical, </w:t>
      </w:r>
      <w:r w:rsidRPr="00DA1E36">
        <w:rPr>
          <w:rFonts w:ascii="Times New Roman" w:eastAsia="Calibri" w:hAnsi="Times New Roman" w:cs="Times New Roman"/>
          <w:bCs/>
          <w:lang w:val="en-ID"/>
        </w:rPr>
        <w:lastRenderedPageBreak/>
        <w:t>Technical, and Port and Shipping Management majors exhibited comparable levels of comprehension, motivations, and perceived relevance of maritime literacy.</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4: Variations in Literacy Interest Across Majors</w:t>
      </w:r>
    </w:p>
    <w:tbl>
      <w:tblPr>
        <w:tblW w:w="424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60"/>
        <w:gridCol w:w="1985"/>
      </w:tblGrid>
      <w:tr w:rsidR="00DA1E36" w:rsidRPr="000151F3" w:rsidTr="000151F3">
        <w:trPr>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Major</w:t>
            </w:r>
          </w:p>
        </w:tc>
        <w:tc>
          <w:tcPr>
            <w:tcW w:w="1940" w:type="dxa"/>
            <w:tcBorders>
              <w:top w:val="single" w:sz="6"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
                <w:bCs/>
                <w:sz w:val="18"/>
                <w:lang w:val="en-ID"/>
              </w:rPr>
            </w:pPr>
            <w:r w:rsidRPr="000151F3">
              <w:rPr>
                <w:rFonts w:ascii="Times New Roman" w:eastAsia="Calibri" w:hAnsi="Times New Roman" w:cs="Times New Roman"/>
                <w:b/>
                <w:bCs/>
                <w:sz w:val="18"/>
                <w:lang w:val="en-ID"/>
              </w:rPr>
              <w:t>Percentage of Cadets with High Interest in Literacy</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Nautical Major</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35%</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Technical Major</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30%</w:t>
            </w:r>
          </w:p>
        </w:tc>
      </w:tr>
      <w:tr w:rsidR="00DA1E36" w:rsidRPr="000151F3" w:rsidTr="000151F3">
        <w:trPr>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F7F7F8"/>
            <w:hideMark/>
          </w:tcPr>
          <w:p w:rsidR="00DA1E36" w:rsidRPr="000151F3" w:rsidRDefault="00DA1E36" w:rsidP="00E0457A">
            <w:pPr>
              <w:autoSpaceDE w:val="0"/>
              <w:autoSpaceDN w:val="0"/>
              <w:adjustRightInd w:val="0"/>
              <w:spacing w:after="0" w:line="240" w:lineRule="auto"/>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Port and Shipping Management Major</w:t>
            </w:r>
          </w:p>
        </w:tc>
        <w:tc>
          <w:tcPr>
            <w:tcW w:w="1940" w:type="dxa"/>
            <w:tcBorders>
              <w:top w:val="single" w:sz="2" w:space="0" w:color="D9D9E3"/>
              <w:left w:val="single" w:sz="6" w:space="0" w:color="D9D9E3"/>
              <w:bottom w:val="single" w:sz="6" w:space="0" w:color="D9D9E3"/>
              <w:right w:val="single" w:sz="6" w:space="0" w:color="D9D9E3"/>
            </w:tcBorders>
            <w:shd w:val="clear" w:color="auto" w:fill="F7F7F8"/>
            <w:hideMark/>
          </w:tcPr>
          <w:p w:rsidR="00DA1E36" w:rsidRPr="000151F3" w:rsidRDefault="00DA1E36" w:rsidP="00E0457A">
            <w:pPr>
              <w:autoSpaceDE w:val="0"/>
              <w:autoSpaceDN w:val="0"/>
              <w:adjustRightInd w:val="0"/>
              <w:spacing w:after="0" w:line="240" w:lineRule="auto"/>
              <w:ind w:firstLine="426"/>
              <w:jc w:val="center"/>
              <w:rPr>
                <w:rFonts w:ascii="Times New Roman" w:eastAsia="Calibri" w:hAnsi="Times New Roman" w:cs="Times New Roman"/>
                <w:bCs/>
                <w:sz w:val="18"/>
                <w:lang w:val="en-ID"/>
              </w:rPr>
            </w:pPr>
            <w:r w:rsidRPr="000151F3">
              <w:rPr>
                <w:rFonts w:ascii="Times New Roman" w:eastAsia="Calibri" w:hAnsi="Times New Roman" w:cs="Times New Roman"/>
                <w:bCs/>
                <w:sz w:val="18"/>
                <w:lang w:val="en-ID"/>
              </w:rPr>
              <w:t>35%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homogeneity in literacy interest across majors suggests a cohesive approach in curriculum development, ensuring a consistent focus on literacy skills irrespective of the chosen specialisation.</w:t>
      </w:r>
      <w:r w:rsidR="00E0457A">
        <w:rPr>
          <w:rFonts w:ascii="Times New Roman" w:eastAsia="Calibri" w:hAnsi="Times New Roman" w:cs="Times New Roman"/>
          <w:bCs/>
        </w:rPr>
        <w:t xml:space="preserve"> </w:t>
      </w:r>
      <w:r>
        <w:rPr>
          <w:rFonts w:ascii="Times New Roman" w:eastAsia="Calibri" w:hAnsi="Times New Roman" w:cs="Times New Roman"/>
          <w:bCs/>
        </w:rPr>
        <w:t xml:space="preserve">The </w:t>
      </w:r>
      <w:r w:rsidRPr="00DA1E36">
        <w:rPr>
          <w:rFonts w:ascii="Times New Roman" w:eastAsia="Calibri" w:hAnsi="Times New Roman" w:cs="Times New Roman"/>
          <w:bCs/>
          <w:lang w:val="en-ID"/>
        </w:rPr>
        <w:t>research has provided a nuanced understanding of maritime literacy interest among Semester 1 cadets at STIP Jakarta. The findings underscore the diversity in comprehension levels, motivations, and perceived relevance of maritime literacy. These insights serve as a foundation for refining educational strategies, shaping curriculum design, and tailoring career counselling initiatives. The research contributes to the broader discourse on maritime education and illuminates avenues for enhancing the academic experience of future cadet cohorts.</w:t>
      </w:r>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 </w:t>
      </w:r>
      <w:r>
        <w:rPr>
          <w:rFonts w:ascii="Times New Roman" w:eastAsia="Calibri" w:hAnsi="Times New Roman" w:cs="Times New Roman"/>
          <w:b/>
          <w:bCs/>
          <w:lang w:val="en-ID"/>
        </w:rPr>
        <w:t>Discussion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findings from this research offer valuable insights into the maritime literacy interest among Semester 1 cadets at Maritime Institute Jakarta (STIP Jakarta). The discussion seeks to contextualise these findings, exploring their implications and providing recommendations for stakeholders in maritime education.</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A</w:t>
      </w:r>
      <w:r w:rsidR="00DA1E36" w:rsidRPr="00DA1E36">
        <w:rPr>
          <w:rFonts w:ascii="Times New Roman" w:eastAsia="Calibri" w:hAnsi="Times New Roman" w:cs="Times New Roman"/>
          <w:b/>
          <w:bCs/>
          <w:lang w:val="en-ID"/>
        </w:rPr>
        <w:t>. Varied Levels of Comprehension: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diverse spectrum of comprehension levels among cadets necessitates a responsive approach in curriculum design. While a majority exhibited foundational understanding, a significant portion expressed an eagerness for in-depth knowledge. This disparity calls for a modular curriculum structure, allowing cadets to progress based on their individual comprehension levels. Additionally, the identification of specific areas of interest, such as maritime law and environmental regulations, suggests opportunities for specialised elective courses or workshops to cater to diverse academic inclinations.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B</w:t>
      </w:r>
      <w:r w:rsidR="00DA1E36" w:rsidRPr="00DA1E36">
        <w:rPr>
          <w:rFonts w:ascii="Times New Roman" w:eastAsia="Calibri" w:hAnsi="Times New Roman" w:cs="Times New Roman"/>
          <w:b/>
          <w:bCs/>
          <w:lang w:val="en-ID"/>
        </w:rPr>
        <w:t>. Motivational Factors: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Understanding the motivations driving cadets towards maritime education is crucial for academic advisors, career counsellors, and curriculum planners. The prevalence of family legacy as a </w:t>
      </w:r>
      <w:r w:rsidRPr="00DA1E36">
        <w:rPr>
          <w:rFonts w:ascii="Times New Roman" w:eastAsia="Calibri" w:hAnsi="Times New Roman" w:cs="Times New Roman"/>
          <w:bCs/>
          <w:lang w:val="en-ID"/>
        </w:rPr>
        <w:lastRenderedPageBreak/>
        <w:t>motivator suggests the need for targeted outreach to families with maritime backgrounds, emphasizing the contemporary and global aspects of maritime careers. Furthermore, acknowledging and integrating environmental consciousness as a motivator calls for the incorporation of sustainability themes across the curriculum, aligning education with evolving societal values.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C.</w:t>
      </w:r>
      <w:r w:rsidR="00DA1E36" w:rsidRPr="00DA1E36">
        <w:rPr>
          <w:rFonts w:ascii="Times New Roman" w:eastAsia="Calibri" w:hAnsi="Times New Roman" w:cs="Times New Roman"/>
          <w:b/>
          <w:bCs/>
          <w:lang w:val="en-ID"/>
        </w:rPr>
        <w:t xml:space="preserve"> Universal Recognition of Literacy's Relevance:</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unanimous recognition of the relevance of maritime literacy across majors is a positive outcome. The emphasis on effective communication, regulatory compliance, and career advancement indicates a holistic understanding of literacy's practical implications. This universal recognition provides a foundation for a cohesive curriculum, ensuring that literacy skills are integrated seamlessly across disciplines. Moreover, the subset of cadets recognising literacy's role in safety and environmental sustainability points towards the potential for interdisciplinary projects and initiatives that foster a holistic approach to maritime challenges.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D. </w:t>
      </w:r>
      <w:r>
        <w:rPr>
          <w:rFonts w:ascii="Times New Roman" w:eastAsia="Calibri" w:hAnsi="Times New Roman" w:cs="Times New Roman"/>
          <w:b/>
          <w:bCs/>
          <w:lang w:val="en-ID"/>
        </w:rPr>
        <w:t>Implications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implications of these findings extend beyond the confines of STIP Jakarta, impacting the broader landscape of maritime education. The identification of varied motivations and comprehension levels underscores the need for a nuanced and personalised approach in educational institutions globally. Recognising literacy as a universal concern highlights the importance of collaborative efforts among maritime educators to standardise and enhance literacy curricula across institutions.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Moreover, the research emphasises the imperative of staying attuned to societal shifts. The acknowledgment of environmental consciousness as a motivator and the recognition of literacy's role in sustainability signal an evolving paradigm in maritime education. Institutions globally must respond by integrating environmental themes and sustainability principles into their curricula to produce graduates who are not only proficient professionals but also environmentally conscious global citizens.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E. </w:t>
      </w:r>
      <w:r w:rsidR="00DA1E36" w:rsidRPr="00DA1E36">
        <w:rPr>
          <w:rFonts w:ascii="Times New Roman" w:eastAsia="Calibri" w:hAnsi="Times New Roman" w:cs="Times New Roman"/>
          <w:b/>
          <w:bCs/>
          <w:lang w:val="en-ID"/>
        </w:rPr>
        <w:t>Recommendations:</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Curriculum Refinement:</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Develop a modular curriculum that caters to varying levels of comprehension.</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Introduce specialised elective courses or workshops to address specific areas of interest identified by cadets.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lastRenderedPageBreak/>
        <w:t>Ensure interdisciplinary projects that foster a holistic approach to maritime challenges.</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Career Counselling:</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Tailor outreach efforts to families with maritime backgrounds, showcasing the contemporary and global aspects of maritime careers.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Emphasise the diverse career opportunities within the maritime sector to align with varied cadet motivations.</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Environmental Integration:</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Integrate sustainability themes across the curriculum to align with the increasing importance of environmental consciousness.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Foster interdisciplinary initiatives that highlight the role of literacy in promoting safety and environmental sustainability.</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Collaborative Initiatives: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Establish forums for collaboration among maritime education institutions to standardise and enhance literacy curricula.</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Share best practices and insights to collectively advance the quality of maritime education globally.</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 xml:space="preserve">The </w:t>
      </w:r>
      <w:r w:rsidRPr="00DA1E36">
        <w:rPr>
          <w:rFonts w:ascii="Times New Roman" w:eastAsia="Calibri" w:hAnsi="Times New Roman" w:cs="Times New Roman"/>
          <w:bCs/>
          <w:lang w:val="en-ID"/>
        </w:rPr>
        <w:t>research on maritime literacy interest among Semester 1 cadets at STIP Jakarta provides valuable insights that extend beyond the institution. The findings necessitate adaptive and responsive approaches in curriculum design, career counselling, and environmental integration. By recognising the varied motivations and comprehension levels, stakeholders in maritime education can enhance the academic experience for cadets, preparing them not only as proficient professionals but also as adaptable and environmentally conscious contributors to the maritime industry. This research contributes to the ongoing dialogue on maritime education and sets the stage for collaborative efforts to shape the future of maritime literacy.</w:t>
      </w:r>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In the culmination of this research endeavour, a comprehensive understanding of maritime literacy interest among Semester 1 cadets at Maritime Institute Jakarta (STIP Jakarta) has been achieved. The insights garnered through a qualitative descriptive approach, surveying 200 cadets, illuminate crucial aspects of comprehension levels, motivations, and the perceived relevance of maritime literacy. The conclusion drawn from these findings not only encapsulates the immediate implications for STIP Jakarta but also reverberates </w:t>
      </w:r>
      <w:r w:rsidRPr="00DA1E36">
        <w:rPr>
          <w:rFonts w:ascii="Times New Roman" w:eastAsia="Calibri" w:hAnsi="Times New Roman" w:cs="Times New Roman"/>
          <w:bCs/>
          <w:lang w:val="en-ID"/>
        </w:rPr>
        <w:lastRenderedPageBreak/>
        <w:t>across the broader spectrum of maritime education globally.</w:t>
      </w:r>
      <w:r w:rsidR="009C6C8A">
        <w:rPr>
          <w:rFonts w:ascii="Times New Roman" w:eastAsia="Calibri" w:hAnsi="Times New Roman" w:cs="Times New Roman"/>
          <w:bCs/>
        </w:rPr>
        <w:t xml:space="preserve"> </w:t>
      </w:r>
      <w:r w:rsidRPr="00DA1E36">
        <w:rPr>
          <w:rFonts w:ascii="Times New Roman" w:eastAsia="Calibri" w:hAnsi="Times New Roman" w:cs="Times New Roman"/>
          <w:bCs/>
          <w:lang w:val="en-ID"/>
        </w:rPr>
        <w:t>The variegated levels of comprehension identified among cadets emphasise the necessity for a flexible and adaptive curriculum structure. Recognising that cadets possess diverse foundational knowledge underscores the importance of tailoring educational approaches to accommodate this diversity. Modular curricula, elective courses, and specialised workshops are recommended to address the distinct comprehension levels and cater to individual academic inclinations. This ensures that the academic journey is not only uniform but also attuned to the unique needs and aspirations of each cadet.</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Motivational factors, such as family legacy, adventure, and environmental consciousness, surfaced as significant influencers guiding cadets towards maritime education. These findings hold implications for career counselling and outreach efforts. Acknowledging the familial ties to the maritime sector suggests the need for targeted communication to families, emphasising the contemporary and global facets of maritime careers. The recognition of environmental consciousness as a motivator underscores the importance of aligning maritime education with evolving societal values, fostering environmentally conscious professionals for the maritime industry.</w:t>
      </w:r>
    </w:p>
    <w:p w:rsidR="00DA1E36" w:rsidRPr="00DA1E36" w:rsidRDefault="00DA1E36" w:rsidP="009C6C8A">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unanimous acknowledgment of the relevance of maritime literacy across majors is a unifying theme with profound implications. The consensus among cadets regarding the practical implications of literacy in effective communication, regulatory compliance, and career advancement establishes literacy as a foundational skill. This universal recognition paves the way for a cohesive curriculum, ensuring that literacy skills are seamlessly integrated across disciplines. Moreover, the subset of cadets who recognise literacy's role in safety and environmental sustainability highlights the potential for interdisciplinary initiatives that address broader maritime challenges.</w:t>
      </w:r>
      <w:r w:rsidR="009C6C8A">
        <w:rPr>
          <w:rFonts w:ascii="Times New Roman" w:eastAsia="Calibri" w:hAnsi="Times New Roman" w:cs="Times New Roman"/>
          <w:bCs/>
        </w:rPr>
        <w:t xml:space="preserve"> T</w:t>
      </w:r>
      <w:r w:rsidRPr="00DA1E36">
        <w:rPr>
          <w:rFonts w:ascii="Times New Roman" w:eastAsia="Calibri" w:hAnsi="Times New Roman" w:cs="Times New Roman"/>
          <w:bCs/>
          <w:lang w:val="en-ID"/>
        </w:rPr>
        <w:t>he research not only provides actionable insights for STIP Jakarta in refining its educational strategies but also contributes to the broader discourse on maritime education. The recommendations stemming from the findings advocate for adaptability, collaboration, and responsiveness within maritime education institutions globally. By embracing these insights, the maritime education landscape can evolve to produce not only proficient maritime professionals but also resilient and environmentally conscious leaders for the future of the maritime industry.</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9E2290">
        <w:rPr>
          <w:rFonts w:ascii="Times New Roman" w:hAnsi="Times New Roman" w:cs="Times New Roman"/>
          <w:noProof/>
          <w:szCs w:val="24"/>
        </w:rPr>
        <w:t>[1]</w:t>
      </w:r>
      <w:r w:rsidRPr="009E2290">
        <w:rPr>
          <w:rFonts w:ascii="Times New Roman" w:hAnsi="Times New Roman" w:cs="Times New Roman"/>
          <w:noProof/>
          <w:szCs w:val="24"/>
        </w:rPr>
        <w:tab/>
        <w:t xml:space="preserve">K. Cicek, E. Akyuz, and M. Celik, “Future skills requirements analysis in maritime </w:t>
      </w:r>
      <w:r w:rsidRPr="009E2290">
        <w:rPr>
          <w:rFonts w:ascii="Times New Roman" w:hAnsi="Times New Roman" w:cs="Times New Roman"/>
          <w:noProof/>
          <w:szCs w:val="24"/>
        </w:rPr>
        <w:lastRenderedPageBreak/>
        <w:t xml:space="preserve">industry,” </w:t>
      </w:r>
      <w:r w:rsidRPr="009E2290">
        <w:rPr>
          <w:rFonts w:ascii="Times New Roman" w:hAnsi="Times New Roman" w:cs="Times New Roman"/>
          <w:i/>
          <w:iCs/>
          <w:noProof/>
          <w:szCs w:val="24"/>
        </w:rPr>
        <w:t>Procedia Comput. Sci.</w:t>
      </w:r>
      <w:r w:rsidRPr="009E2290">
        <w:rPr>
          <w:rFonts w:ascii="Times New Roman" w:hAnsi="Times New Roman" w:cs="Times New Roman"/>
          <w:noProof/>
          <w:szCs w:val="24"/>
        </w:rPr>
        <w:t>, vol. 158, pp. 270–274,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[2]</w:t>
      </w:r>
      <w:r w:rsidRPr="009E2290">
        <w:rPr>
          <w:rFonts w:ascii="Times New Roman" w:hAnsi="Times New Roman" w:cs="Times New Roman"/>
          <w:noProof/>
          <w:szCs w:val="24"/>
        </w:rPr>
        <w:tab/>
        <w:t>S. C. E. IMO, “IMO.” London, 2018.</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[3]</w:t>
      </w:r>
      <w:r w:rsidRPr="009E2290">
        <w:rPr>
          <w:rFonts w:ascii="Times New Roman" w:hAnsi="Times New Roman" w:cs="Times New Roman"/>
          <w:noProof/>
          <w:szCs w:val="24"/>
        </w:rPr>
        <w:tab/>
        <w:t xml:space="preserve">S. Mankabady, </w:t>
      </w:r>
      <w:r w:rsidRPr="009E2290">
        <w:rPr>
          <w:rFonts w:ascii="Times New Roman" w:hAnsi="Times New Roman" w:cs="Times New Roman"/>
          <w:i/>
          <w:iCs/>
          <w:noProof/>
          <w:szCs w:val="24"/>
        </w:rPr>
        <w:t>The International Maritime Organization, Volume 1: International Shipping Rules</w:t>
      </w:r>
      <w:r w:rsidRPr="009E2290">
        <w:rPr>
          <w:rFonts w:ascii="Times New Roman" w:hAnsi="Times New Roman" w:cs="Times New Roman"/>
          <w:noProof/>
          <w:szCs w:val="24"/>
        </w:rPr>
        <w:t>. 1986.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[4]</w:t>
      </w:r>
      <w:r w:rsidRPr="009E2290">
        <w:rPr>
          <w:rFonts w:ascii="Times New Roman" w:hAnsi="Times New Roman" w:cs="Times New Roman"/>
          <w:noProof/>
          <w:szCs w:val="24"/>
        </w:rPr>
        <w:tab/>
        <w:t>A. Chircop, “The international maritime organization,” 2015.</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[5]</w:t>
      </w:r>
      <w:r w:rsidRPr="009E2290">
        <w:rPr>
          <w:rFonts w:ascii="Times New Roman" w:hAnsi="Times New Roman" w:cs="Times New Roman"/>
          <w:noProof/>
          <w:szCs w:val="24"/>
        </w:rPr>
        <w:tab/>
        <w:t xml:space="preserve">B. R. Blackburn and B. S. Witzel, “Rigorous Literacy Strategies,” </w:t>
      </w:r>
      <w:r w:rsidRPr="009E2290">
        <w:rPr>
          <w:rFonts w:ascii="Times New Roman" w:hAnsi="Times New Roman" w:cs="Times New Roman"/>
          <w:i/>
          <w:iCs/>
          <w:noProof/>
          <w:szCs w:val="24"/>
        </w:rPr>
        <w:t>Rigor for Students with Special Needs</w:t>
      </w:r>
      <w:r w:rsidRPr="009E2290">
        <w:rPr>
          <w:rFonts w:ascii="Times New Roman" w:hAnsi="Times New Roman" w:cs="Times New Roman"/>
          <w:noProof/>
          <w:szCs w:val="24"/>
        </w:rPr>
        <w:t>. Eye on Education, pp. 67–77, 2021. doi: 10.4324/9780429354953-6.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[6]</w:t>
      </w:r>
      <w:r w:rsidRPr="009E2290">
        <w:rPr>
          <w:rFonts w:ascii="Times New Roman" w:hAnsi="Times New Roman" w:cs="Times New Roman"/>
          <w:noProof/>
          <w:szCs w:val="24"/>
        </w:rPr>
        <w:tab/>
        <w:t xml:space="preserve">S. T. de Zepetnek and T. Mukherjee, </w:t>
      </w:r>
      <w:r w:rsidRPr="009E2290">
        <w:rPr>
          <w:rFonts w:ascii="Times New Roman" w:hAnsi="Times New Roman" w:cs="Times New Roman"/>
          <w:i/>
          <w:iCs/>
          <w:noProof/>
          <w:szCs w:val="24"/>
        </w:rPr>
        <w:t>Companion to comparative literature, world literatures, and comparative cultural studies</w:t>
      </w:r>
      <w:r w:rsidRPr="009E2290">
        <w:rPr>
          <w:rFonts w:ascii="Times New Roman" w:hAnsi="Times New Roman" w:cs="Times New Roman"/>
          <w:noProof/>
          <w:szCs w:val="24"/>
        </w:rPr>
        <w:t>. Foundation Books, 2013.</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[7]</w:t>
      </w:r>
      <w:r w:rsidRPr="009E2290">
        <w:rPr>
          <w:rFonts w:ascii="Times New Roman" w:hAnsi="Times New Roman" w:cs="Times New Roman"/>
          <w:noProof/>
          <w:szCs w:val="24"/>
        </w:rPr>
        <w:tab/>
        <w:t xml:space="preserve">S. E. Bibri and J. Krogstie, “Smart sustainable cities of the future: An extensive interdisciplinary literature review,” </w:t>
      </w:r>
      <w:r w:rsidRPr="009E2290">
        <w:rPr>
          <w:rFonts w:ascii="Times New Roman" w:hAnsi="Times New Roman" w:cs="Times New Roman"/>
          <w:i/>
          <w:iCs/>
          <w:noProof/>
          <w:szCs w:val="24"/>
        </w:rPr>
        <w:t>Sustain. cities Soc.</w:t>
      </w:r>
      <w:r w:rsidRPr="009E2290">
        <w:rPr>
          <w:rFonts w:ascii="Times New Roman" w:hAnsi="Times New Roman" w:cs="Times New Roman"/>
          <w:noProof/>
          <w:szCs w:val="24"/>
        </w:rPr>
        <w:t>, vol. 31, pp. 183–212, 2017.</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[8]</w:t>
      </w:r>
      <w:r w:rsidRPr="009E2290">
        <w:rPr>
          <w:rFonts w:ascii="Times New Roman" w:hAnsi="Times New Roman" w:cs="Times New Roman"/>
          <w:noProof/>
          <w:szCs w:val="24"/>
        </w:rPr>
        <w:tab/>
        <w:t xml:space="preserve">R. Balkin, “The international maritime organization and maritime security,” </w:t>
      </w:r>
      <w:r w:rsidRPr="009E2290">
        <w:rPr>
          <w:rFonts w:ascii="Times New Roman" w:hAnsi="Times New Roman" w:cs="Times New Roman"/>
          <w:i/>
          <w:iCs/>
          <w:noProof/>
          <w:szCs w:val="24"/>
        </w:rPr>
        <w:t>Tul. Mar. LJ</w:t>
      </w:r>
      <w:r w:rsidRPr="009E2290">
        <w:rPr>
          <w:rFonts w:ascii="Times New Roman" w:hAnsi="Times New Roman" w:cs="Times New Roman"/>
          <w:noProof/>
          <w:szCs w:val="24"/>
        </w:rPr>
        <w:t>, vol. 30, p. 1, 2006.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[9]</w:t>
      </w:r>
      <w:r w:rsidRPr="009E2290">
        <w:rPr>
          <w:rFonts w:ascii="Times New Roman" w:hAnsi="Times New Roman" w:cs="Times New Roman"/>
          <w:noProof/>
          <w:szCs w:val="24"/>
        </w:rPr>
        <w:tab/>
        <w:t xml:space="preserve">S. Fang, Y. Wang, B. Gou, and Y. Xu, “Toward future green maritime transportation: An overview of seaport microgrids and all-electric ships,” </w:t>
      </w:r>
      <w:r w:rsidRPr="009E2290">
        <w:rPr>
          <w:rFonts w:ascii="Times New Roman" w:hAnsi="Times New Roman" w:cs="Times New Roman"/>
          <w:i/>
          <w:iCs/>
          <w:noProof/>
          <w:szCs w:val="24"/>
        </w:rPr>
        <w:t>IEEE Trans. Veh. Technol.</w:t>
      </w:r>
      <w:r w:rsidRPr="009E2290">
        <w:rPr>
          <w:rFonts w:ascii="Times New Roman" w:hAnsi="Times New Roman" w:cs="Times New Roman"/>
          <w:noProof/>
          <w:szCs w:val="24"/>
        </w:rPr>
        <w:t>, vol. 69, no. 1, pp. 207–219,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[10]</w:t>
      </w:r>
      <w:r w:rsidRPr="009E2290">
        <w:rPr>
          <w:rFonts w:ascii="Times New Roman" w:hAnsi="Times New Roman" w:cs="Times New Roman"/>
          <w:noProof/>
          <w:szCs w:val="24"/>
        </w:rPr>
        <w:tab/>
        <w:t xml:space="preserve">J. Katz, “A theory of qualitative methodology: The social system of analytic fieldwork,” </w:t>
      </w:r>
      <w:r w:rsidRPr="009E2290">
        <w:rPr>
          <w:rFonts w:ascii="Times New Roman" w:hAnsi="Times New Roman" w:cs="Times New Roman"/>
          <w:i/>
          <w:iCs/>
          <w:noProof/>
          <w:szCs w:val="24"/>
        </w:rPr>
        <w:t>Méthod s African Rev. Soc. Sci. Methodol.</w:t>
      </w:r>
      <w:r w:rsidRPr="009E2290">
        <w:rPr>
          <w:rFonts w:ascii="Times New Roman" w:hAnsi="Times New Roman" w:cs="Times New Roman"/>
          <w:noProof/>
          <w:szCs w:val="24"/>
        </w:rPr>
        <w:t>, vol. 1, no. 1–2, pp. 131–146, 2015.</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[11]</w:t>
      </w:r>
      <w:r w:rsidRPr="009E2290">
        <w:rPr>
          <w:rFonts w:ascii="Times New Roman" w:hAnsi="Times New Roman" w:cs="Times New Roman"/>
          <w:noProof/>
          <w:szCs w:val="24"/>
        </w:rPr>
        <w:tab/>
        <w:t xml:space="preserve">H. Kim, J. S. Sefcik, and C. Bradway, “Characteristics of qualitative descriptive studies: A systematic review,” </w:t>
      </w:r>
      <w:r w:rsidRPr="009E2290">
        <w:rPr>
          <w:rFonts w:ascii="Times New Roman" w:hAnsi="Times New Roman" w:cs="Times New Roman"/>
          <w:i/>
          <w:iCs/>
          <w:noProof/>
          <w:szCs w:val="24"/>
        </w:rPr>
        <w:t>Res. Nurs. Health</w:t>
      </w:r>
      <w:r w:rsidRPr="009E2290">
        <w:rPr>
          <w:rFonts w:ascii="Times New Roman" w:hAnsi="Times New Roman" w:cs="Times New Roman"/>
          <w:noProof/>
          <w:szCs w:val="24"/>
        </w:rPr>
        <w:t>, vol. 40, no. 1, pp. 23–42, 2017.</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[12]</w:t>
      </w:r>
      <w:r w:rsidRPr="009E2290">
        <w:rPr>
          <w:rFonts w:ascii="Times New Roman" w:hAnsi="Times New Roman" w:cs="Times New Roman"/>
          <w:noProof/>
          <w:szCs w:val="24"/>
        </w:rPr>
        <w:tab/>
        <w:t xml:space="preserve">D. K. Padgett, </w:t>
      </w:r>
      <w:r w:rsidRPr="009E2290">
        <w:rPr>
          <w:rFonts w:ascii="Times New Roman" w:hAnsi="Times New Roman" w:cs="Times New Roman"/>
          <w:i/>
          <w:iCs/>
          <w:noProof/>
          <w:szCs w:val="24"/>
        </w:rPr>
        <w:t>Qualitative methods in social work research</w:t>
      </w:r>
      <w:r w:rsidRPr="009E2290">
        <w:rPr>
          <w:rFonts w:ascii="Times New Roman" w:hAnsi="Times New Roman" w:cs="Times New Roman"/>
          <w:noProof/>
          <w:szCs w:val="24"/>
        </w:rPr>
        <w:t>, vol. 36. Sage publications, 2016.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[13]</w:t>
      </w:r>
      <w:r w:rsidRPr="009E2290">
        <w:rPr>
          <w:rFonts w:ascii="Times New Roman" w:hAnsi="Times New Roman" w:cs="Times New Roman"/>
          <w:noProof/>
          <w:szCs w:val="24"/>
        </w:rPr>
        <w:tab/>
        <w:t xml:space="preserve">S. B. Merriam and R. S. Grenier, </w:t>
      </w:r>
      <w:r w:rsidRPr="009E2290">
        <w:rPr>
          <w:rFonts w:ascii="Times New Roman" w:hAnsi="Times New Roman" w:cs="Times New Roman"/>
          <w:i/>
          <w:iCs/>
          <w:noProof/>
          <w:szCs w:val="24"/>
        </w:rPr>
        <w:t>Qualitative research in practice: Examples for discussion and analysis</w:t>
      </w:r>
      <w:r w:rsidRPr="009E2290">
        <w:rPr>
          <w:rFonts w:ascii="Times New Roman" w:hAnsi="Times New Roman" w:cs="Times New Roman"/>
          <w:noProof/>
          <w:szCs w:val="24"/>
        </w:rPr>
        <w:t>. John Wiley &amp; Sons,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[14]</w:t>
      </w:r>
      <w:r w:rsidRPr="009E2290">
        <w:rPr>
          <w:rFonts w:ascii="Times New Roman" w:hAnsi="Times New Roman" w:cs="Times New Roman"/>
          <w:noProof/>
          <w:szCs w:val="24"/>
        </w:rPr>
        <w:tab/>
        <w:t>M.-E. Panagiotidou, “Intertextuality and literary reading: a cognitive poetic approach,” Jul. 2012.</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[15]</w:t>
      </w:r>
      <w:r w:rsidRPr="009E2290">
        <w:rPr>
          <w:rFonts w:ascii="Times New Roman" w:hAnsi="Times New Roman" w:cs="Times New Roman"/>
          <w:noProof/>
          <w:szCs w:val="24"/>
        </w:rPr>
        <w:tab/>
        <w:t xml:space="preserve">J. Saldana, </w:t>
      </w:r>
      <w:r w:rsidRPr="009E2290">
        <w:rPr>
          <w:rFonts w:ascii="Times New Roman" w:hAnsi="Times New Roman" w:cs="Times New Roman"/>
          <w:i/>
          <w:iCs/>
          <w:noProof/>
          <w:szCs w:val="24"/>
        </w:rPr>
        <w:t>Thinking qualitatively: Methods of mind</w:t>
      </w:r>
      <w:r w:rsidRPr="009E2290">
        <w:rPr>
          <w:rFonts w:ascii="Times New Roman" w:hAnsi="Times New Roman" w:cs="Times New Roman"/>
          <w:noProof/>
          <w:szCs w:val="24"/>
        </w:rPr>
        <w:t>. SAGE publications, 2014.</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[16]</w:t>
      </w:r>
      <w:r w:rsidRPr="009E2290">
        <w:rPr>
          <w:rFonts w:ascii="Times New Roman" w:hAnsi="Times New Roman" w:cs="Times New Roman"/>
          <w:noProof/>
          <w:szCs w:val="24"/>
        </w:rPr>
        <w:tab/>
        <w:t xml:space="preserve">Y. Rochwulaningsih, S. T. Sulistiyono, N. N. Masruroh, and N. N. Maulany, “Marine policy basis of Indonesia as a maritime state: The importance of integrated economy,” </w:t>
      </w:r>
      <w:r w:rsidRPr="009E2290">
        <w:rPr>
          <w:rFonts w:ascii="Times New Roman" w:hAnsi="Times New Roman" w:cs="Times New Roman"/>
          <w:i/>
          <w:iCs/>
          <w:noProof/>
          <w:szCs w:val="24"/>
        </w:rPr>
        <w:t>Mar. Policy</w:t>
      </w:r>
      <w:r w:rsidRPr="009E2290">
        <w:rPr>
          <w:rFonts w:ascii="Times New Roman" w:hAnsi="Times New Roman" w:cs="Times New Roman"/>
          <w:noProof/>
          <w:szCs w:val="24"/>
        </w:rPr>
        <w:t>, vol. 108, p. 103602,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rPr>
      </w:pPr>
      <w:r w:rsidRPr="009E2290">
        <w:rPr>
          <w:rFonts w:ascii="Times New Roman" w:hAnsi="Times New Roman" w:cs="Times New Roman"/>
          <w:noProof/>
          <w:szCs w:val="24"/>
        </w:rPr>
        <w:t>[17]</w:t>
      </w:r>
      <w:r w:rsidRPr="009E2290">
        <w:rPr>
          <w:rFonts w:ascii="Times New Roman" w:hAnsi="Times New Roman" w:cs="Times New Roman"/>
          <w:noProof/>
          <w:szCs w:val="24"/>
        </w:rPr>
        <w:tab/>
        <w:t xml:space="preserve">R. Agrifoglio, C. Cannavale, E. Laurenza, </w:t>
      </w:r>
      <w:r w:rsidRPr="009E2290">
        <w:rPr>
          <w:rFonts w:ascii="Times New Roman" w:hAnsi="Times New Roman" w:cs="Times New Roman"/>
          <w:noProof/>
          <w:szCs w:val="24"/>
        </w:rPr>
        <w:lastRenderedPageBreak/>
        <w:t xml:space="preserve">and C. Metallo, “How emerging digital technologies affect operations management through co-creation. Empirical evidence from the maritime industry,” </w:t>
      </w:r>
      <w:r w:rsidRPr="009E2290">
        <w:rPr>
          <w:rFonts w:ascii="Times New Roman" w:hAnsi="Times New Roman" w:cs="Times New Roman"/>
          <w:i/>
          <w:iCs/>
          <w:noProof/>
          <w:szCs w:val="24"/>
        </w:rPr>
        <w:t xml:space="preserve">Prod. Plan. </w:t>
      </w:r>
      <w:r w:rsidRPr="009E2290">
        <w:rPr>
          <w:rFonts w:ascii="Times New Roman" w:hAnsi="Times New Roman" w:cs="Times New Roman"/>
          <w:i/>
          <w:iCs/>
          <w:noProof/>
          <w:szCs w:val="24"/>
        </w:rPr>
        <w:lastRenderedPageBreak/>
        <w:t>Control</w:t>
      </w:r>
      <w:r w:rsidRPr="009E2290">
        <w:rPr>
          <w:rFonts w:ascii="Times New Roman" w:hAnsi="Times New Roman" w:cs="Times New Roman"/>
          <w:noProof/>
          <w:szCs w:val="24"/>
        </w:rPr>
        <w:t>, vol. 28, no. 16, pp. 1298–1306, 2017.</w:t>
      </w:r>
    </w:p>
    <w:p w:rsidR="00B6161E" w:rsidRDefault="009E2290" w:rsidP="00F5577B">
      <w:pPr>
        <w:autoSpaceDE w:val="0"/>
        <w:autoSpaceDN w:val="0"/>
        <w:adjustRightInd w:val="0"/>
        <w:spacing w:after="0" w:line="240" w:lineRule="auto"/>
        <w:rPr>
          <w:rFonts w:ascii="Times New Roman" w:eastAsia="Calibri" w:hAnsi="Times New Roman" w:cs="Times New Roman"/>
          <w:b/>
          <w:bCs/>
          <w:lang w:val="en-US"/>
        </w:rPr>
        <w:sectPr w:rsidR="00B6161E" w:rsidSect="00B6161E">
          <w:type w:val="continuous"/>
          <w:pgSz w:w="11906" w:h="16838"/>
          <w:pgMar w:top="1134" w:right="1134" w:bottom="1134" w:left="1134" w:header="709" w:footer="709" w:gutter="0"/>
          <w:cols w:num="2" w:space="454"/>
          <w:docGrid w:linePitch="360"/>
        </w:sectPr>
      </w:pPr>
      <w:r>
        <w:rPr>
          <w:rFonts w:ascii="Times New Roman" w:eastAsia="Calibri" w:hAnsi="Times New Roman" w:cs="Times New Roman"/>
          <w:b/>
          <w:bCs/>
          <w:lang w:val="en-US"/>
        </w:rPr>
        <w:fldChar w:fldCharType="end"/>
      </w:r>
      <w:bookmarkEnd w:id="1"/>
    </w:p>
    <w:p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sectPr w:rsidR="00F5577B" w:rsidRPr="00B53B02" w:rsidSect="001E325F">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5B2" w:rsidRDefault="006965B2" w:rsidP="00BD3DF2">
      <w:pPr>
        <w:spacing w:after="0" w:line="240" w:lineRule="auto"/>
      </w:pPr>
      <w:r>
        <w:separator/>
      </w:r>
    </w:p>
  </w:endnote>
  <w:endnote w:type="continuationSeparator" w:id="0">
    <w:p w:rsidR="006965B2" w:rsidRDefault="006965B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6161E">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5B2" w:rsidRDefault="006965B2" w:rsidP="00BD3DF2">
      <w:pPr>
        <w:spacing w:after="0" w:line="240" w:lineRule="auto"/>
      </w:pPr>
      <w:r>
        <w:separator/>
      </w:r>
    </w:p>
  </w:footnote>
  <w:footnote w:type="continuationSeparator" w:id="0">
    <w:p w:rsidR="006965B2" w:rsidRDefault="006965B2"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B2834"/>
    <w:rsid w:val="000C17E4"/>
    <w:rsid w:val="000C31DF"/>
    <w:rsid w:val="000C5A7E"/>
    <w:rsid w:val="000C6E91"/>
    <w:rsid w:val="000D0AC6"/>
    <w:rsid w:val="000E5FB5"/>
    <w:rsid w:val="000E6927"/>
    <w:rsid w:val="001221B0"/>
    <w:rsid w:val="0014123F"/>
    <w:rsid w:val="00166D83"/>
    <w:rsid w:val="00167ABC"/>
    <w:rsid w:val="001807B9"/>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6161E"/>
    <w:rsid w:val="00B71E3A"/>
    <w:rsid w:val="00B81A52"/>
    <w:rsid w:val="00B81D9E"/>
    <w:rsid w:val="00BA1FD2"/>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dakirkir99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ri.saj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de.sijaba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yoniessasis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67683A-5907-4CF3-9A1A-AD70F03D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7046</Words>
  <Characters>40163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7</cp:revision>
  <cp:lastPrinted>2019-05-24T02:53:00Z</cp:lastPrinted>
  <dcterms:created xsi:type="dcterms:W3CDTF">2023-12-22T10:47:00Z</dcterms:created>
  <dcterms:modified xsi:type="dcterms:W3CDTF">2023-12-22T11:15:00Z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