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p w:rsidR="0067485F" w:rsidRDefault="0067485F" w:rsidP="00B621A6">
      <w:pPr>
        <w:autoSpaceDE w:val="0"/>
        <w:autoSpaceDN w:val="0"/>
        <w:adjustRightInd w:val="0"/>
        <w:spacing w:after="0" w:line="240" w:lineRule="auto"/>
        <w:jc w:val="center"/>
        <w:rPr>
          <w:rFonts w:ascii="Times New Roman" w:hAnsi="Times New Roman"/>
          <w:b/>
          <w:bCs/>
          <w:lang w:eastAsia="id-ID"/>
        </w:rPr>
        <w:sectPr w:rsidR="0067485F" w:rsidSect="0067485F">
          <w:footerReference w:type="default" r:id="rId8"/>
          <w:type w:val="continuous"/>
          <w:pgSz w:w="11906" w:h="16838" w:code="9"/>
          <w:pgMar w:top="1080" w:right="907" w:bottom="1440" w:left="907" w:header="720" w:footer="720" w:gutter="0"/>
          <w:pgNumType w:start="40"/>
          <w:cols w:num="2" w:space="360"/>
          <w:docGrid w:linePitch="360"/>
        </w:sectPr>
      </w:pPr>
      <w:bookmarkStart w:id="0" w:name="_Hlk480318415"/>
    </w:p>
    <w:tbl>
      <w:tblPr>
        <w:tblW w:w="9639" w:type="dxa"/>
        <w:jc w:val="center"/>
        <w:tblLook w:val="0000" w:firstRow="0" w:lastRow="0" w:firstColumn="0" w:lastColumn="0" w:noHBand="0" w:noVBand="0"/>
      </w:tblPr>
      <w:tblGrid>
        <w:gridCol w:w="108"/>
        <w:gridCol w:w="1860"/>
        <w:gridCol w:w="7530"/>
        <w:gridCol w:w="141"/>
      </w:tblGrid>
      <w:tr w:rsidR="0075247C" w:rsidRPr="002D518D" w:rsidTr="00D74F15">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D74F15">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D74F15">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D74F15" w:rsidP="005A211F">
            <w:pPr>
              <w:spacing w:after="0" w:line="240" w:lineRule="auto"/>
              <w:jc w:val="center"/>
              <w:rPr>
                <w:rFonts w:ascii="Times New Roman" w:eastAsia="Calibri" w:hAnsi="Times New Roman"/>
                <w:b/>
                <w:bCs/>
                <w:sz w:val="28"/>
                <w:szCs w:val="28"/>
                <w:lang w:val="en-US"/>
              </w:rPr>
            </w:pPr>
            <w:r w:rsidRPr="00D74F15">
              <w:rPr>
                <w:rFonts w:ascii="Times New Roman" w:eastAsia="Calibri" w:hAnsi="Times New Roman"/>
                <w:b/>
                <w:bCs/>
                <w:sz w:val="28"/>
                <w:szCs w:val="28"/>
                <w:lang w:val="en-US"/>
              </w:rPr>
              <w:t>Maritime Education Enhancement Through Graduate Experience Analysis</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DE7113" w:rsidRPr="00D74F15" w:rsidRDefault="00DE7113" w:rsidP="00DE7113">
            <w:pPr>
              <w:autoSpaceDE w:val="0"/>
              <w:autoSpaceDN w:val="0"/>
              <w:adjustRightInd w:val="0"/>
              <w:spacing w:after="0" w:line="240" w:lineRule="auto"/>
              <w:jc w:val="center"/>
              <w:rPr>
                <w:rFonts w:ascii="Times New Roman" w:eastAsia="Calibri" w:hAnsi="Times New Roman"/>
                <w:i/>
                <w:iCs/>
                <w:lang w:val="en-US"/>
              </w:rPr>
            </w:pPr>
            <w:r w:rsidRPr="00D74F15">
              <w:rPr>
                <w:rFonts w:ascii="Times New Roman" w:eastAsia="Calibri" w:hAnsi="Times New Roman"/>
                <w:i/>
                <w:iCs/>
                <w:vertAlign w:val="superscript"/>
                <w:lang w:val="en-US"/>
              </w:rPr>
              <w:t>1</w:t>
            </w:r>
            <w:r w:rsidR="00D74F15" w:rsidRPr="00D74F15">
              <w:rPr>
                <w:i/>
                <w:iCs/>
              </w:rPr>
              <w:t xml:space="preserve"> </w:t>
            </w:r>
            <w:r w:rsidR="00D74F15" w:rsidRPr="00D74F15">
              <w:rPr>
                <w:rFonts w:ascii="Times New Roman" w:eastAsia="Calibri" w:hAnsi="Times New Roman"/>
                <w:i/>
                <w:iCs/>
                <w:lang w:val="en-US"/>
              </w:rPr>
              <w:t>Ahmad Wahid</w:t>
            </w:r>
            <w:r w:rsidRPr="00D74F15">
              <w:rPr>
                <w:rFonts w:ascii="Times New Roman" w:eastAsia="Calibri" w:hAnsi="Times New Roman"/>
                <w:i/>
                <w:iCs/>
                <w:lang w:val="en-US"/>
              </w:rPr>
              <w:t xml:space="preserve">, </w:t>
            </w:r>
            <w:r w:rsidR="00D74F15" w:rsidRPr="00D74F15">
              <w:rPr>
                <w:rFonts w:ascii="Times New Roman" w:eastAsia="Calibri" w:hAnsi="Times New Roman"/>
                <w:i/>
                <w:iCs/>
                <w:vertAlign w:val="superscript"/>
                <w:lang w:val="en-US"/>
              </w:rPr>
              <w:t>2</w:t>
            </w:r>
            <w:r w:rsidR="00D74F15">
              <w:rPr>
                <w:rFonts w:ascii="Times New Roman" w:eastAsia="Calibri" w:hAnsi="Times New Roman"/>
                <w:i/>
                <w:iCs/>
                <w:vertAlign w:val="superscript"/>
              </w:rPr>
              <w:t xml:space="preserve"> </w:t>
            </w:r>
            <w:r w:rsidR="00D74F15">
              <w:rPr>
                <w:rFonts w:ascii="Times New Roman" w:eastAsia="Calibri" w:hAnsi="Times New Roman"/>
                <w:i/>
                <w:iCs/>
                <w:lang w:val="en-US"/>
              </w:rPr>
              <w:t>Tri Cahyadi</w:t>
            </w:r>
            <w:r w:rsidRPr="00D74F15">
              <w:rPr>
                <w:rFonts w:ascii="Times New Roman" w:eastAsia="Calibri" w:hAnsi="Times New Roman"/>
                <w:i/>
                <w:iCs/>
                <w:lang w:val="en-US"/>
              </w:rPr>
              <w:t>,</w:t>
            </w:r>
            <w:r w:rsidR="00D74F15" w:rsidRPr="00D74F15">
              <w:rPr>
                <w:rFonts w:ascii="Times New Roman" w:eastAsia="Calibri" w:hAnsi="Times New Roman"/>
                <w:i/>
                <w:iCs/>
                <w:vertAlign w:val="superscript"/>
                <w:lang w:val="en-US"/>
              </w:rPr>
              <w:t xml:space="preserve"> 2*</w:t>
            </w:r>
            <w:r w:rsidR="00D74F15" w:rsidRPr="00D74F15">
              <w:rPr>
                <w:i/>
                <w:iCs/>
              </w:rPr>
              <w:t xml:space="preserve"> </w:t>
            </w:r>
            <w:r w:rsidR="00D74F15" w:rsidRPr="00D74F15">
              <w:rPr>
                <w:rFonts w:ascii="Times New Roman" w:eastAsia="Calibri" w:hAnsi="Times New Roman"/>
                <w:i/>
                <w:iCs/>
                <w:lang w:val="en-US"/>
              </w:rPr>
              <w:t>Larsen Barasa,</w:t>
            </w:r>
            <w:r w:rsidRPr="00D74F15">
              <w:rPr>
                <w:rFonts w:ascii="Times New Roman" w:eastAsia="Calibri" w:hAnsi="Times New Roman"/>
                <w:i/>
                <w:iCs/>
                <w:lang w:val="en-US"/>
              </w:rPr>
              <w:t xml:space="preserve"> </w:t>
            </w:r>
            <w:r w:rsidR="00D74F15" w:rsidRPr="00D74F15">
              <w:rPr>
                <w:rFonts w:ascii="Times New Roman" w:eastAsia="Calibri" w:hAnsi="Times New Roman"/>
                <w:i/>
                <w:iCs/>
                <w:vertAlign w:val="superscript"/>
                <w:lang w:val="en-US"/>
              </w:rPr>
              <w:t xml:space="preserve">3 </w:t>
            </w:r>
            <w:r w:rsidR="00D74F15" w:rsidRPr="00D74F15">
              <w:rPr>
                <w:rFonts w:ascii="Times New Roman" w:eastAsia="Calibri" w:hAnsi="Times New Roman"/>
                <w:i/>
                <w:iCs/>
                <w:lang w:val="en-US"/>
              </w:rPr>
              <w:t xml:space="preserve">Amrin </w:t>
            </w:r>
            <w:proofErr w:type="spellStart"/>
            <w:r w:rsidR="00D74F15" w:rsidRPr="00D74F15">
              <w:rPr>
                <w:rFonts w:ascii="Times New Roman" w:eastAsia="Calibri" w:hAnsi="Times New Roman"/>
                <w:i/>
                <w:iCs/>
                <w:lang w:val="en-US"/>
              </w:rPr>
              <w:t>Amrin</w:t>
            </w:r>
            <w:proofErr w:type="spellEnd"/>
          </w:p>
          <w:p w:rsidR="00DE7113" w:rsidRPr="00D74F15"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74F15" w:rsidRPr="00D74F15" w:rsidRDefault="00D74F15" w:rsidP="00D74F15">
            <w:pPr>
              <w:autoSpaceDE w:val="0"/>
              <w:autoSpaceDN w:val="0"/>
              <w:adjustRightInd w:val="0"/>
              <w:spacing w:after="0" w:line="240" w:lineRule="auto"/>
              <w:jc w:val="center"/>
              <w:rPr>
                <w:rFonts w:ascii="Times New Roman" w:eastAsia="Calibri" w:hAnsi="Times New Roman"/>
                <w:i/>
                <w:iCs/>
                <w:lang w:val="en-US"/>
              </w:rPr>
            </w:pPr>
            <w:r w:rsidRPr="00D74F15">
              <w:rPr>
                <w:rFonts w:ascii="Times New Roman" w:eastAsia="Calibri" w:hAnsi="Times New Roman"/>
                <w:i/>
                <w:iCs/>
                <w:vertAlign w:val="superscript"/>
                <w:lang w:val="en-US"/>
              </w:rPr>
              <w:t xml:space="preserve">1 </w:t>
            </w:r>
            <w:r w:rsidRPr="00D74F15">
              <w:rPr>
                <w:rFonts w:ascii="Times New Roman" w:eastAsia="Calibri" w:hAnsi="Times New Roman"/>
                <w:i/>
                <w:iCs/>
                <w:lang w:val="en-US"/>
              </w:rPr>
              <w:t>Makassar Merchant Marine Polytechnic, Makassar, Indonesia</w:t>
            </w:r>
          </w:p>
          <w:p w:rsidR="00D74F15" w:rsidRPr="00D74F15" w:rsidRDefault="00D74F15" w:rsidP="00D74F15">
            <w:pPr>
              <w:autoSpaceDE w:val="0"/>
              <w:autoSpaceDN w:val="0"/>
              <w:adjustRightInd w:val="0"/>
              <w:spacing w:after="0" w:line="240" w:lineRule="auto"/>
              <w:jc w:val="center"/>
              <w:rPr>
                <w:rFonts w:ascii="Times New Roman" w:eastAsia="Calibri" w:hAnsi="Times New Roman"/>
                <w:i/>
                <w:iCs/>
                <w:lang w:val="en-US"/>
              </w:rPr>
            </w:pPr>
            <w:r w:rsidRPr="00D74F15">
              <w:rPr>
                <w:rFonts w:ascii="Times New Roman" w:eastAsia="Calibri" w:hAnsi="Times New Roman"/>
                <w:i/>
                <w:iCs/>
                <w:vertAlign w:val="superscript"/>
                <w:lang w:val="en-US"/>
              </w:rPr>
              <w:t xml:space="preserve">2 </w:t>
            </w:r>
            <w:r w:rsidRPr="00D74F15">
              <w:rPr>
                <w:rFonts w:ascii="Times New Roman" w:eastAsia="Calibri" w:hAnsi="Times New Roman"/>
                <w:i/>
                <w:iCs/>
                <w:lang w:val="en-US"/>
              </w:rPr>
              <w:t xml:space="preserve">Maritime Institute, Sekolah Tinggi </w:t>
            </w:r>
            <w:proofErr w:type="spellStart"/>
            <w:r w:rsidRPr="00D74F15">
              <w:rPr>
                <w:rFonts w:ascii="Times New Roman" w:eastAsia="Calibri" w:hAnsi="Times New Roman"/>
                <w:i/>
                <w:iCs/>
                <w:lang w:val="en-US"/>
              </w:rPr>
              <w:t>Ilmu</w:t>
            </w:r>
            <w:proofErr w:type="spellEnd"/>
            <w:r w:rsidRPr="00D74F15">
              <w:rPr>
                <w:rFonts w:ascii="Times New Roman" w:eastAsia="Calibri" w:hAnsi="Times New Roman"/>
                <w:i/>
                <w:iCs/>
                <w:lang w:val="en-US"/>
              </w:rPr>
              <w:t xml:space="preserve"> Pelayaran Jakarta, North Jakarta, Indonesia</w:t>
            </w:r>
          </w:p>
          <w:p w:rsidR="00D74F15" w:rsidRPr="00D74F15" w:rsidRDefault="00D74F15" w:rsidP="00D74F15">
            <w:pPr>
              <w:autoSpaceDE w:val="0"/>
              <w:autoSpaceDN w:val="0"/>
              <w:adjustRightInd w:val="0"/>
              <w:spacing w:after="0" w:line="240" w:lineRule="auto"/>
              <w:jc w:val="center"/>
              <w:rPr>
                <w:rFonts w:ascii="Times New Roman" w:eastAsia="Calibri" w:hAnsi="Times New Roman"/>
                <w:i/>
                <w:iCs/>
                <w:lang w:val="en-US"/>
              </w:rPr>
            </w:pPr>
            <w:r w:rsidRPr="00D74F15">
              <w:rPr>
                <w:rFonts w:ascii="Times New Roman" w:eastAsia="Calibri" w:hAnsi="Times New Roman"/>
                <w:i/>
                <w:iCs/>
                <w:vertAlign w:val="superscript"/>
                <w:lang w:val="en-US"/>
              </w:rPr>
              <w:t>3</w:t>
            </w:r>
            <w:r w:rsidRPr="00D74F15">
              <w:rPr>
                <w:rFonts w:ascii="Times New Roman" w:eastAsia="Calibri" w:hAnsi="Times New Roman"/>
                <w:i/>
                <w:iCs/>
                <w:lang w:val="en-US"/>
              </w:rPr>
              <w:t>AMI Makassar Maritime Polytechnic, Makassar, Indonesia</w:t>
            </w:r>
          </w:p>
          <w:p w:rsidR="00D74F15" w:rsidRPr="00D74F15" w:rsidRDefault="00D74F15" w:rsidP="00B621A6">
            <w:pPr>
              <w:autoSpaceDE w:val="0"/>
              <w:autoSpaceDN w:val="0"/>
              <w:adjustRightInd w:val="0"/>
              <w:spacing w:after="0" w:line="240" w:lineRule="auto"/>
              <w:jc w:val="center"/>
              <w:rPr>
                <w:rFonts w:ascii="Times New Roman" w:eastAsia="Calibri" w:hAnsi="Times New Roman"/>
                <w:bCs/>
                <w:i/>
                <w:iCs/>
                <w:lang w:val="en-US"/>
              </w:rPr>
            </w:pPr>
          </w:p>
          <w:p w:rsidR="0075247C" w:rsidRPr="002D518D" w:rsidRDefault="00DE7113" w:rsidP="00D74F15">
            <w:pPr>
              <w:autoSpaceDE w:val="0"/>
              <w:autoSpaceDN w:val="0"/>
              <w:adjustRightInd w:val="0"/>
              <w:spacing w:after="0" w:line="240" w:lineRule="auto"/>
              <w:jc w:val="center"/>
              <w:rPr>
                <w:rFonts w:ascii="Times New Roman" w:hAnsi="Times New Roman"/>
                <w:bCs/>
                <w:i/>
                <w:iCs/>
                <w:color w:val="000000"/>
              </w:rPr>
            </w:pPr>
            <w:r w:rsidRPr="00D74F15">
              <w:rPr>
                <w:rFonts w:ascii="Times New Roman" w:eastAsia="Calibri" w:hAnsi="Times New Roman"/>
                <w:bCs/>
                <w:i/>
                <w:iCs/>
                <w:lang w:val="en-US"/>
              </w:rPr>
              <w:t>*</w:t>
            </w:r>
            <w:proofErr w:type="gramStart"/>
            <w:r w:rsidRPr="00D74F15">
              <w:rPr>
                <w:rFonts w:ascii="Times New Roman" w:eastAsia="Calibri" w:hAnsi="Times New Roman"/>
                <w:bCs/>
                <w:i/>
                <w:iCs/>
                <w:lang w:val="en-US"/>
              </w:rPr>
              <w:t>email</w:t>
            </w:r>
            <w:proofErr w:type="gramEnd"/>
            <w:r w:rsidRPr="00D74F15">
              <w:rPr>
                <w:rFonts w:ascii="Times New Roman" w:eastAsia="Calibri" w:hAnsi="Times New Roman"/>
                <w:bCs/>
                <w:i/>
                <w:iCs/>
                <w:lang w:val="en-US"/>
              </w:rPr>
              <w:t xml:space="preserve">: </w:t>
            </w:r>
            <w:hyperlink r:id="rId10" w:history="1">
              <w:r w:rsidR="00D74F15" w:rsidRPr="00D74F15">
                <w:rPr>
                  <w:rStyle w:val="Hyperlink"/>
                  <w:rFonts w:ascii="Times New Roman" w:eastAsia="Calibri" w:hAnsi="Times New Roman"/>
                  <w:i/>
                  <w:iCs/>
                </w:rPr>
                <w:t>larsenbarasa@gmail.com</w:t>
              </w:r>
            </w:hyperlink>
            <w:r w:rsidR="00D74F15" w:rsidRPr="00D74F15">
              <w:rPr>
                <w:rFonts w:ascii="Times New Roman" w:eastAsia="Calibri" w:hAnsi="Times New Roman"/>
                <w:i/>
                <w:iCs/>
              </w:rPr>
              <w:t xml:space="preserve"> </w:t>
            </w:r>
          </w:p>
        </w:tc>
      </w:tr>
      <w:tr w:rsidR="0075247C" w:rsidRPr="002D518D" w:rsidTr="00D74F15">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67485F" w:rsidRDefault="00D74F15" w:rsidP="00E17C20">
      <w:pPr>
        <w:jc w:val="both"/>
        <w:rPr>
          <w:lang w:val="en-US" w:eastAsia="zh-CN"/>
        </w:rPr>
      </w:pPr>
      <w:r w:rsidRPr="00D74F15">
        <w:rPr>
          <w:rFonts w:ascii="Times New Roman" w:eastAsia="Times New Roman" w:hAnsi="Times New Roman"/>
          <w:i/>
          <w:iCs/>
          <w:lang w:eastAsia="zh-CN"/>
        </w:rPr>
        <w:t>This qualitative research investigates maritime vocational education effectiveness through comprehensive analysis of thirty graduates from nautical deck engineering, naval marine engineering, and port and shipping engineering programs. The study employs thematic analysis of in-depth interviews to examine professional competency development, sustainability awareness, and industry-academia alignment in maritime education outcomes. Results indicate strong technical competency development (91% high proficiency) and practical training effectiveness (90% satisfaction), while revealing significant gaps in communication skills (68% adequacy), technology integration (61% satisfaction), and sustainability education (69% awareness). Cross-specialization analysis demonstrates varying competency patterns, with port and shipping graduates showing highest business acumen and sustainability awareness, while all specializations require enhanced Maritime English and digital technology competencies. The research identifies communication skills, technology integration, and sustainability education as priority enhancement areas for improving graduate professional preparedness and industry alignment. Findings contribute to maritime education policy development and curriculum enhancement initiatives while providing evidence-based guidance for industry-academia collaboration improvement. The study validates experiential learning approaches in maritime education while highlighting adaptation needs for contemporary industry demands including digitalization, environmental consciousness, and international communication requirements essential for global maritime operations.</w:t>
      </w:r>
    </w:p>
    <w:p w:rsidR="0067485F" w:rsidRDefault="0067485F" w:rsidP="007911F3">
      <w:pPr>
        <w:autoSpaceDE w:val="0"/>
        <w:autoSpaceDN w:val="0"/>
        <w:adjustRightInd w:val="0"/>
        <w:jc w:val="center"/>
        <w:rPr>
          <w:rFonts w:ascii="Times New Roman" w:eastAsia="Calibri" w:hAnsi="Times New Roman"/>
          <w:i/>
          <w:lang w:val="en-US"/>
        </w:rPr>
        <w:sectPr w:rsidR="0067485F" w:rsidSect="0067485F">
          <w:type w:val="continuous"/>
          <w:pgSz w:w="11906" w:h="16838" w:code="9"/>
          <w:pgMar w:top="1080" w:right="907" w:bottom="1440" w:left="907" w:header="720" w:footer="720" w:gutter="0"/>
          <w:pgNumType w:start="40"/>
          <w:cols w:space="360"/>
          <w:docGrid w:linePitch="360"/>
        </w:sectPr>
      </w:pPr>
    </w:p>
    <w:tbl>
      <w:tblPr>
        <w:tblW w:w="10200"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10200"/>
      </w:tblGrid>
      <w:tr w:rsidR="0067485F" w:rsidRPr="002D518D" w:rsidTr="007911F3">
        <w:trPr>
          <w:trHeight w:val="563"/>
        </w:trPr>
        <w:tc>
          <w:tcPr>
            <w:tcW w:w="10200" w:type="dxa"/>
            <w:tcBorders>
              <w:bottom w:val="nil"/>
            </w:tcBorders>
          </w:tcPr>
          <w:p w:rsidR="0067485F" w:rsidRPr="002D518D" w:rsidRDefault="0067485F" w:rsidP="007911F3">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67485F" w:rsidRPr="002D518D" w:rsidTr="007911F3">
        <w:trPr>
          <w:trHeight w:val="909"/>
        </w:trPr>
        <w:tc>
          <w:tcPr>
            <w:tcW w:w="10200" w:type="dxa"/>
            <w:tcBorders>
              <w:top w:val="nil"/>
              <w:bottom w:val="nil"/>
            </w:tcBorders>
          </w:tcPr>
          <w:p w:rsidR="0067485F" w:rsidRDefault="0067485F" w:rsidP="007911F3">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Pr="00D74F15">
              <w:rPr>
                <w:rFonts w:ascii="Times New Roman" w:eastAsia="Calibri" w:hAnsi="Times New Roman"/>
                <w:bCs/>
                <w:i/>
              </w:rPr>
              <w:t>maritime education, professional competency, sustainability awareness,</w:t>
            </w:r>
          </w:p>
          <w:p w:rsidR="0067485F" w:rsidRPr="002D518D" w:rsidRDefault="0067485F" w:rsidP="007911F3">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D74F15">
              <w:rPr>
                <w:rFonts w:ascii="Times New Roman" w:eastAsia="Calibri" w:hAnsi="Times New Roman"/>
                <w:bCs/>
                <w:i/>
              </w:rPr>
              <w:t xml:space="preserve"> industry alignment, graduate assessment</w:t>
            </w:r>
          </w:p>
          <w:p w:rsidR="0067485F" w:rsidRPr="002D518D" w:rsidRDefault="0067485F" w:rsidP="007911F3">
            <w:pPr>
              <w:autoSpaceDE w:val="0"/>
              <w:autoSpaceDN w:val="0"/>
              <w:adjustRightInd w:val="0"/>
              <w:spacing w:after="0" w:line="240" w:lineRule="auto"/>
              <w:ind w:left="-108"/>
              <w:jc w:val="center"/>
              <w:rPr>
                <w:rFonts w:ascii="Times New Roman" w:eastAsia="Calibri" w:hAnsi="Times New Roman"/>
                <w:bCs/>
                <w:i/>
                <w:lang w:val="en-US"/>
              </w:rPr>
            </w:pPr>
          </w:p>
        </w:tc>
      </w:tr>
    </w:tbl>
    <w:p w:rsidR="0067485F" w:rsidRDefault="0067485F" w:rsidP="0067485F">
      <w:pPr>
        <w:pStyle w:val="NoSpacing"/>
        <w:rPr>
          <w:lang w:val="en-US" w:eastAsia="zh-CN"/>
        </w:rPr>
        <w:sectPr w:rsidR="0067485F" w:rsidSect="0067485F">
          <w:type w:val="continuous"/>
          <w:pgSz w:w="11906" w:h="16838" w:code="9"/>
          <w:pgMar w:top="1080" w:right="907" w:bottom="1440" w:left="907" w:header="720" w:footer="720" w:gutter="0"/>
          <w:pgNumType w:start="40"/>
          <w:cols w:space="360"/>
          <w:docGrid w:linePitch="360"/>
        </w:sectPr>
      </w:pPr>
    </w:p>
    <w:p w:rsidR="00D74F15" w:rsidRPr="00D74F15" w:rsidRDefault="00D74F15" w:rsidP="00D74F15">
      <w:pPr>
        <w:pStyle w:val="Heading1"/>
        <w:numPr>
          <w:ilvl w:val="0"/>
          <w:numId w:val="9"/>
        </w:numPr>
        <w:rPr>
          <w:lang w:val="en-US"/>
        </w:rPr>
      </w:pPr>
      <w:r w:rsidRPr="00D74F15">
        <w:rPr>
          <w:lang w:val="en-US"/>
        </w:rPr>
        <w:t>Introduction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maritime industry stands at a critical juncture where traditional seafaring competencies must evolve to meet the demands of an increasingly digitalized, environmentally conscious, and technologically advanced global transportation network. As maritime operations become more complex and international </w:t>
      </w:r>
      <w:r w:rsidRPr="00D74F15">
        <w:rPr>
          <w:rFonts w:ascii="Times New Roman" w:eastAsia="Times New Roman" w:hAnsi="Times New Roman"/>
          <w:iCs/>
          <w:lang w:val="en-US" w:eastAsia="zh-CN"/>
        </w:rPr>
        <w:t xml:space="preserve">regulations more stringent, the preparation of maritime professionals through vocational education has emerged as a cornerstone for ensuring operational safety, environmental sustainability, and economic efficiency in global shipping operations [1]. The transformation of maritime education from conventional training methods to comprehensive, </w:t>
      </w:r>
      <w:r w:rsidRPr="00D74F15">
        <w:rPr>
          <w:rFonts w:ascii="Times New Roman" w:eastAsia="Times New Roman" w:hAnsi="Times New Roman"/>
          <w:iCs/>
          <w:lang w:val="en-US" w:eastAsia="zh-CN"/>
        </w:rPr>
        <w:lastRenderedPageBreak/>
        <w:t>industry-aligned programs represents not merely an academic evolution but a fundamental necessity for maintaining the competitive advantage of maritime nations and ensuring the safety of international waters.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Contemporary maritime education faces unprecedented challenges in balancing traditional seamanship skills with emerging technological competencies, environmental stewardship, and international communication requirements. The integration of digital technologies in maritime operations has fundamentally altered the skill sets required for modern seafarers, demanding educational institutions to reconsider their curriculum design and delivery methodologies [2]. This technological revolution, coupled with increasing environmental regulations and the industry's commitment to sustainable practices, has created a complex landscape where maritime educators must prepare professionals who are simultaneously technically proficient, environmentally conscious, and capable of operating in multicultural, technology-enhanced environments.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significance of maritime education quality extends beyond individual career outcomes to encompass global trade security, environmental protection, and economic stability. Poor preparation of maritime professionals can result in catastrophic consequences, including maritime accidents, environmental disasters, and significant economic losses that reverberate throughout the global supply chain [3]. Conversely, well-prepared maritime professionals contribute to enhanced operational efficiency, reduced environmental impact, and improved safety records that benefit the entire maritime ecosystem. This relationship between educational quality and professional performance underscores the critical importance of understanding how maritime vocational education can be optimized to produce competent, adaptable, and responsible maritime professionals.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occupational socialization of maritime professionals begins during their educational journey and continues through their professional careers, making the initial educational experience particularly influential in shaping long-term professional competencies and attitudes [4]. The unique nature of maritime careers, characterized by extended periods at sea, multicultural working environments, and high-stakes decision-making scenarios, requires educational approaches that prepare students not only for technical challenges but also for the psychological and social demands of maritime professions. Understanding how educational experiences translate into professional competencies is therefore essential for improving educational outcomes and ensuring the continued availability of qualified maritime professionals.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Recent technological developments have introduced new possibilities for enhancing maritime education through digital tools and simulation technologies, yet the implementation of these innovations remains inconsistent across maritime educational institutions [5]. The potential for technology-supported competence development in maritime education and training represents a significant opportunity for improving educational outcomes, yet questions remain regarding the most effective integration of technological tools with traditional maritime training methodologies. This technological dimension of maritime education reform requires careful consideration of how digital innovations can enhance rather than replace essential hands-on learning experiences that have traditionally defined maritime education.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international nature of maritime operations necessitates particular attention to communication competencies, especially in Maritime English, which serves as the lingua franca of international shipping [6]. The Standards of Training, Certification and Watchkeeping for Seafarers (STCW) Convention emphasizes the importance of communication skills for maritime safety, yet research indicates persistent challenges in developing adequate English language competencies among maritime students [7]. The integration of language learning with technical training presents both opportunities and challenges for maritime educators seeking to prepare graduates for the multilingual, multicultural environment of modern shipping operations.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Environmental consciousness and sustainability practices have become increasingly important in maritime operations, driven by international regulations, industry initiatives, and growing awareness of the maritime industry's environmental impact [8]. The integration of environmental literacy and sustainability principles into maritime education represents a critical component of modern professional preparation, yet the effectiveness of current approaches to sustainability education in maritime contexts remains underexplored. Understanding how environmental education translates into professional environmental consciousness and sustainable decision-making is essential for developing maritime professionals who can contribute to the industry's sustainability goals.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challenges of multinational crewing and international collaboration in maritime operations require maritime professionals to possess not only technical competencies but also intercultural communication skills and adaptability to diverse working environments [9]. Maritime education programs must therefore prepare students for the realities of working in multicultural teams while maintaining high standards of safety and operational </w:t>
      </w:r>
      <w:r w:rsidRPr="00D74F15">
        <w:rPr>
          <w:rFonts w:ascii="Times New Roman" w:eastAsia="Times New Roman" w:hAnsi="Times New Roman"/>
          <w:iCs/>
          <w:lang w:val="en-US" w:eastAsia="zh-CN"/>
        </w:rPr>
        <w:lastRenderedPageBreak/>
        <w:t>efficiency. This cultural dimension of maritime professional preparation adds complexity to educational program design and requires innovative approaches to developing intercultural competencies alongside technical skills.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research problem addressed in this study centers on the critical need to understand how maritime vocational education can be enhanced to better prepare professionals for contemporary industry demands while maintaining essential traditional competencies. Specifically, this research investigates the qualitative perspectives and experiences of maritime graduates, educators, and industry experts regarding the effectiveness of current maritime education programs in developing professional competencies, sustainability consciousness, and industry readiness. The central research question asks: How can maritime vocational education be improved to enhance graduate professional competency, sustainability awareness, and industry alignment through integrated educational approaches that combine traditional maritime training with contemporary technological and environmental considerations?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specific objectives of this research encompass multiple dimensions of maritime education effectiveness and improvement. The primary objective is to evaluate the perceived effectiveness of current maritime vocational education programs in preparing graduates for professional roles in nautical deck engineering, naval marine engineering, and port and shipping engineering through comprehensive analysis of graduate experiences and professional outcomes. A secondary objective focuses on identifying gaps between educational preparation and industry expectations, particularly in areas of technological competency, environmental consciousness, and communication skills that are increasingly important in contemporary maritime operations.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Additionally, this research aims to assess the integration of sustainability principles and environmental awareness in maritime education and its impact on graduate professional behavior and decision-making. The investigation also seeks to examine the role of practical training and industry collaboration in enhancing educational outcomes and professional preparedness. Furthermore, the study endeavors to develop recommendations for improving maritime education programs through enhanced industry-academia collaboration, technological integration, and sustainability education. Finally, the research aims to contribute to the broader understanding of vocational education effectiveness in preparing professionals for technologically advanced, environmentally conscious industries.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rationale for this research stems from the critical importance of maritime transportation in global </w:t>
      </w:r>
      <w:r w:rsidRPr="00D74F15">
        <w:rPr>
          <w:rFonts w:ascii="Times New Roman" w:eastAsia="Times New Roman" w:hAnsi="Times New Roman"/>
          <w:iCs/>
          <w:lang w:val="en-US" w:eastAsia="zh-CN"/>
        </w:rPr>
        <w:t>commerce and the urgent need for well-prepared maritime professionals to ensure safe, efficient, and sustainable operations. The maritime industry's transformation due to technological advancement, environmental regulations, and changing operational requirements necessitates corresponding evolution in educational approaches and professional preparation strategies. The significance of this research extends beyond academic interest to encompass practical implications for educational institutions, industry employers, regulatory bodies, and maritime professionals themselves.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motivation for this investigation is further strengthened by the recognition that maritime accidents and operational inefficiencies often stem from human factors, including inadequate training, poor communication, and insufficient environmental awareness [10]. By understanding how educational experiences contribute to professional competency development and identifying areas for improvement, this research can contribute to enhanced maritime safety, environmental protection, and operational efficiency. The potential for research findings to inform educational policy, curriculum development, and industry standards makes this investigation particularly valuable for multiple stakeholders in the maritime community.</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methodology employed in this research utilizes a qualitative approach that prioritizes understanding the lived experiences, perspectives, and insights of maritime education stakeholders through in-depth interviews and thematic analysis [11]. This qualitative framework is particularly appropriate for investigating complex educational and professional development phenomena where quantitative measures alone cannot capture the nuanced relationships between educational experiences and professional outcomes. The research involves comprehensive interviews with thirty maritime graduates representing the three major specializations of nautical deck engineering, naval marine engineering, and port and shipping engineering, providing diverse perspectives on educational effectiveness and professional preparation.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conceptual framework underlying this research integrates multiple theoretical perspectives including experiential learning theory, professional socialization theory, and sustainable development principles to understand how maritime education contributes to professional competency development. The framework recognizes that professional competency encompasses not only technical skills but also communication abilities, environmental consciousness, safety awareness, and adaptability to changing industry conditions. The independent variables in this framework include educational program characteristics, practical training experiences, </w:t>
      </w:r>
      <w:r w:rsidRPr="00D74F15">
        <w:rPr>
          <w:rFonts w:ascii="Times New Roman" w:eastAsia="Times New Roman" w:hAnsi="Times New Roman"/>
          <w:iCs/>
          <w:lang w:val="en-US" w:eastAsia="zh-CN"/>
        </w:rPr>
        <w:lastRenderedPageBreak/>
        <w:t>industry collaboration levels, and sustainability education integration, while dependent variables encompass graduate professional competency, career success, environmental awareness, and industry readiness.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conceptual model also incorporates the recognition that maritime education effectiveness is influenced by multiple contextual factors including technological advancement, regulatory changes, industry demands, and environmental challenges. These contextual variables serve as moderating factors that influence the relationship between educational inputs and professional outcomes. The framework acknowledges that professional competency development is an ongoing process that begins during formal education but continues throughout professional careers, making the educational foundation particularly important for long-term professional success and adaptability.</w:t>
      </w:r>
    </w:p>
    <w:p w:rsidR="00D74F15" w:rsidRDefault="00D74F15" w:rsidP="00D74F15">
      <w:pPr>
        <w:autoSpaceDE w:val="0"/>
        <w:autoSpaceDN w:val="0"/>
        <w:adjustRightInd w:val="0"/>
        <w:spacing w:after="0" w:line="240" w:lineRule="auto"/>
        <w:jc w:val="both"/>
        <w:rPr>
          <w:rFonts w:ascii="Times New Roman" w:eastAsia="Times New Roman" w:hAnsi="Times New Roman"/>
          <w:b/>
          <w:bCs/>
          <w:iCs/>
          <w:lang w:val="en-US" w:eastAsia="zh-CN"/>
        </w:rPr>
      </w:pPr>
    </w:p>
    <w:p w:rsidR="00D74F15" w:rsidRPr="00D74F15" w:rsidRDefault="00D74F15" w:rsidP="00D74F15">
      <w:pPr>
        <w:pStyle w:val="Heading1"/>
        <w:numPr>
          <w:ilvl w:val="0"/>
          <w:numId w:val="9"/>
        </w:numPr>
        <w:rPr>
          <w:lang w:val="en-US"/>
        </w:rPr>
      </w:pPr>
      <w:r w:rsidRPr="00D74F15">
        <w:rPr>
          <w:lang w:val="en-US"/>
        </w:rPr>
        <w:t>Research Methods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methodology employed in this research utilizes a comprehensive qualitative approach designed to capture the rich, nuanced experiences and perspectives of maritime education stakeholders through systematic data collection and analysis procedures. This qualitative framework is particularly well-suited for investigating complex educational phenomena where understanding subjective experiences, perceptions, and contextual factors is essential for developing meaningful insights into educational effectiveness and professional development outcomes [12]. The research design prioritizes depth of understanding over breadth of coverage, enabling detailed exploration of how maritime education experiences translate into professional competencies and industry readiness.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population for this research comprises maritime education stakeholders who possess direct experience with maritime vocational education programs and their outcomes in professional practice. The target population includes graduates from maritime institutes who have completed four-year vocational programs in nautical deck engineering, naval marine engineering, or port and shipping engineering, along with educators and industry experts who can provide complementary perspectives on educational effectiveness and professional requirements. The selection of this population is based on the recognition that understanding educational effectiveness requires multiple perspectives from those who have experienced the education system as students, those who deliver the education, and those who employ the graduates in professional settings.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sampling strategy employs purposive sampling to ensure representation across different </w:t>
      </w:r>
      <w:r w:rsidRPr="00D74F15">
        <w:rPr>
          <w:rFonts w:ascii="Times New Roman" w:eastAsia="Times New Roman" w:hAnsi="Times New Roman"/>
          <w:iCs/>
          <w:lang w:val="en-US" w:eastAsia="zh-CN"/>
        </w:rPr>
        <w:t>maritime specializations and stakeholder categories while maintaining focus on individuals with substantial experience and expertise in maritime education and professional practice. The sample includes thirty maritime institute graduates equally distributed across the three major specializations, with ten graduates from each of nautical deck engineering, naval marine engineering, and port and shipping engineering programs. This balanced representation ensures that findings reflect the diverse experiences and requirements across different maritime specializations while enabling comparative analysis of educational effectiveness across different technical domains.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rationale for selecting maritime graduates as the primary data source stems from their unique position as individuals who have experienced the complete educational process and transitioned into professional practice, providing them with firsthand knowledge of both educational quality and industry requirements. These graduates possess the experiential knowledge necessary to evaluate how well their educational preparation aligned with professional demands and can identify specific strengths and gaps in their educational experience. The inclusion of graduates from different specializations ensures that findings reflect the diverse technical and professional requirements across different segments of the maritime industry, from shipboard operations to port management and engineering services.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research instruments employed in this study include semi-structured interview protocols designed to elicit detailed, reflective responses about educational experiences and professional development outcomes. The primary instrument consists of comprehensive interview guides tailored for different participant categories, with specific question sets for graduates, educators, and industry experts that address common themes while acknowledging the unique perspectives and expertise of each stakeholder group. The interview protocols are designed to explore multiple dimensions of educational effectiveness including technical competency development, practical training quality, sustainability education integration, communication skill development, and overall professional preparedness [13].</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dependent variables in this research framework include graduate professional competency levels, sustainability awareness and application, communication effectiveness, industry readiness, and career progression outcomes. These variables represent the key outcomes that maritime education programs should achieve and provide measurable indicators of educational effectiveness. Professional competency encompasses technical skills specific to each maritime specialization, problem-solving abilities, safety consciousness, and adaptability to changing operational </w:t>
      </w:r>
      <w:r w:rsidRPr="00D74F15">
        <w:rPr>
          <w:rFonts w:ascii="Times New Roman" w:eastAsia="Times New Roman" w:hAnsi="Times New Roman"/>
          <w:iCs/>
          <w:lang w:val="en-US" w:eastAsia="zh-CN"/>
        </w:rPr>
        <w:lastRenderedPageBreak/>
        <w:t>conditions. Sustainability awareness includes environmental consciousness, knowledge of sustainable practices, and implementation of environmentally responsible decision-making in professional contexts.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independent variables encompass various aspects of the educational experience that may influence professional development outcomes, including curriculum design and content, practical training quality and duration, industry collaboration and mentorship opportunities, sustainability education integration, technology utilization in education, and communication skills development programs. These variables represent controllable aspects of the educational process that can be modified or enhanced to improve educational outcomes. Additional contextual variables include individual student characteristics, institutional resources, industry partnerships, and regulatory requirements that may moderate the relationship between educational inputs and professional outcomes.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indicators for measuring educational effectiveness include graduate self-assessments of professional preparedness, specific examples of how educational experiences contributed to professional success, identification of educational gaps that became apparent in professional practice, and recommendations for educational improvement based on professional experience. Sustainability indicators focus on the extent to which graduates demonstrate environmental consciousness in professional decision-making, implement sustainable practices in their work roles, and contribute to their organizations' sustainability initiatives. Communication indicators examine graduates' perceived effectiveness in multicultural professional environments, their Maritime English proficiency, and their ability to communicate technical information effectively to diverse audiences.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Data collection procedures involve multiple phases designed to ensure comprehensive coverage of research objectives while maintaining data quality and participant engagement. The initial phase consists of individual in-depth interviews with each participant, utilizing the semi-structured interview protocols to explore their experiences, perspectives, and insights regarding maritime education effectiveness and professional development. These interviews are designed to last between sixty and ninety minutes, providing sufficient time for detailed exploration of key themes while respecting participants' time constraints and maintaining engagement throughout the interview process.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interview process begins with establishing rapport and explaining the research objectives, ensuring participants understand their voluntary participation and the confidentiality measures in place to protect their privacy and professional interests. The semi-structured </w:t>
      </w:r>
      <w:r w:rsidRPr="00D74F15">
        <w:rPr>
          <w:rFonts w:ascii="Times New Roman" w:eastAsia="Times New Roman" w:hAnsi="Times New Roman"/>
          <w:iCs/>
          <w:lang w:val="en-US" w:eastAsia="zh-CN"/>
        </w:rPr>
        <w:t>format allows for flexibility in following participants' responses and exploring emerging themes while ensuring that all key research areas are adequately covered. Questions are designed to encourage narrative responses that provide rich, detailed accounts of experiences rather than simple factual responses, enabling deeper understanding of how educational experiences influenced professional development and career outcomes [14].</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Data collection also includes documentation of contextual information about participants' educational backgrounds, professional experiences, and current roles to enable analysis of how different educational and professional pathways influence perspectives on educational effectiveness. This contextual information provides important background for interpreting interview responses and understanding how individual experiences may reflect broader patterns or unique circumstances. The collection of demographic and professional background information also enables analysis of how factors such as graduation year, employment sector, and career progression influence perceptions of educational quality and professional preparedness.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data analysis approach employs thematic analysis as the primary analytical framework, utilizing systematic procedures for identifying, analyzing, and reporting patterns within the qualitative data collected through interviews and related documentation. Thematic analysis is particularly appropriate for this research because it provides a flexible approach to identifying themes that are important to the research questions while remaining grounded in participants' actual experiences and perspectives rather than predetermined theoretical categories. The analysis process involves multiple phases including data familiarization, initial coding, theme development, theme review and refinement, and final theme definition and interpretation.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categorization of data into competency development and sustainability themes provides a structured approach to organizing findings while enabling detailed analysis of how educational experiences contribute to different aspects of professional development. Competency development themes focus on how educational experiences contribute to technical skill acquisition, problem-solving ability development, safety consciousness formation, and overall professional readiness. Sustainability themes examine how environmental education and awareness development during maritime education translate into professional environmental consciousness and sustainable decision-making practices.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Cross-group comparisons among experts, lecturers, and graduates enable identification of commonalities </w:t>
      </w:r>
      <w:r w:rsidRPr="00D74F15">
        <w:rPr>
          <w:rFonts w:ascii="Times New Roman" w:eastAsia="Times New Roman" w:hAnsi="Times New Roman"/>
          <w:iCs/>
          <w:lang w:val="en-US" w:eastAsia="zh-CN"/>
        </w:rPr>
        <w:lastRenderedPageBreak/>
        <w:t>and distinctions in perspectives on educational effectiveness and professional requirements, providing a comprehensive understanding of how different stakeholders view maritime education quality and improvement needs. These comparisons help identify areas where stakeholder perspectives align, indicating broad consensus on educational strengths or improvement needs, as well as areas where perspectives differ, suggesting potential conflicts or different priorities that need to be addressed in educational planning and implementation.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narrative synthesis approach involves developing a cohesive narrative that explains the findings by integrating themes and patterns identified through thematic analysis into a comprehensive understanding of how maritime education contributes to professional development and where improvements are needed. This synthesis process goes beyond simply reporting individual themes to explore relationships between different aspects of educational experience and their combined influence on professional outcomes. The narrative approach enables development of a holistic understanding of educational effectiveness that can inform practical recommendations for educational improvement and policy development while maintaining grounding in participants' actual experiences and perspectives.</w:t>
      </w:r>
    </w:p>
    <w:p w:rsidR="00D74F15" w:rsidRDefault="00D74F15" w:rsidP="00D74F15">
      <w:pPr>
        <w:autoSpaceDE w:val="0"/>
        <w:autoSpaceDN w:val="0"/>
        <w:adjustRightInd w:val="0"/>
        <w:spacing w:after="0" w:line="240" w:lineRule="auto"/>
        <w:jc w:val="both"/>
        <w:rPr>
          <w:rFonts w:ascii="Times New Roman" w:eastAsia="Times New Roman" w:hAnsi="Times New Roman"/>
          <w:b/>
          <w:bCs/>
          <w:iCs/>
          <w:lang w:val="en-US" w:eastAsia="zh-CN"/>
        </w:rPr>
      </w:pPr>
    </w:p>
    <w:p w:rsidR="00D74F15" w:rsidRPr="00D74F15" w:rsidRDefault="00D74F15" w:rsidP="00D74F15">
      <w:pPr>
        <w:pStyle w:val="Heading1"/>
        <w:numPr>
          <w:ilvl w:val="0"/>
          <w:numId w:val="9"/>
        </w:numPr>
        <w:rPr>
          <w:lang w:val="en-US"/>
        </w:rPr>
      </w:pPr>
      <w:r w:rsidRPr="00D74F15">
        <w:rPr>
          <w:lang w:val="en-US"/>
        </w:rPr>
        <w:t>Results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comprehensive analysis of qualitative data collected from thirty maritime graduates and supporting stakeholders reveals significant insights into the effectiveness of maritime vocational education programs and their impact on professional competency development. The results demonstrate overall positive outcomes in professional preparation while identifying specific areas for enhancement that align with contemporary industry demands and sustainability requirements. The analysis framework employed systematic thematic categorization and cross-group comparison to provide robust findings that address the research objectives and inform recommendations for educational improvement.</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b/>
          <w:bCs/>
          <w:iCs/>
          <w:lang w:val="en-US" w:eastAsia="zh-CN"/>
        </w:rPr>
        <w:t>Professional Competency Development Outcomes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analysis of graduate experiences reveals strong evidence of effective professional competency development across all three maritime specializations, with participants consistently reporting that their four-</w:t>
      </w:r>
      <w:r w:rsidRPr="00D74F15">
        <w:rPr>
          <w:rFonts w:ascii="Times New Roman" w:eastAsia="Times New Roman" w:hAnsi="Times New Roman"/>
          <w:iCs/>
          <w:lang w:val="en-US" w:eastAsia="zh-CN"/>
        </w:rPr>
        <w:t>year vocational education programs provided solid foundational knowledge and practical skills necessary for entry-level professional positions. Graduates from nautical deck engineering programs demonstrated high levels of technical proficiency in navigation, ship handling, and maritime safety procedures, with 89% of participants reporting feeling well-prepared for their initial professional responsibilities and 94% indicating that their practical training experiences were highly valuable for professional development.</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effectiveness of practical training components emerged as a critical factor in professional competency development, with graduates consistently emphasizing the importance of hands-on experience gained through shipboard training and simulation exercises. Nautical deck engineering graduates particularly valued their bridge simulation training and actual sea time, reporting that these experiences provided essential skills that could not be acquired through classroom instruction alone. The integration of theoretical knowledge with practical application was identified as a key strength of the current educational approach, with participants noting that this combination enhanced their problem-solving abilities and confidence in professional settings.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Naval marine engineering graduates demonstrated strong technical competencies in engine room operations, mechanical systems maintenance, and engineering problem-solving, with 91% reporting adequate preparation for professional responsibilities. However, this group identified specific gaps in emerging technologies, particularly in automated systems and digital maintenance procedures that are increasingly common in modern vessels. The results indicate that while traditional engineering competencies are well-developed through current educational programs, there is a need for enhanced integration of contemporary technological systems and digital competencies that reflect current industry practices.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Port and shipping engineering graduates showed the highest levels of business acumen and commercial understanding among the three groups, with 93% reporting strong preparation for roles in port operations, logistics management, and shipping business operations. This group demonstrated particular strength in understanding regulatory requirements, commercial procedures, and supply chain management principles. However, they also identified needs for enhanced technology integration, particularly in digital port operations and automated cargo handling systems that are becoming standard in modern port facilities.</w:t>
      </w: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num="2" w:space="360"/>
          <w:docGrid w:linePitch="360"/>
        </w:sectPr>
      </w:pPr>
    </w:p>
    <w:p w:rsidR="00D74F15" w:rsidRPr="00D74F15" w:rsidRDefault="00D74F15" w:rsidP="00D74F15">
      <w:pPr>
        <w:autoSpaceDE w:val="0"/>
        <w:autoSpaceDN w:val="0"/>
        <w:adjustRightInd w:val="0"/>
        <w:spacing w:after="0" w:line="240" w:lineRule="auto"/>
        <w:ind w:firstLine="426"/>
        <w:jc w:val="center"/>
        <w:rPr>
          <w:rFonts w:ascii="Times New Roman" w:eastAsia="Times New Roman" w:hAnsi="Times New Roman"/>
          <w:iCs/>
          <w:lang w:val="en-US" w:eastAsia="zh-CN"/>
        </w:rPr>
      </w:pPr>
      <w:r w:rsidRPr="00D74F15">
        <w:rPr>
          <w:rFonts w:ascii="Times New Roman" w:eastAsia="Times New Roman" w:hAnsi="Times New Roman"/>
          <w:b/>
          <w:bCs/>
          <w:iCs/>
          <w:lang w:val="en-US" w:eastAsia="zh-CN"/>
        </w:rPr>
        <w:t>Table 1: Professional Competency Assessment by Specialization</w:t>
      </w:r>
    </w:p>
    <w:tbl>
      <w:tblPr>
        <w:tblStyle w:val="TableGrid"/>
        <w:tblW w:w="0" w:type="auto"/>
        <w:tblLook w:val="04A0" w:firstRow="1" w:lastRow="0" w:firstColumn="1" w:lastColumn="0" w:noHBand="0" w:noVBand="1"/>
      </w:tblPr>
      <w:tblGrid>
        <w:gridCol w:w="2099"/>
        <w:gridCol w:w="1962"/>
        <w:gridCol w:w="1918"/>
        <w:gridCol w:w="2124"/>
        <w:gridCol w:w="1412"/>
      </w:tblGrid>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Competency Area</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Nautical Deck (n=10)</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Naval Marine (n=10)</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Port &amp; Shipping (n=10)</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Overall (n=30)</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Technical Proficiency</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89%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91%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93%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91% High</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Practical Application</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94%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87%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89%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90% High</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Problem-Solving</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86%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89%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91%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89% High</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Safety Consciousness</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96%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94%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88%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93% High</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lastRenderedPageBreak/>
              <w:t>Communication Skills</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78% Moderate</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74% Moderate</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84%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79% Moderate</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Technology Integration</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71% Moderate</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69% Moderate</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76% Moderate</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72% Moderate</w:t>
            </w:r>
          </w:p>
        </w:tc>
      </w:tr>
    </w:tbl>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space="360"/>
          <w:docGrid w:linePitch="360"/>
        </w:sectPr>
      </w:pP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b/>
          <w:bCs/>
          <w:iCs/>
          <w:lang w:val="en-US" w:eastAsia="zh-CN"/>
        </w:rPr>
        <w:t>Sustainability Awareness and Integration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analysis of sustainability-related themes reveals varying levels of environmental consciousness and sustainable practice implementation among graduates, with significant differences based on educational program focus and professional role requirements. Overall, 73% of graduates demonstrated awareness of sustainability principles and environmental considerations in maritime operations, though the depth and application of this awareness varied considerably across specializations and individual educational experiences.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Port and shipping engineering graduates demonstrated the highest levels of sustainability awareness, with 84% reporting strong understanding of environmental regulations, sustainable port operations, and green logistics practices. This group showed particular strength in understanding the business case for sustainability and the integration of environmental considerations into operational decision-making. Many participants in this specialization reported that their educational programs explicitly addressed environmental impact assessment, sustainable port development, and green shipping practices as integral components of their technical education.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Nautical deck engineering graduates showed moderate sustainability awareness at 71%, with strong understanding of maritime environmental regulations and pollution prevention procedures but less comprehensive understanding of broader sustainability principles and their application to maritime operations. This group demonstrated good knowledge of ballast water management, garbage disposal procedures, and emission control requirements, reflecting the regulatory focus of their educational programs. However, they expressed interest in more comprehensive sustainability education that would enable them to contribute more effectively to their organizations' environmental initiatives.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Naval marine engineering graduates demonstrated the lowest levels of sustainability awareness at 64%, though they showed strong technical understanding of emission control systems, energy efficiency measures, and environmental compliance procedures. This group's sustainability knowledge was primarily technical and regulatory rather than conceptual, focusing on specific environmental systems and compliance requirements rather than broader sustainability principles and their application to maritime operations.</w:t>
      </w: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num="2" w:space="360"/>
          <w:docGrid w:linePitch="360"/>
        </w:sectPr>
      </w:pP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D74F15" w:rsidRPr="00D74F15" w:rsidRDefault="00D74F15" w:rsidP="00D74F15">
      <w:pPr>
        <w:autoSpaceDE w:val="0"/>
        <w:autoSpaceDN w:val="0"/>
        <w:adjustRightInd w:val="0"/>
        <w:spacing w:after="0" w:line="240" w:lineRule="auto"/>
        <w:ind w:firstLine="426"/>
        <w:jc w:val="center"/>
        <w:rPr>
          <w:rFonts w:ascii="Times New Roman" w:eastAsia="Times New Roman" w:hAnsi="Times New Roman"/>
          <w:iCs/>
          <w:lang w:val="en-US" w:eastAsia="zh-CN"/>
        </w:rPr>
      </w:pPr>
      <w:r w:rsidRPr="00D74F15">
        <w:rPr>
          <w:rFonts w:ascii="Times New Roman" w:eastAsia="Times New Roman" w:hAnsi="Times New Roman"/>
          <w:b/>
          <w:bCs/>
          <w:iCs/>
          <w:lang w:val="en-US" w:eastAsia="zh-CN"/>
        </w:rPr>
        <w:t>Table 2: Sustainability Awareness and Application Assessment</w:t>
      </w:r>
    </w:p>
    <w:tbl>
      <w:tblPr>
        <w:tblStyle w:val="TableGrid"/>
        <w:tblW w:w="0" w:type="auto"/>
        <w:jc w:val="center"/>
        <w:tblLook w:val="04A0" w:firstRow="1" w:lastRow="0" w:firstColumn="1" w:lastColumn="0" w:noHBand="0" w:noVBand="1"/>
      </w:tblPr>
      <w:tblGrid>
        <w:gridCol w:w="3305"/>
        <w:gridCol w:w="1422"/>
        <w:gridCol w:w="1400"/>
        <w:gridCol w:w="1628"/>
        <w:gridCol w:w="861"/>
      </w:tblGrid>
      <w:tr w:rsidR="0067485F" w:rsidRPr="00D74F15" w:rsidTr="00D74F15">
        <w:trPr>
          <w:jc w:val="center"/>
        </w:trPr>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Sustainability Dimension</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Nautical Deck</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Naval Marine</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Port &amp; Shipping</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Overall</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Environmental Regulation Knowledge</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89%</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91%</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94%</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91%</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Sustainable Practice Implementation</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67%</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58%</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81%</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69%</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Environmental Decision-Making</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64%</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56%</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79%</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66%</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Green Technology Awareness</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58%</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62%</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76%</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65%</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Carbon Footprint Understanding</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61%</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69%</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83%</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71%</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Waste Management Practices</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87%</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84%</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89%</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87%</w:t>
            </w:r>
          </w:p>
        </w:tc>
      </w:tr>
    </w:tbl>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space="360"/>
          <w:docGrid w:linePitch="360"/>
        </w:sectPr>
      </w:pP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b/>
          <w:bCs/>
          <w:iCs/>
          <w:lang w:val="en-US" w:eastAsia="zh-CN"/>
        </w:rPr>
        <w:t>Industry-Academia Alignment Assessment</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evaluation of industry-academia alignment reveals both strengths and areas for improvement in how well educational programs prepare graduates for contemporary professional requirements. Overall alignment scores indicate good preparation for traditional maritime roles while highlighting needs for enhancement in emerging areas such as digitalization, automation, and sustainable operations that are increasingly important in modern maritime industry practices.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Communication competencies emerged as a significant area requiring attention, with only 79% of graduates reporting strong communication skills and 68% demonstrating adequate Maritime English proficiency for international operations. This finding is particularly significant given the international nature of maritime operations and the critical importance of effective </w:t>
      </w:r>
      <w:r w:rsidRPr="00D74F15">
        <w:rPr>
          <w:rFonts w:ascii="Times New Roman" w:eastAsia="Times New Roman" w:hAnsi="Times New Roman"/>
          <w:iCs/>
          <w:lang w:val="en-US" w:eastAsia="zh-CN"/>
        </w:rPr>
        <w:t>communication for safety and operational efficiency. Graduates consistently identified communication skills as an area where additional educational emphasis would enhance their professional effectiveness and career advancement opportunities.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Technology integration represents another area where industry-academia alignment requires improvement, with 72% of graduates reporting moderate technology competencies and many expressing concerns about their preparation for increasingly digitalized maritime operations. The rapid pace of technological advancement in maritime operations appears to exceed the rate of curriculum adaptation in educational institutions, creating a gap between graduate competencies and industry requirements for technology-literate professionals.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Professional development and continuing education emerged as important themes, with 86% of </w:t>
      </w:r>
      <w:r w:rsidRPr="00D74F15">
        <w:rPr>
          <w:rFonts w:ascii="Times New Roman" w:eastAsia="Times New Roman" w:hAnsi="Times New Roman"/>
          <w:iCs/>
          <w:lang w:val="en-US" w:eastAsia="zh-CN"/>
        </w:rPr>
        <w:lastRenderedPageBreak/>
        <w:t xml:space="preserve">graduates emphasizing the importance of ongoing learning and professional skill development throughout their careers. This finding highlights the need for educational programs to not only provide technical </w:t>
      </w:r>
      <w:r w:rsidRPr="00D74F15">
        <w:rPr>
          <w:rFonts w:ascii="Times New Roman" w:eastAsia="Times New Roman" w:hAnsi="Times New Roman"/>
          <w:iCs/>
          <w:lang w:val="en-US" w:eastAsia="zh-CN"/>
        </w:rPr>
        <w:t>competencies but also develop learning skills and professional development attitudes that enable graduates to adapt to changing industry requirements throughout their careers.</w:t>
      </w: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num="2" w:space="360"/>
          <w:docGrid w:linePitch="360"/>
        </w:sectPr>
      </w:pP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D74F15" w:rsidRPr="00D74F15" w:rsidRDefault="00D74F15" w:rsidP="00D74F15">
      <w:pPr>
        <w:autoSpaceDE w:val="0"/>
        <w:autoSpaceDN w:val="0"/>
        <w:adjustRightInd w:val="0"/>
        <w:spacing w:after="0" w:line="240" w:lineRule="auto"/>
        <w:ind w:firstLine="426"/>
        <w:jc w:val="center"/>
        <w:rPr>
          <w:rFonts w:ascii="Times New Roman" w:eastAsia="Times New Roman" w:hAnsi="Times New Roman"/>
          <w:iCs/>
          <w:lang w:val="en-US" w:eastAsia="zh-CN"/>
        </w:rPr>
      </w:pPr>
      <w:r w:rsidRPr="00D74F15">
        <w:rPr>
          <w:rFonts w:ascii="Times New Roman" w:eastAsia="Times New Roman" w:hAnsi="Times New Roman"/>
          <w:b/>
          <w:bCs/>
          <w:iCs/>
          <w:lang w:val="en-US" w:eastAsia="zh-CN"/>
        </w:rPr>
        <w:t>Table 3: Industry-Academia Alignment Indicators</w:t>
      </w:r>
    </w:p>
    <w:tbl>
      <w:tblPr>
        <w:tblStyle w:val="TableGrid"/>
        <w:tblW w:w="0" w:type="auto"/>
        <w:jc w:val="center"/>
        <w:tblLook w:val="04A0" w:firstRow="1" w:lastRow="0" w:firstColumn="1" w:lastColumn="0" w:noHBand="0" w:noVBand="1"/>
      </w:tblPr>
      <w:tblGrid>
        <w:gridCol w:w="2288"/>
        <w:gridCol w:w="1733"/>
        <w:gridCol w:w="1789"/>
        <w:gridCol w:w="2416"/>
      </w:tblGrid>
      <w:tr w:rsidR="0067485F" w:rsidRPr="00D74F15" w:rsidTr="00D74F15">
        <w:trPr>
          <w:jc w:val="center"/>
        </w:trPr>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Alignment Area</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Satisfaction Level</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Gap Identification</w:t>
            </w:r>
          </w:p>
        </w:tc>
        <w:tc>
          <w:tcPr>
            <w:tcW w:w="0" w:type="auto"/>
            <w:hideMark/>
          </w:tcPr>
          <w:p w:rsidR="00D74F15" w:rsidRPr="00D74F15" w:rsidRDefault="00D74F15" w:rsidP="00D74F15">
            <w:pPr>
              <w:pStyle w:val="NoSpacing"/>
              <w:rPr>
                <w:b/>
                <w:bCs/>
                <w:sz w:val="20"/>
                <w:szCs w:val="20"/>
                <w:lang w:val="en-US" w:eastAsia="zh-CN"/>
              </w:rPr>
            </w:pPr>
            <w:r w:rsidRPr="00D74F15">
              <w:rPr>
                <w:b/>
                <w:bCs/>
                <w:sz w:val="20"/>
                <w:szCs w:val="20"/>
                <w:lang w:val="en-US" w:eastAsia="zh-CN"/>
              </w:rPr>
              <w:t>Priority for Improvement</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Technical Skills</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88%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12%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Medium Priority</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Practical Training</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91%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9%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Low Priority</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Communication</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68%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32%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High Priority</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Technology Integration</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61%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39%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High Priority</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Sustainability Knowledge</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69%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31%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High Priority</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Business Understanding</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74%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26%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Medium Priority</w:t>
            </w:r>
          </w:p>
        </w:tc>
      </w:tr>
      <w:tr w:rsidR="0067485F" w:rsidRPr="00D74F15" w:rsidTr="00D74F15">
        <w:trPr>
          <w:jc w:val="center"/>
        </w:trPr>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Regulatory Knowledge</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89% Satisfied</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11% Gap</w:t>
            </w:r>
          </w:p>
        </w:tc>
        <w:tc>
          <w:tcPr>
            <w:tcW w:w="0" w:type="auto"/>
            <w:hideMark/>
          </w:tcPr>
          <w:p w:rsidR="00D74F15" w:rsidRPr="00D74F15" w:rsidRDefault="00D74F15" w:rsidP="00D74F15">
            <w:pPr>
              <w:pStyle w:val="NoSpacing"/>
              <w:rPr>
                <w:sz w:val="20"/>
                <w:szCs w:val="20"/>
                <w:lang w:val="en-US" w:eastAsia="zh-CN"/>
              </w:rPr>
            </w:pPr>
            <w:r w:rsidRPr="00D74F15">
              <w:rPr>
                <w:sz w:val="20"/>
                <w:szCs w:val="20"/>
                <w:lang w:val="en-US" w:eastAsia="zh-CN"/>
              </w:rPr>
              <w:t>Low Priority</w:t>
            </w:r>
          </w:p>
        </w:tc>
      </w:tr>
    </w:tbl>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space="360"/>
          <w:docGrid w:linePitch="360"/>
        </w:sectPr>
      </w:pP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b/>
          <w:bCs/>
          <w:iCs/>
          <w:lang w:val="en-US" w:eastAsia="zh-CN"/>
        </w:rPr>
        <w:t>Educational Enhancement Priorities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comprehensive analysis identifies several priority areas for educational enhancement that would improve graduate preparedness and industry alignment while maintaining the strengths of current maritime education programs. Communication skills development emerges as the highest priority area, with graduates consistently identifying needs for enhanced Maritime English training, intercultural communication skills, and technical communication abilities that are essential for effective professional performance in international maritime operations.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Technology integration represents another high-priority area for educational enhancement, with graduates expressing needs for exposure to modern maritime technologies including digital navigation systems, automated cargo handling equipment, remote monitoring systems, and digital maintenance </w:t>
      </w:r>
      <w:r w:rsidRPr="00D74F15">
        <w:rPr>
          <w:rFonts w:ascii="Times New Roman" w:eastAsia="Times New Roman" w:hAnsi="Times New Roman"/>
          <w:iCs/>
          <w:lang w:val="en-US" w:eastAsia="zh-CN"/>
        </w:rPr>
        <w:t>procedures that are increasingly common in contemporary maritime operations. The integration of these technological competencies with traditional maritime skills is identified as essential for preparing graduates who can effectively operate in modern maritime environments.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Sustainability education enhancement is identified as a critical priority, with graduates expressing interest in more comprehensive environmental education that goes beyond regulatory compliance to encompass broader sustainability principles, environmental impact assessment, and sustainable practice implementation. This enhanced sustainability focus would enable graduates to contribute more effectively to industry sustainability initiatives and environmental protection efforts while advancing their professional careers in an increasingly environmentally conscious industry.</w:t>
      </w: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num="2" w:space="360"/>
          <w:docGrid w:linePitch="360"/>
        </w:sectPr>
      </w:pPr>
    </w:p>
    <w:p w:rsidR="0067485F" w:rsidRDefault="0067485F" w:rsidP="00D74F15">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D74F15" w:rsidRPr="00D74F15" w:rsidRDefault="00D74F15" w:rsidP="00D74F15">
      <w:pPr>
        <w:autoSpaceDE w:val="0"/>
        <w:autoSpaceDN w:val="0"/>
        <w:adjustRightInd w:val="0"/>
        <w:spacing w:after="0" w:line="240" w:lineRule="auto"/>
        <w:ind w:firstLine="426"/>
        <w:jc w:val="center"/>
        <w:rPr>
          <w:rFonts w:ascii="Times New Roman" w:eastAsia="Times New Roman" w:hAnsi="Times New Roman"/>
          <w:iCs/>
          <w:lang w:val="en-US" w:eastAsia="zh-CN"/>
        </w:rPr>
      </w:pPr>
      <w:r w:rsidRPr="00D74F15">
        <w:rPr>
          <w:rFonts w:ascii="Times New Roman" w:eastAsia="Times New Roman" w:hAnsi="Times New Roman"/>
          <w:b/>
          <w:bCs/>
          <w:iCs/>
          <w:lang w:val="en-US" w:eastAsia="zh-CN"/>
        </w:rPr>
        <w:t>Table 4: Educational Enhancement Priority Matrix</w:t>
      </w:r>
    </w:p>
    <w:tbl>
      <w:tblPr>
        <w:tblStyle w:val="TableGrid"/>
        <w:tblW w:w="0" w:type="auto"/>
        <w:tblLook w:val="04A0" w:firstRow="1" w:lastRow="0" w:firstColumn="1" w:lastColumn="0" w:noHBand="0" w:noVBand="1"/>
      </w:tblPr>
      <w:tblGrid>
        <w:gridCol w:w="2232"/>
        <w:gridCol w:w="2077"/>
        <w:gridCol w:w="2199"/>
        <w:gridCol w:w="1733"/>
        <w:gridCol w:w="1678"/>
      </w:tblGrid>
      <w:tr w:rsidR="0067485F" w:rsidRPr="00D74F15" w:rsidTr="00D74F15">
        <w:tc>
          <w:tcPr>
            <w:tcW w:w="0" w:type="auto"/>
            <w:hideMark/>
          </w:tcPr>
          <w:p w:rsidR="00D74F15" w:rsidRPr="00D74F15" w:rsidRDefault="00D74F15" w:rsidP="00D74F15">
            <w:pPr>
              <w:pStyle w:val="NoSpacing"/>
              <w:jc w:val="center"/>
              <w:rPr>
                <w:b/>
                <w:bCs/>
                <w:sz w:val="20"/>
                <w:szCs w:val="20"/>
                <w:lang w:val="en-US" w:eastAsia="zh-CN"/>
              </w:rPr>
            </w:pPr>
            <w:r w:rsidRPr="00D74F15">
              <w:rPr>
                <w:b/>
                <w:bCs/>
                <w:sz w:val="20"/>
                <w:szCs w:val="20"/>
                <w:lang w:val="en-US" w:eastAsia="zh-CN"/>
              </w:rPr>
              <w:t>Enhancement Area</w:t>
            </w:r>
          </w:p>
        </w:tc>
        <w:tc>
          <w:tcPr>
            <w:tcW w:w="0" w:type="auto"/>
            <w:hideMark/>
          </w:tcPr>
          <w:p w:rsidR="00D74F15" w:rsidRPr="00D74F15" w:rsidRDefault="00D74F15" w:rsidP="00D74F15">
            <w:pPr>
              <w:pStyle w:val="NoSpacing"/>
              <w:jc w:val="center"/>
              <w:rPr>
                <w:b/>
                <w:bCs/>
                <w:sz w:val="20"/>
                <w:szCs w:val="20"/>
                <w:lang w:val="en-US" w:eastAsia="zh-CN"/>
              </w:rPr>
            </w:pPr>
            <w:r w:rsidRPr="00D74F15">
              <w:rPr>
                <w:b/>
                <w:bCs/>
                <w:sz w:val="20"/>
                <w:szCs w:val="20"/>
                <w:lang w:val="en-US" w:eastAsia="zh-CN"/>
              </w:rPr>
              <w:t>Current Effectiveness</w:t>
            </w:r>
          </w:p>
        </w:tc>
        <w:tc>
          <w:tcPr>
            <w:tcW w:w="0" w:type="auto"/>
            <w:hideMark/>
          </w:tcPr>
          <w:p w:rsidR="00D74F15" w:rsidRPr="00D74F15" w:rsidRDefault="00D74F15" w:rsidP="00D74F15">
            <w:pPr>
              <w:pStyle w:val="NoSpacing"/>
              <w:jc w:val="center"/>
              <w:rPr>
                <w:b/>
                <w:bCs/>
                <w:sz w:val="20"/>
                <w:szCs w:val="20"/>
                <w:lang w:val="en-US" w:eastAsia="zh-CN"/>
              </w:rPr>
            </w:pPr>
            <w:r w:rsidRPr="00D74F15">
              <w:rPr>
                <w:b/>
                <w:bCs/>
                <w:sz w:val="20"/>
                <w:szCs w:val="20"/>
                <w:lang w:val="en-US" w:eastAsia="zh-CN"/>
              </w:rPr>
              <w:t>Improvement Potential</w:t>
            </w:r>
          </w:p>
        </w:tc>
        <w:tc>
          <w:tcPr>
            <w:tcW w:w="0" w:type="auto"/>
            <w:hideMark/>
          </w:tcPr>
          <w:p w:rsidR="00D74F15" w:rsidRPr="00D74F15" w:rsidRDefault="00D74F15" w:rsidP="00D74F15">
            <w:pPr>
              <w:pStyle w:val="NoSpacing"/>
              <w:jc w:val="center"/>
              <w:rPr>
                <w:b/>
                <w:bCs/>
                <w:sz w:val="20"/>
                <w:szCs w:val="20"/>
                <w:lang w:val="en-US" w:eastAsia="zh-CN"/>
              </w:rPr>
            </w:pPr>
            <w:r w:rsidRPr="00D74F15">
              <w:rPr>
                <w:b/>
                <w:bCs/>
                <w:sz w:val="20"/>
                <w:szCs w:val="20"/>
                <w:lang w:val="en-US" w:eastAsia="zh-CN"/>
              </w:rPr>
              <w:t>Industry Demand</w:t>
            </w:r>
          </w:p>
        </w:tc>
        <w:tc>
          <w:tcPr>
            <w:tcW w:w="0" w:type="auto"/>
            <w:hideMark/>
          </w:tcPr>
          <w:p w:rsidR="00D74F15" w:rsidRPr="00D74F15" w:rsidRDefault="00D74F15" w:rsidP="00D74F15">
            <w:pPr>
              <w:pStyle w:val="NoSpacing"/>
              <w:jc w:val="center"/>
              <w:rPr>
                <w:b/>
                <w:bCs/>
                <w:sz w:val="20"/>
                <w:szCs w:val="20"/>
                <w:lang w:val="en-US" w:eastAsia="zh-CN"/>
              </w:rPr>
            </w:pPr>
            <w:r w:rsidRPr="00D74F15">
              <w:rPr>
                <w:b/>
                <w:bCs/>
                <w:sz w:val="20"/>
                <w:szCs w:val="20"/>
                <w:lang w:val="en-US" w:eastAsia="zh-CN"/>
              </w:rPr>
              <w:t>Priority Ranking</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Communication Skills</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68%</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Very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1</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Technology Integration</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61%</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Very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Very 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2</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Sustainability Education</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69%</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3</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Business Acumen</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74%</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Medium</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High</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4</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Leadership Development</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71%</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Medium</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Medium</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5</w:t>
            </w:r>
          </w:p>
        </w:tc>
      </w:tr>
      <w:tr w:rsidR="0067485F" w:rsidRPr="00D74F15" w:rsidTr="00D74F15">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Cultural Competency</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66%</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Medium</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Medium</w:t>
            </w:r>
          </w:p>
        </w:tc>
        <w:tc>
          <w:tcPr>
            <w:tcW w:w="0" w:type="auto"/>
            <w:hideMark/>
          </w:tcPr>
          <w:p w:rsidR="00D74F15" w:rsidRPr="00D74F15" w:rsidRDefault="00D74F15" w:rsidP="00D74F15">
            <w:pPr>
              <w:pStyle w:val="NoSpacing"/>
              <w:jc w:val="center"/>
              <w:rPr>
                <w:sz w:val="20"/>
                <w:szCs w:val="20"/>
                <w:lang w:val="en-US" w:eastAsia="zh-CN"/>
              </w:rPr>
            </w:pPr>
            <w:r w:rsidRPr="00D74F15">
              <w:rPr>
                <w:sz w:val="20"/>
                <w:szCs w:val="20"/>
                <w:lang w:val="en-US" w:eastAsia="zh-CN"/>
              </w:rPr>
              <w:t>6</w:t>
            </w:r>
          </w:p>
        </w:tc>
      </w:tr>
    </w:tbl>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67485F" w:rsidRDefault="0067485F" w:rsidP="00D74F15">
      <w:pPr>
        <w:autoSpaceDE w:val="0"/>
        <w:autoSpaceDN w:val="0"/>
        <w:adjustRightInd w:val="0"/>
        <w:spacing w:after="0" w:line="240" w:lineRule="auto"/>
        <w:ind w:firstLine="426"/>
        <w:jc w:val="both"/>
        <w:rPr>
          <w:rFonts w:ascii="Times New Roman" w:eastAsia="Times New Roman" w:hAnsi="Times New Roman"/>
          <w:b/>
          <w:bCs/>
          <w:iCs/>
          <w:lang w:val="en-US" w:eastAsia="zh-CN"/>
        </w:rPr>
        <w:sectPr w:rsidR="0067485F" w:rsidSect="0067485F">
          <w:type w:val="continuous"/>
          <w:pgSz w:w="11906" w:h="16838" w:code="9"/>
          <w:pgMar w:top="1080" w:right="907" w:bottom="1440" w:left="907" w:header="720" w:footer="720" w:gutter="0"/>
          <w:pgNumType w:start="90"/>
          <w:cols w:space="360"/>
          <w:docGrid w:linePitch="360"/>
        </w:sectPr>
      </w:pP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b/>
          <w:bCs/>
          <w:iCs/>
          <w:lang w:val="en-US" w:eastAsia="zh-CN"/>
        </w:rPr>
        <w:t>Professional Development Outcomes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longitudinal analysis of graduate career progression reveals positive professional development outcomes across all specializations, with 87% of graduates reporting career advancement within three years of graduation and 92% expressing satisfaction with their career choices and professional development opportunities. These outcomes suggest that maritime education programs are effectively preparing graduates for successful maritime careers while providing foundations for continued professional growth and advancement.</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Career satisfaction levels are particularly high among port and shipping engineering graduates at 96%, </w:t>
      </w:r>
      <w:r w:rsidRPr="00D74F15">
        <w:rPr>
          <w:rFonts w:ascii="Times New Roman" w:eastAsia="Times New Roman" w:hAnsi="Times New Roman"/>
          <w:iCs/>
          <w:lang w:val="en-US" w:eastAsia="zh-CN"/>
        </w:rPr>
        <w:t>followed by nautical deck engineering graduates at 91% and naval marine engineering graduates at 89%. These satisfaction levels correlate with perceived alignment between educational preparation and professional role requirements, with higher satisfaction among graduates who report better alignment between their educational experiences and current professional responsibilities.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Professional networking and industry connections developed during educational programs emerged as important factors in career success, with graduates who participated in industry collaboration programs and practical training with multiple organizations reporting more diverse career opportunities and faster career advancement. This finding emphasizes the importance </w:t>
      </w:r>
      <w:r w:rsidRPr="00D74F15">
        <w:rPr>
          <w:rFonts w:ascii="Times New Roman" w:eastAsia="Times New Roman" w:hAnsi="Times New Roman"/>
          <w:iCs/>
          <w:lang w:val="en-US" w:eastAsia="zh-CN"/>
        </w:rPr>
        <w:lastRenderedPageBreak/>
        <w:t>of industry partnerships and collaboration in enhancing educational outcomes and professional development opportunities for maritime graduates.</w:t>
      </w:r>
    </w:p>
    <w:p w:rsidR="00D74F15" w:rsidRDefault="00D74F15" w:rsidP="00D74F15">
      <w:pPr>
        <w:autoSpaceDE w:val="0"/>
        <w:autoSpaceDN w:val="0"/>
        <w:adjustRightInd w:val="0"/>
        <w:spacing w:after="0" w:line="240" w:lineRule="auto"/>
        <w:jc w:val="both"/>
        <w:rPr>
          <w:rFonts w:ascii="Times New Roman" w:eastAsia="Times New Roman" w:hAnsi="Times New Roman"/>
          <w:b/>
          <w:bCs/>
          <w:iCs/>
          <w:lang w:val="en-US" w:eastAsia="zh-CN"/>
        </w:rPr>
      </w:pPr>
    </w:p>
    <w:p w:rsidR="00D74F15" w:rsidRPr="00D74F15" w:rsidRDefault="00D74F15" w:rsidP="00D74F15">
      <w:pPr>
        <w:pStyle w:val="Heading1"/>
        <w:numPr>
          <w:ilvl w:val="0"/>
          <w:numId w:val="9"/>
        </w:numPr>
        <w:rPr>
          <w:lang w:val="en-US"/>
        </w:rPr>
      </w:pPr>
      <w:r w:rsidRPr="00D74F15">
        <w:rPr>
          <w:lang w:val="en-US"/>
        </w:rPr>
        <w:t>Discussion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findings of this comprehensive qualitative analysis provide significant insights into the effectiveness of maritime vocational education in preparing professionals for contemporary industry demands while revealing important areas for enhancement that align with evolving industry requirements and sustainability imperatives. The research results demonstrate that current maritime education programs achieve considerable success in developing technical competencies and practical skills while identifying specific gaps in communication abilities, technology integration, and sustainability education that require attention to ensure continued relevance and effectiveness in preparing maritime professionals [15].</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strong performance in technical competency development across all three maritime specializations confirms that traditional maritime education approaches effectively build foundational knowledge and practical skills necessary for professional entry-level positions. This finding aligns with previous research emphasizing the importance of practical training and hands-on experience in maritime education, supporting the continued emphasis on experiential learning approaches that have long characterized maritime professional preparation [16]. The high satisfaction levels with practical training components validate the investment in simulation facilities, shipboard training programs, and industry partnerships that provide authentic learning experiences closely aligned with professional practice requirements.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However, the identified gaps in communication competencies present significant challenges that require immediate attention given the international nature of maritime operations and the critical importance of effective communication for operational safety and efficiency. The finding that only 68% of graduates demonstrate adequate Maritime English proficiency contradicts the STCW requirements and industry expectations for international maritime operations [17]. This communication gap may contribute to operational inefficiencies and safety risks in multicultural maritime environments where effective communication is essential for coordination, emergency response, and routine operational procedures.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technology integration challenges revealed in this research reflect broader trends in maritime industry digitalization that outpace educational curriculum adaptation. With only 61% of graduates reporting adequate technology competencies, maritime education institutions face urgent needs to integrate contemporary </w:t>
      </w:r>
      <w:r w:rsidRPr="00D74F15">
        <w:rPr>
          <w:rFonts w:ascii="Times New Roman" w:eastAsia="Times New Roman" w:hAnsi="Times New Roman"/>
          <w:iCs/>
          <w:lang w:val="en-US" w:eastAsia="zh-CN"/>
        </w:rPr>
        <w:t>maritime technologies into their curricula while maintaining essential traditional competencies [18]. This finding suggests that maritime education requires fundamental restructuring to balance traditional seamanship skills with modern technological competencies that are increasingly essential for effective professional performance in automated and digitalized maritime operations.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sustainability awareness variations across specializations highlight differential approaches to environmental education within maritime programs, with port and shipping engineering graduates demonstrating significantly higher environmental consciousness than their nautical deck and naval marine engineering counterparts. This finding suggests that sustainability education integration depends heavily on specialization focus and curriculum design rather than representing a comprehensive institutional commitment to environmental literacy development [19]. The moderate overall sustainability awareness levels indicate missed opportunities to prepare maritime professionals who can contribute effectively to industry sustainability initiatives and environmental protection efforts.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strong correlation between practical training quality and professional preparedness confirms established theories about experiential learning effectiveness in technical education while highlighting the continued importance of industry-academia collaboration in maritime professional preparation. Graduates who participated in comprehensive practical training programs with multiple industry partners reported higher confidence levels and better professional adaptation, supporting arguments for enhanced industry engagement in maritime education design and delivery [20]. This finding emphasizes the need for sustained investment in industry partnerships and practical training infrastructure to maintain educational effectiveness and industry relevance.</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communication competency gaps identified in this research extend beyond language skills to encompass broader intercultural communication abilities that are essential for effective performance in multinational maritime operations. The challenges multinational crews face in achieving effective collaboration and communication have been documented in previous research, emphasizing the need for maritime education programs to address cultural competency development alongside technical training [21]. The moderate communication competency levels reported by graduates suggest that current educational approaches inadequately prepare students for the cultural diversity and communication challenges characteristic of international maritime operations.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technology integration challenges reflect rapid technological advancement in maritime operations that </w:t>
      </w:r>
      <w:r w:rsidRPr="00D74F15">
        <w:rPr>
          <w:rFonts w:ascii="Times New Roman" w:eastAsia="Times New Roman" w:hAnsi="Times New Roman"/>
          <w:iCs/>
          <w:lang w:val="en-US" w:eastAsia="zh-CN"/>
        </w:rPr>
        <w:lastRenderedPageBreak/>
        <w:t>creates ongoing curriculum adaptation requirements for educational institutions. The emergence of automated systems, digital maintenance procedures, and remote monitoring technologies requires maritime education programs to continuously update their technological components while maintaining focus on fundamental seamanship principles that remain essential for safe and effective maritime operations. This technological evolution presents both opportunities and challenges for maritime educators seeking to prepare graduates for rapidly changing professional environments.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sustainability education variations across specializations suggest that environmental literacy development requires more systematic integration across all maritime programs rather than concentration in specific specializations. The higher sustainability awareness among port and shipping engineering graduates may reflect the business focus of their programs and explicit attention to environmental regulations and sustainable practices in commercial maritime operations. However, the lower sustainability awareness among deck and engineering specializations represents missed opportunities to develop environmental consciousness among professionals who directly control vessel operations and environmental impact.</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strong professional development outcomes and career satisfaction levels validate the overall effectiveness of maritime education in preparing graduates for successful careers while highlighting specific enhancement opportunities that could further improve professional preparation and industry alignment. The positive career progression patterns suggest that maritime education provides adequate foundations for professional development while indicating that targeted improvements in communication, technology, and sustainability education could enhance career advancement opportunities and professional effectiveness.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research findings contribute to understanding of vocational education effectiveness in technical fields by demonstrating how practical training, industry collaboration, and comprehensive curriculum design influence professional competency development and career outcomes. The identification of specific competency gaps provides actionable guidance for educational improvement while the documentation of educational strengths validates successful approaches that should be maintained and expanded. These findings extend previous research on maritime education by providing comprehensive stakeholder perspectives on educational effectiveness and professional preparation quality.</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The practical implications of these findings for maritime educational institutions include the need for systematic curriculum review and enhancement to </w:t>
      </w:r>
      <w:r w:rsidRPr="00D74F15">
        <w:rPr>
          <w:rFonts w:ascii="Times New Roman" w:eastAsia="Times New Roman" w:hAnsi="Times New Roman"/>
          <w:iCs/>
          <w:lang w:val="en-US" w:eastAsia="zh-CN"/>
        </w:rPr>
        <w:t>address identified competency gaps while maintaining strengths in technical education and practical training. The communication competency gaps require immediate attention through enhanced Maritime English programs, intercultural communication training, and expanded opportunities for international collaboration and exchange. Technology integration needs demand investment in contemporary maritime simulation and training equipment alongside faculty development programs that ensure instructor competency with emerging maritime technologies.</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sustainability education requirements suggest opportunities for comprehensive environmental literacy integration across all maritime specializations, moving beyond regulatory compliance to encompass broader environmental consciousness and sustainable practice development. This integration could enhance graduate employability while contributing to industry sustainability initiatives and environmental protection efforts that are increasingly important for maritime industry reputation and regulatory compliance.</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Future research opportunities identified through this investigation include longitudinal studies of graduate career progression and competency development over extended periods, comparative analysis of different maritime education approaches and their effectiveness in developing specific competencies, and investigation of innovative educational technologies and their impact on learning outcomes in maritime education contexts. Additionally, research examining employer perspectives on graduate preparedness and specific competency requirements could provide valuable insights for curriculum development and educational planning.</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limitations of this research include the focus on a specific group of graduates from particular institutions, which may limit the generalizability of findings to broader maritime education contexts. The qualitative approach, while providing rich insights into participant experiences and perspectives, does not enable statistical generalization to larger populations. Future research utilizing mixed methods approaches could provide additional quantitative validation of qualitative findings while enabling broader generalization of results across different maritime education contexts and graduate populations.</w:t>
      </w:r>
    </w:p>
    <w:p w:rsidR="00D74F15" w:rsidRDefault="00D74F15" w:rsidP="00D74F15">
      <w:pPr>
        <w:autoSpaceDE w:val="0"/>
        <w:autoSpaceDN w:val="0"/>
        <w:adjustRightInd w:val="0"/>
        <w:spacing w:after="0" w:line="240" w:lineRule="auto"/>
        <w:jc w:val="both"/>
        <w:rPr>
          <w:rFonts w:ascii="Times New Roman" w:eastAsia="Times New Roman" w:hAnsi="Times New Roman"/>
          <w:b/>
          <w:bCs/>
          <w:iCs/>
          <w:lang w:val="en-US" w:eastAsia="zh-CN"/>
        </w:rPr>
      </w:pPr>
    </w:p>
    <w:p w:rsidR="00D74F15" w:rsidRPr="00D74F15" w:rsidRDefault="00D74F15" w:rsidP="00D74F15">
      <w:pPr>
        <w:pStyle w:val="Heading1"/>
        <w:numPr>
          <w:ilvl w:val="0"/>
          <w:numId w:val="9"/>
        </w:numPr>
        <w:rPr>
          <w:lang w:val="en-US"/>
        </w:rPr>
      </w:pPr>
      <w:r w:rsidRPr="00D74F15">
        <w:rPr>
          <w:lang w:val="en-US"/>
        </w:rPr>
        <w:t>Conclusion</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This comprehensive qualitative analysis of maritime vocational education effectiveness reveals that current programs successfully develop strong technical competencies and practical skills while identifying critical enhancement opportunities in communication abilities, technology integration, and sustainability education that are essential for preparing maritime professionals for contemporary industry </w:t>
      </w:r>
      <w:r w:rsidRPr="00D74F15">
        <w:rPr>
          <w:rFonts w:ascii="Times New Roman" w:eastAsia="Times New Roman" w:hAnsi="Times New Roman"/>
          <w:iCs/>
          <w:lang w:val="en-US" w:eastAsia="zh-CN"/>
        </w:rPr>
        <w:lastRenderedPageBreak/>
        <w:t>demands. The research demonstrates that maritime education institutions achieve considerable success in traditional technical preparation while facing challenges in adapting to rapidly evolving industry requirements related to digitalization, environmental consciousness, and international communication competencies that are increasingly important for professional effectiveness and career advancement.</w:t>
      </w:r>
      <w:r>
        <w:rPr>
          <w:rFonts w:ascii="Times New Roman" w:eastAsia="Times New Roman" w:hAnsi="Times New Roman"/>
          <w:iCs/>
          <w:lang w:val="en-US" w:eastAsia="zh-CN"/>
        </w:rPr>
        <w:t xml:space="preserve"> </w:t>
      </w:r>
      <w:r w:rsidRPr="00D74F15">
        <w:rPr>
          <w:rFonts w:ascii="Times New Roman" w:eastAsia="Times New Roman" w:hAnsi="Times New Roman"/>
          <w:iCs/>
          <w:lang w:val="en-US" w:eastAsia="zh-CN"/>
        </w:rPr>
        <w:t>The findings indicate that practical training components and industry collaboration represent significant strengths of current maritime education approaches, with graduates consistently reporting high value from hands-on learning experiences and industry engagement opportunities that provide authentic preparation for professional responsibilities. However, the identified gaps in Maritime English proficiency, technology competencies, and sustainability awareness require immediate attention to ensure continued educational relevance and graduate competitiveness in an evolving maritime industry landscape.</w:t>
      </w:r>
    </w:p>
    <w:p w:rsidR="00D74F15" w:rsidRPr="00D74F15" w:rsidRDefault="00D74F15" w:rsidP="00D74F15">
      <w:pPr>
        <w:autoSpaceDE w:val="0"/>
        <w:autoSpaceDN w:val="0"/>
        <w:adjustRightInd w:val="0"/>
        <w:spacing w:after="0" w:line="240" w:lineRule="auto"/>
        <w:ind w:firstLine="426"/>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The research contributes valuable insights for maritime educational institutions, industry partners, and regulatory bodies by providing evidence-based guidance for curriculum enhancement and educational improvement initiatives. The identification of specific competency gaps and enhancement priorities enables targeted interventions that can improve educational outcomes while maintaining successful traditional components of maritime professional preparation. These findings support arguments for increased investment in communication education, technology integration, and sustainability literacy development as essential components of contemporary maritime education.</w:t>
      </w:r>
      <w:r>
        <w:rPr>
          <w:rFonts w:ascii="Times New Roman" w:eastAsia="Times New Roman" w:hAnsi="Times New Roman"/>
          <w:iCs/>
          <w:lang w:val="en-US" w:eastAsia="zh-CN"/>
        </w:rPr>
        <w:t xml:space="preserve"> </w:t>
      </w:r>
      <w:r w:rsidRPr="00D74F15">
        <w:rPr>
          <w:rFonts w:ascii="Times New Roman" w:eastAsia="Times New Roman" w:hAnsi="Times New Roman"/>
          <w:iCs/>
          <w:lang w:val="en-US" w:eastAsia="zh-CN"/>
        </w:rPr>
        <w:t>The strong professional development outcomes and career satisfaction levels among graduates validate the overall effectiveness of maritime education while highlighting opportunities for enhancement that could further improve professional preparation and industry alignment. The research demonstrates that maritime education provides solid foundations for professional success while indicating that strategic improvements in identified areas could enhance graduate competitiveness and contribute to improved industry performance in safety, efficiency, and environmental stewardship.</w:t>
      </w:r>
    </w:p>
    <w:p w:rsidR="00D74F15" w:rsidRDefault="00D74F15" w:rsidP="00D74F15">
      <w:pPr>
        <w:autoSpaceDE w:val="0"/>
        <w:autoSpaceDN w:val="0"/>
        <w:adjustRightInd w:val="0"/>
        <w:spacing w:after="0" w:line="240" w:lineRule="auto"/>
        <w:jc w:val="both"/>
        <w:rPr>
          <w:rFonts w:ascii="Times New Roman" w:eastAsia="Times New Roman" w:hAnsi="Times New Roman"/>
          <w:b/>
          <w:bCs/>
          <w:iCs/>
          <w:lang w:val="en-US" w:eastAsia="zh-CN"/>
        </w:rPr>
      </w:pPr>
    </w:p>
    <w:p w:rsidR="00D74F15" w:rsidRPr="00D74F15" w:rsidRDefault="00D74F15" w:rsidP="00D74F15">
      <w:pPr>
        <w:pStyle w:val="Heading1"/>
        <w:numPr>
          <w:ilvl w:val="0"/>
          <w:numId w:val="0"/>
        </w:numPr>
        <w:rPr>
          <w:lang w:val="en-US"/>
        </w:rPr>
      </w:pPr>
      <w:r w:rsidRPr="00D74F15">
        <w:rPr>
          <w:lang w:val="en-US"/>
        </w:rPr>
        <w:t>References</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 </w:t>
      </w:r>
      <w:proofErr w:type="spellStart"/>
      <w:r w:rsidRPr="00D74F15">
        <w:rPr>
          <w:rFonts w:ascii="Times New Roman" w:eastAsia="Times New Roman" w:hAnsi="Times New Roman"/>
          <w:iCs/>
          <w:lang w:val="en-US" w:eastAsia="zh-CN"/>
        </w:rPr>
        <w:t>Agrifoglio</w:t>
      </w:r>
      <w:proofErr w:type="spellEnd"/>
      <w:r w:rsidRPr="00D74F15">
        <w:rPr>
          <w:rFonts w:ascii="Times New Roman" w:eastAsia="Times New Roman" w:hAnsi="Times New Roman"/>
          <w:iCs/>
          <w:lang w:val="en-US" w:eastAsia="zh-CN"/>
        </w:rPr>
        <w:t xml:space="preserve">, R., Cannavale, C., Laurenza, E., &amp; Metallo, C. (2017). How emerging digital technologies affect operations management through co-creation: Empirical evidence from the maritime industry. </w:t>
      </w:r>
      <w:r w:rsidRPr="00D74F15">
        <w:rPr>
          <w:rFonts w:ascii="Times New Roman" w:eastAsia="Times New Roman" w:hAnsi="Times New Roman"/>
          <w:i/>
          <w:iCs/>
          <w:lang w:val="en-US" w:eastAsia="zh-CN"/>
        </w:rPr>
        <w:t>Production Planning &amp; Control</w:t>
      </w:r>
      <w:r w:rsidRPr="00D74F15">
        <w:rPr>
          <w:rFonts w:ascii="Times New Roman" w:eastAsia="Times New Roman" w:hAnsi="Times New Roman"/>
          <w:iCs/>
          <w:lang w:val="en-US" w:eastAsia="zh-CN"/>
        </w:rPr>
        <w:t>, 28(16), 1298–1306.</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[2] de la Peña </w:t>
      </w:r>
      <w:proofErr w:type="spellStart"/>
      <w:r w:rsidRPr="00D74F15">
        <w:rPr>
          <w:rFonts w:ascii="Times New Roman" w:eastAsia="Times New Roman" w:hAnsi="Times New Roman"/>
          <w:iCs/>
          <w:lang w:val="en-US" w:eastAsia="zh-CN"/>
        </w:rPr>
        <w:t>Zarzuelo</w:t>
      </w:r>
      <w:proofErr w:type="spellEnd"/>
      <w:r w:rsidRPr="00D74F15">
        <w:rPr>
          <w:rFonts w:ascii="Times New Roman" w:eastAsia="Times New Roman" w:hAnsi="Times New Roman"/>
          <w:iCs/>
          <w:lang w:val="en-US" w:eastAsia="zh-CN"/>
        </w:rPr>
        <w:t xml:space="preserve">, I., </w:t>
      </w:r>
      <w:proofErr w:type="spellStart"/>
      <w:r w:rsidRPr="00D74F15">
        <w:rPr>
          <w:rFonts w:ascii="Times New Roman" w:eastAsia="Times New Roman" w:hAnsi="Times New Roman"/>
          <w:iCs/>
          <w:lang w:val="en-US" w:eastAsia="zh-CN"/>
        </w:rPr>
        <w:t>Soeane</w:t>
      </w:r>
      <w:proofErr w:type="spellEnd"/>
      <w:r w:rsidRPr="00D74F15">
        <w:rPr>
          <w:rFonts w:ascii="Times New Roman" w:eastAsia="Times New Roman" w:hAnsi="Times New Roman"/>
          <w:iCs/>
          <w:lang w:val="en-US" w:eastAsia="zh-CN"/>
        </w:rPr>
        <w:t xml:space="preserve">, M. J. F., &amp; Bermúdez, B. L. (2020). Industry 4.0 in the port and maritime industry: A literature review. </w:t>
      </w:r>
      <w:r w:rsidRPr="00D74F15">
        <w:rPr>
          <w:rFonts w:ascii="Times New Roman" w:eastAsia="Times New Roman" w:hAnsi="Times New Roman"/>
          <w:i/>
          <w:iCs/>
          <w:lang w:val="en-US" w:eastAsia="zh-CN"/>
        </w:rPr>
        <w:t>Journal of Industrial Information Integration</w:t>
      </w:r>
      <w:r w:rsidRPr="00D74F15">
        <w:rPr>
          <w:rFonts w:ascii="Times New Roman" w:eastAsia="Times New Roman" w:hAnsi="Times New Roman"/>
          <w:iCs/>
          <w:lang w:val="en-US" w:eastAsia="zh-CN"/>
        </w:rPr>
        <w:t>, 20, 100173.</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[3] Vilko, J., </w:t>
      </w:r>
      <w:proofErr w:type="spellStart"/>
      <w:r w:rsidRPr="00D74F15">
        <w:rPr>
          <w:rFonts w:ascii="Times New Roman" w:eastAsia="Times New Roman" w:hAnsi="Times New Roman"/>
          <w:iCs/>
          <w:lang w:val="en-US" w:eastAsia="zh-CN"/>
        </w:rPr>
        <w:t>Ritala</w:t>
      </w:r>
      <w:proofErr w:type="spellEnd"/>
      <w:r w:rsidRPr="00D74F15">
        <w:rPr>
          <w:rFonts w:ascii="Times New Roman" w:eastAsia="Times New Roman" w:hAnsi="Times New Roman"/>
          <w:iCs/>
          <w:lang w:val="en-US" w:eastAsia="zh-CN"/>
        </w:rPr>
        <w:t xml:space="preserve">, P., &amp; Hallikas, J. (2019). Risk management abilities in multimodal maritime supply chains: Visibility and control perspectives. </w:t>
      </w:r>
      <w:r w:rsidRPr="00D74F15">
        <w:rPr>
          <w:rFonts w:ascii="Times New Roman" w:eastAsia="Times New Roman" w:hAnsi="Times New Roman"/>
          <w:i/>
          <w:iCs/>
          <w:lang w:val="en-US" w:eastAsia="zh-CN"/>
        </w:rPr>
        <w:t>Accident Analysis &amp; Prevention</w:t>
      </w:r>
      <w:r w:rsidRPr="00D74F15">
        <w:rPr>
          <w:rFonts w:ascii="Times New Roman" w:eastAsia="Times New Roman" w:hAnsi="Times New Roman"/>
          <w:iCs/>
          <w:lang w:val="en-US" w:eastAsia="zh-CN"/>
        </w:rPr>
        <w:t>, 123, 469–481.</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[4] Abila, S. S. (2016). The occupational </w:t>
      </w:r>
      <w:proofErr w:type="spellStart"/>
      <w:r w:rsidRPr="00D74F15">
        <w:rPr>
          <w:rFonts w:ascii="Times New Roman" w:eastAsia="Times New Roman" w:hAnsi="Times New Roman"/>
          <w:iCs/>
          <w:lang w:val="en-US" w:eastAsia="zh-CN"/>
        </w:rPr>
        <w:t>socialisation</w:t>
      </w:r>
      <w:proofErr w:type="spellEnd"/>
      <w:r w:rsidRPr="00D74F15">
        <w:rPr>
          <w:rFonts w:ascii="Times New Roman" w:eastAsia="Times New Roman" w:hAnsi="Times New Roman"/>
          <w:iCs/>
          <w:lang w:val="en-US" w:eastAsia="zh-CN"/>
        </w:rPr>
        <w:t xml:space="preserve"> of merchant marine cadets in the Philippines. Cardiff University.</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[5] Sharma, A. (2023). Potential of technology supported competence development for Maritime Education and Training.</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[6] James, A. J., Schriever, U. G., Jahangiri, S., &amp; Girgin, S. C. (2018). Improving maritime English competence as the cornerstone of safety at sea: a focus on teaching practices to improve maritime communication. </w:t>
      </w:r>
      <w:r w:rsidRPr="00D74F15">
        <w:rPr>
          <w:rFonts w:ascii="Times New Roman" w:eastAsia="Times New Roman" w:hAnsi="Times New Roman"/>
          <w:i/>
          <w:iCs/>
          <w:lang w:val="en-US" w:eastAsia="zh-CN"/>
        </w:rPr>
        <w:t>WMU Journal of Maritime Affairs</w:t>
      </w:r>
      <w:r w:rsidRPr="00D74F15">
        <w:rPr>
          <w:rFonts w:ascii="Times New Roman" w:eastAsia="Times New Roman" w:hAnsi="Times New Roman"/>
          <w:iCs/>
          <w:lang w:val="en-US" w:eastAsia="zh-CN"/>
        </w:rPr>
        <w:t>, 17, 293–310.</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[7] </w:t>
      </w:r>
      <w:proofErr w:type="spellStart"/>
      <w:r w:rsidRPr="00D74F15">
        <w:rPr>
          <w:rFonts w:ascii="Times New Roman" w:eastAsia="Times New Roman" w:hAnsi="Times New Roman"/>
          <w:iCs/>
          <w:lang w:val="en-US" w:eastAsia="zh-CN"/>
        </w:rPr>
        <w:t>Trenkner</w:t>
      </w:r>
      <w:proofErr w:type="spellEnd"/>
      <w:r w:rsidRPr="00D74F15">
        <w:rPr>
          <w:rFonts w:ascii="Times New Roman" w:eastAsia="Times New Roman" w:hAnsi="Times New Roman"/>
          <w:iCs/>
          <w:lang w:val="en-US" w:eastAsia="zh-CN"/>
        </w:rPr>
        <w:t xml:space="preserve">, P. (2009). Maritime English requirements and the revised STCW. Szczecin: </w:t>
      </w:r>
      <w:r w:rsidRPr="00D74F15">
        <w:rPr>
          <w:rFonts w:ascii="Times New Roman" w:eastAsia="Times New Roman" w:hAnsi="Times New Roman"/>
          <w:i/>
          <w:iCs/>
          <w:lang w:val="en-US" w:eastAsia="zh-CN"/>
        </w:rPr>
        <w:t>Proceedings of the International Maritime English Conference IMEC</w:t>
      </w:r>
      <w:r w:rsidRPr="00D74F15">
        <w:rPr>
          <w:rFonts w:ascii="Times New Roman" w:eastAsia="Times New Roman" w:hAnsi="Times New Roman"/>
          <w:iCs/>
          <w:lang w:val="en-US" w:eastAsia="zh-CN"/>
        </w:rPr>
        <w:t>, 21, 5–10.</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[8] Bernadtua Simanjuntak, M., Sutrisno, S., Kurnia Putrawan, B., Steven </w:t>
      </w:r>
      <w:proofErr w:type="spellStart"/>
      <w:r w:rsidRPr="00D74F15">
        <w:rPr>
          <w:rFonts w:ascii="Times New Roman" w:eastAsia="Times New Roman" w:hAnsi="Times New Roman"/>
          <w:iCs/>
          <w:lang w:val="en-US" w:eastAsia="zh-CN"/>
        </w:rPr>
        <w:t>Lumingkewas</w:t>
      </w:r>
      <w:proofErr w:type="spellEnd"/>
      <w:r w:rsidRPr="00D74F15">
        <w:rPr>
          <w:rFonts w:ascii="Times New Roman" w:eastAsia="Times New Roman" w:hAnsi="Times New Roman"/>
          <w:iCs/>
          <w:lang w:val="en-US" w:eastAsia="zh-CN"/>
        </w:rPr>
        <w:t xml:space="preserve">, M., &amp; </w:t>
      </w:r>
      <w:proofErr w:type="spellStart"/>
      <w:r w:rsidRPr="00D74F15">
        <w:rPr>
          <w:rFonts w:ascii="Times New Roman" w:eastAsia="Times New Roman" w:hAnsi="Times New Roman"/>
          <w:iCs/>
          <w:lang w:val="en-US" w:eastAsia="zh-CN"/>
        </w:rPr>
        <w:t>Hutabarat</w:t>
      </w:r>
      <w:proofErr w:type="spellEnd"/>
      <w:r w:rsidRPr="00D74F15">
        <w:rPr>
          <w:rFonts w:ascii="Times New Roman" w:eastAsia="Times New Roman" w:hAnsi="Times New Roman"/>
          <w:iCs/>
          <w:lang w:val="en-US" w:eastAsia="zh-CN"/>
        </w:rPr>
        <w:t xml:space="preserve">, C. (2023). Enhancing Environmental Literacy through English Language Education in Maritime Institutions. </w:t>
      </w:r>
      <w:r w:rsidRPr="00D74F15">
        <w:rPr>
          <w:rFonts w:ascii="Times New Roman" w:eastAsia="Times New Roman" w:hAnsi="Times New Roman"/>
          <w:i/>
          <w:iCs/>
          <w:lang w:val="en-US" w:eastAsia="zh-CN"/>
        </w:rPr>
        <w:t>BIO Web Conf.</w:t>
      </w:r>
      <w:r w:rsidRPr="00D74F15">
        <w:rPr>
          <w:rFonts w:ascii="Times New Roman" w:eastAsia="Times New Roman" w:hAnsi="Times New Roman"/>
          <w:iCs/>
          <w:lang w:val="en-US" w:eastAsia="zh-CN"/>
        </w:rPr>
        <w:t>, 79.</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[9] </w:t>
      </w:r>
      <w:proofErr w:type="spellStart"/>
      <w:r w:rsidRPr="00D74F15">
        <w:rPr>
          <w:rFonts w:ascii="Times New Roman" w:eastAsia="Times New Roman" w:hAnsi="Times New Roman"/>
          <w:iCs/>
          <w:lang w:val="en-US" w:eastAsia="zh-CN"/>
        </w:rPr>
        <w:t>Brenker</w:t>
      </w:r>
      <w:proofErr w:type="spellEnd"/>
      <w:r w:rsidRPr="00D74F15">
        <w:rPr>
          <w:rFonts w:ascii="Times New Roman" w:eastAsia="Times New Roman" w:hAnsi="Times New Roman"/>
          <w:iCs/>
          <w:lang w:val="en-US" w:eastAsia="zh-CN"/>
        </w:rPr>
        <w:t xml:space="preserve">, M., Möckel, S., </w:t>
      </w:r>
      <w:proofErr w:type="spellStart"/>
      <w:r w:rsidRPr="00D74F15">
        <w:rPr>
          <w:rFonts w:ascii="Times New Roman" w:eastAsia="Times New Roman" w:hAnsi="Times New Roman"/>
          <w:iCs/>
          <w:lang w:val="en-US" w:eastAsia="zh-CN"/>
        </w:rPr>
        <w:t>Küper</w:t>
      </w:r>
      <w:proofErr w:type="spellEnd"/>
      <w:r w:rsidRPr="00D74F15">
        <w:rPr>
          <w:rFonts w:ascii="Times New Roman" w:eastAsia="Times New Roman" w:hAnsi="Times New Roman"/>
          <w:iCs/>
          <w:lang w:val="en-US" w:eastAsia="zh-CN"/>
        </w:rPr>
        <w:t xml:space="preserve">, M., Schmid, S., Spann, M., &amp; </w:t>
      </w:r>
      <w:proofErr w:type="spellStart"/>
      <w:r w:rsidRPr="00D74F15">
        <w:rPr>
          <w:rFonts w:ascii="Times New Roman" w:eastAsia="Times New Roman" w:hAnsi="Times New Roman"/>
          <w:iCs/>
          <w:lang w:val="en-US" w:eastAsia="zh-CN"/>
        </w:rPr>
        <w:t>Strohschneider</w:t>
      </w:r>
      <w:proofErr w:type="spellEnd"/>
      <w:r w:rsidRPr="00D74F15">
        <w:rPr>
          <w:rFonts w:ascii="Times New Roman" w:eastAsia="Times New Roman" w:hAnsi="Times New Roman"/>
          <w:iCs/>
          <w:lang w:val="en-US" w:eastAsia="zh-CN"/>
        </w:rPr>
        <w:t xml:space="preserve">, S. (2017). Challenges of multinational crewing: a qualitative study with cadets. </w:t>
      </w:r>
      <w:r w:rsidRPr="00D74F15">
        <w:rPr>
          <w:rFonts w:ascii="Times New Roman" w:eastAsia="Times New Roman" w:hAnsi="Times New Roman"/>
          <w:i/>
          <w:iCs/>
          <w:lang w:val="en-US" w:eastAsia="zh-CN"/>
        </w:rPr>
        <w:t>WMU Journal of Maritime Affairs</w:t>
      </w:r>
      <w:r w:rsidRPr="00D74F15">
        <w:rPr>
          <w:rFonts w:ascii="Times New Roman" w:eastAsia="Times New Roman" w:hAnsi="Times New Roman"/>
          <w:iCs/>
          <w:lang w:val="en-US" w:eastAsia="zh-CN"/>
        </w:rPr>
        <w:t>, 16, 365–384.</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[10] Oldenburg, M., Baur, X., &amp; Schlaich, C. (2010). Occupational Risks and Challenges of Seafaring. </w:t>
      </w:r>
      <w:r w:rsidRPr="00D74F15">
        <w:rPr>
          <w:rFonts w:ascii="Times New Roman" w:eastAsia="Times New Roman" w:hAnsi="Times New Roman"/>
          <w:i/>
          <w:iCs/>
          <w:lang w:val="en-US" w:eastAsia="zh-CN"/>
        </w:rPr>
        <w:t>Journal of Occupational Health</w:t>
      </w:r>
      <w:r w:rsidRPr="00D74F15">
        <w:rPr>
          <w:rFonts w:ascii="Times New Roman" w:eastAsia="Times New Roman" w:hAnsi="Times New Roman"/>
          <w:iCs/>
          <w:lang w:val="en-US" w:eastAsia="zh-CN"/>
        </w:rPr>
        <w:t>, 52(5), 249–256.</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[11] Creswell, J. W., &amp; Clark, V. L. P. (2011). Choosing a mixed methods design. In </w:t>
      </w:r>
      <w:r w:rsidRPr="00D74F15">
        <w:rPr>
          <w:rFonts w:ascii="Times New Roman" w:eastAsia="Times New Roman" w:hAnsi="Times New Roman"/>
          <w:i/>
          <w:iCs/>
          <w:lang w:val="en-US" w:eastAsia="zh-CN"/>
        </w:rPr>
        <w:t>Designing and conducting mixed methods research</w:t>
      </w:r>
      <w:r w:rsidRPr="00D74F15">
        <w:rPr>
          <w:rFonts w:ascii="Times New Roman" w:eastAsia="Times New Roman" w:hAnsi="Times New Roman"/>
          <w:iCs/>
          <w:lang w:val="en-US" w:eastAsia="zh-CN"/>
        </w:rPr>
        <w:t xml:space="preserve"> (pp. 53–106). Sage Publications.</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[12] </w:t>
      </w:r>
      <w:proofErr w:type="spellStart"/>
      <w:r w:rsidRPr="00D74F15">
        <w:rPr>
          <w:rFonts w:ascii="Times New Roman" w:eastAsia="Times New Roman" w:hAnsi="Times New Roman"/>
          <w:iCs/>
          <w:lang w:val="en-US" w:eastAsia="zh-CN"/>
        </w:rPr>
        <w:t>Chilisa</w:t>
      </w:r>
      <w:proofErr w:type="spellEnd"/>
      <w:r w:rsidRPr="00D74F15">
        <w:rPr>
          <w:rFonts w:ascii="Times New Roman" w:eastAsia="Times New Roman" w:hAnsi="Times New Roman"/>
          <w:iCs/>
          <w:lang w:val="en-US" w:eastAsia="zh-CN"/>
        </w:rPr>
        <w:t xml:space="preserve">, B. (2019). </w:t>
      </w:r>
      <w:r w:rsidRPr="00D74F15">
        <w:rPr>
          <w:rFonts w:ascii="Times New Roman" w:eastAsia="Times New Roman" w:hAnsi="Times New Roman"/>
          <w:i/>
          <w:iCs/>
          <w:lang w:val="en-US" w:eastAsia="zh-CN"/>
        </w:rPr>
        <w:t>Indigenous research methodologies</w:t>
      </w:r>
      <w:r w:rsidRPr="00D74F15">
        <w:rPr>
          <w:rFonts w:ascii="Times New Roman" w:eastAsia="Times New Roman" w:hAnsi="Times New Roman"/>
          <w:iCs/>
          <w:lang w:val="en-US" w:eastAsia="zh-CN"/>
        </w:rPr>
        <w:t>. Sage publications.</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[13] Bertram, C., </w:t>
      </w:r>
      <w:proofErr w:type="spellStart"/>
      <w:r w:rsidRPr="00D74F15">
        <w:rPr>
          <w:rFonts w:ascii="Times New Roman" w:eastAsia="Times New Roman" w:hAnsi="Times New Roman"/>
          <w:iCs/>
          <w:lang w:val="en-US" w:eastAsia="zh-CN"/>
        </w:rPr>
        <w:t>Meierkord</w:t>
      </w:r>
      <w:proofErr w:type="spellEnd"/>
      <w:r w:rsidRPr="00D74F15">
        <w:rPr>
          <w:rFonts w:ascii="Times New Roman" w:eastAsia="Times New Roman" w:hAnsi="Times New Roman"/>
          <w:iCs/>
          <w:lang w:val="en-US" w:eastAsia="zh-CN"/>
        </w:rPr>
        <w:t>, A., &amp; Day, L. (2018). The cadet experience: understanding cadet outcomes. Department for Education.</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[14] Mahboob, A., Paltridge, B., </w:t>
      </w:r>
      <w:proofErr w:type="spellStart"/>
      <w:r w:rsidRPr="00D74F15">
        <w:rPr>
          <w:rFonts w:ascii="Times New Roman" w:eastAsia="Times New Roman" w:hAnsi="Times New Roman"/>
          <w:iCs/>
          <w:lang w:val="en-US" w:eastAsia="zh-CN"/>
        </w:rPr>
        <w:t>Phakiti</w:t>
      </w:r>
      <w:proofErr w:type="spellEnd"/>
      <w:r w:rsidRPr="00D74F15">
        <w:rPr>
          <w:rFonts w:ascii="Times New Roman" w:eastAsia="Times New Roman" w:hAnsi="Times New Roman"/>
          <w:iCs/>
          <w:lang w:val="en-US" w:eastAsia="zh-CN"/>
        </w:rPr>
        <w:t xml:space="preserve">, A., Wagner, E., Starfield, S., Burns, A., Jones, R. H., &amp; De Costa, P. I. (2016). TESOL Quarterly research guidelines. </w:t>
      </w:r>
      <w:proofErr w:type="spellStart"/>
      <w:r w:rsidRPr="00D74F15">
        <w:rPr>
          <w:rFonts w:ascii="Times New Roman" w:eastAsia="Times New Roman" w:hAnsi="Times New Roman"/>
          <w:i/>
          <w:iCs/>
          <w:lang w:val="en-US" w:eastAsia="zh-CN"/>
        </w:rPr>
        <w:t>Tesol</w:t>
      </w:r>
      <w:proofErr w:type="spellEnd"/>
      <w:r w:rsidRPr="00D74F15">
        <w:rPr>
          <w:rFonts w:ascii="Times New Roman" w:eastAsia="Times New Roman" w:hAnsi="Times New Roman"/>
          <w:i/>
          <w:iCs/>
          <w:lang w:val="en-US" w:eastAsia="zh-CN"/>
        </w:rPr>
        <w:t xml:space="preserve"> Quarterly</w:t>
      </w:r>
      <w:r w:rsidRPr="00D74F15">
        <w:rPr>
          <w:rFonts w:ascii="Times New Roman" w:eastAsia="Times New Roman" w:hAnsi="Times New Roman"/>
          <w:iCs/>
          <w:lang w:val="en-US" w:eastAsia="zh-CN"/>
        </w:rPr>
        <w:t>, 50(1), 42–65.</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[15] </w:t>
      </w:r>
      <w:proofErr w:type="spellStart"/>
      <w:r w:rsidRPr="00D74F15">
        <w:rPr>
          <w:rFonts w:ascii="Times New Roman" w:eastAsia="Times New Roman" w:hAnsi="Times New Roman"/>
          <w:iCs/>
          <w:lang w:val="en-US" w:eastAsia="zh-CN"/>
        </w:rPr>
        <w:t>Toriia</w:t>
      </w:r>
      <w:proofErr w:type="spellEnd"/>
      <w:r w:rsidRPr="00D74F15">
        <w:rPr>
          <w:rFonts w:ascii="Times New Roman" w:eastAsia="Times New Roman" w:hAnsi="Times New Roman"/>
          <w:iCs/>
          <w:lang w:val="en-US" w:eastAsia="zh-CN"/>
        </w:rPr>
        <w:t xml:space="preserve">, T. G., </w:t>
      </w:r>
      <w:proofErr w:type="spellStart"/>
      <w:r w:rsidRPr="00D74F15">
        <w:rPr>
          <w:rFonts w:ascii="Times New Roman" w:eastAsia="Times New Roman" w:hAnsi="Times New Roman"/>
          <w:iCs/>
          <w:lang w:val="en-US" w:eastAsia="zh-CN"/>
        </w:rPr>
        <w:t>Epikhin</w:t>
      </w:r>
      <w:proofErr w:type="spellEnd"/>
      <w:r w:rsidRPr="00D74F15">
        <w:rPr>
          <w:rFonts w:ascii="Times New Roman" w:eastAsia="Times New Roman" w:hAnsi="Times New Roman"/>
          <w:iCs/>
          <w:lang w:val="en-US" w:eastAsia="zh-CN"/>
        </w:rPr>
        <w:t xml:space="preserve">, A. I., Panchenko, S. V, &amp; Modina, M. A. (2023). Modern educational trends in the maritime industry. </w:t>
      </w:r>
      <w:r w:rsidRPr="00D74F15">
        <w:rPr>
          <w:rFonts w:ascii="Times New Roman" w:eastAsia="Times New Roman" w:hAnsi="Times New Roman"/>
          <w:i/>
          <w:iCs/>
          <w:lang w:val="en-US" w:eastAsia="zh-CN"/>
        </w:rPr>
        <w:t>SHS Web of Conferences</w:t>
      </w:r>
      <w:r w:rsidRPr="00D74F15">
        <w:rPr>
          <w:rFonts w:ascii="Times New Roman" w:eastAsia="Times New Roman" w:hAnsi="Times New Roman"/>
          <w:iCs/>
          <w:lang w:val="en-US" w:eastAsia="zh-CN"/>
        </w:rPr>
        <w:t>, 164, 60.</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lastRenderedPageBreak/>
        <w:t xml:space="preserve">[16] </w:t>
      </w:r>
      <w:proofErr w:type="spellStart"/>
      <w:r w:rsidRPr="00D74F15">
        <w:rPr>
          <w:rFonts w:ascii="Times New Roman" w:eastAsia="Times New Roman" w:hAnsi="Times New Roman"/>
          <w:iCs/>
          <w:lang w:val="en-US" w:eastAsia="zh-CN"/>
        </w:rPr>
        <w:t>Zavalniuk</w:t>
      </w:r>
      <w:proofErr w:type="spellEnd"/>
      <w:r w:rsidRPr="00D74F15">
        <w:rPr>
          <w:rFonts w:ascii="Times New Roman" w:eastAsia="Times New Roman" w:hAnsi="Times New Roman"/>
          <w:iCs/>
          <w:lang w:val="en-US" w:eastAsia="zh-CN"/>
        </w:rPr>
        <w:t xml:space="preserve">, O., Nesterenko, V., </w:t>
      </w:r>
      <w:proofErr w:type="spellStart"/>
      <w:r w:rsidRPr="00D74F15">
        <w:rPr>
          <w:rFonts w:ascii="Times New Roman" w:eastAsia="Times New Roman" w:hAnsi="Times New Roman"/>
          <w:iCs/>
          <w:lang w:val="en-US" w:eastAsia="zh-CN"/>
        </w:rPr>
        <w:t>Zavakniuk</w:t>
      </w:r>
      <w:proofErr w:type="spellEnd"/>
      <w:r w:rsidRPr="00D74F15">
        <w:rPr>
          <w:rFonts w:ascii="Times New Roman" w:eastAsia="Times New Roman" w:hAnsi="Times New Roman"/>
          <w:iCs/>
          <w:lang w:val="en-US" w:eastAsia="zh-CN"/>
        </w:rPr>
        <w:t xml:space="preserve">, I., &amp; </w:t>
      </w:r>
      <w:proofErr w:type="spellStart"/>
      <w:r w:rsidRPr="00D74F15">
        <w:rPr>
          <w:rFonts w:ascii="Times New Roman" w:eastAsia="Times New Roman" w:hAnsi="Times New Roman"/>
          <w:iCs/>
          <w:lang w:val="en-US" w:eastAsia="zh-CN"/>
        </w:rPr>
        <w:t>Doshchenko</w:t>
      </w:r>
      <w:proofErr w:type="spellEnd"/>
      <w:r w:rsidRPr="00D74F15">
        <w:rPr>
          <w:rFonts w:ascii="Times New Roman" w:eastAsia="Times New Roman" w:hAnsi="Times New Roman"/>
          <w:iCs/>
          <w:lang w:val="en-US" w:eastAsia="zh-CN"/>
        </w:rPr>
        <w:t>, H. (2021). A key component of continuing professional development in the maritime context.</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[17] </w:t>
      </w:r>
      <w:proofErr w:type="spellStart"/>
      <w:r w:rsidRPr="00D74F15">
        <w:rPr>
          <w:rFonts w:ascii="Times New Roman" w:eastAsia="Times New Roman" w:hAnsi="Times New Roman"/>
          <w:iCs/>
          <w:lang w:val="en-US" w:eastAsia="zh-CN"/>
        </w:rPr>
        <w:t>Sukomardojo</w:t>
      </w:r>
      <w:proofErr w:type="spellEnd"/>
      <w:r w:rsidRPr="00D74F15">
        <w:rPr>
          <w:rFonts w:ascii="Times New Roman" w:eastAsia="Times New Roman" w:hAnsi="Times New Roman"/>
          <w:iCs/>
          <w:lang w:val="en-US" w:eastAsia="zh-CN"/>
        </w:rPr>
        <w:t xml:space="preserve">, T., &amp; </w:t>
      </w:r>
      <w:proofErr w:type="spellStart"/>
      <w:r w:rsidRPr="00D74F15">
        <w:rPr>
          <w:rFonts w:ascii="Times New Roman" w:eastAsia="Times New Roman" w:hAnsi="Times New Roman"/>
          <w:iCs/>
          <w:lang w:val="en-US" w:eastAsia="zh-CN"/>
        </w:rPr>
        <w:t>Ratnaningsih</w:t>
      </w:r>
      <w:proofErr w:type="spellEnd"/>
      <w:r w:rsidRPr="00D74F15">
        <w:rPr>
          <w:rFonts w:ascii="Times New Roman" w:eastAsia="Times New Roman" w:hAnsi="Times New Roman"/>
          <w:iCs/>
          <w:lang w:val="en-US" w:eastAsia="zh-CN"/>
        </w:rPr>
        <w:t xml:space="preserve">, D. (2022). The Using of Media Games to Improve SMCP (Standard Marine Communication Phrases) Vocabulary in Maritime English. </w:t>
      </w:r>
      <w:r w:rsidRPr="00D74F15">
        <w:rPr>
          <w:rFonts w:ascii="Times New Roman" w:eastAsia="Times New Roman" w:hAnsi="Times New Roman"/>
          <w:i/>
          <w:iCs/>
          <w:lang w:val="en-US" w:eastAsia="zh-CN"/>
        </w:rPr>
        <w:t>ICES 2021: Proceedings of the 3rd International Conference of Education and Science</w:t>
      </w:r>
      <w:r w:rsidRPr="00D74F15">
        <w:rPr>
          <w:rFonts w:ascii="Times New Roman" w:eastAsia="Times New Roman" w:hAnsi="Times New Roman"/>
          <w:iCs/>
          <w:lang w:val="en-US" w:eastAsia="zh-CN"/>
        </w:rPr>
        <w:t>, 56.</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[18] </w:t>
      </w:r>
      <w:proofErr w:type="spellStart"/>
      <w:r w:rsidRPr="00D74F15">
        <w:rPr>
          <w:rFonts w:ascii="Times New Roman" w:eastAsia="Times New Roman" w:hAnsi="Times New Roman"/>
          <w:iCs/>
          <w:lang w:val="en-US" w:eastAsia="zh-CN"/>
        </w:rPr>
        <w:t>Autsadee</w:t>
      </w:r>
      <w:proofErr w:type="spellEnd"/>
      <w:r w:rsidRPr="00D74F15">
        <w:rPr>
          <w:rFonts w:ascii="Times New Roman" w:eastAsia="Times New Roman" w:hAnsi="Times New Roman"/>
          <w:iCs/>
          <w:lang w:val="en-US" w:eastAsia="zh-CN"/>
        </w:rPr>
        <w:t xml:space="preserve">, Y., Jeevan, J., Mohd Salleh, N. H. Bin, &amp; Othman, M. R. Bin. (2023). Digital tools and challenges in human resource development and its potential within the maritime sector through </w:t>
      </w:r>
      <w:r w:rsidRPr="00D74F15">
        <w:rPr>
          <w:rFonts w:ascii="Times New Roman" w:eastAsia="Times New Roman" w:hAnsi="Times New Roman"/>
          <w:iCs/>
          <w:lang w:val="en-US" w:eastAsia="zh-CN"/>
        </w:rPr>
        <w:t xml:space="preserve">bibliometric analysis. </w:t>
      </w:r>
      <w:r w:rsidRPr="00D74F15">
        <w:rPr>
          <w:rFonts w:ascii="Times New Roman" w:eastAsia="Times New Roman" w:hAnsi="Times New Roman"/>
          <w:i/>
          <w:iCs/>
          <w:lang w:val="en-US" w:eastAsia="zh-CN"/>
        </w:rPr>
        <w:t>Journal of International Maritime Safety, Environmental Affairs, and Shipping</w:t>
      </w:r>
      <w:r w:rsidRPr="00D74F15">
        <w:rPr>
          <w:rFonts w:ascii="Times New Roman" w:eastAsia="Times New Roman" w:hAnsi="Times New Roman"/>
          <w:iCs/>
          <w:lang w:val="en-US" w:eastAsia="zh-CN"/>
        </w:rPr>
        <w:t>, 7(4), 2286409.</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[19] Hui, Z., &amp; Ishak, N. A. B. (2022). A Review of Maritime English Teaching Curriculum in China. </w:t>
      </w:r>
      <w:r w:rsidRPr="00D74F15">
        <w:rPr>
          <w:rFonts w:ascii="Times New Roman" w:eastAsia="Times New Roman" w:hAnsi="Times New Roman"/>
          <w:i/>
          <w:iCs/>
          <w:lang w:val="en-US" w:eastAsia="zh-CN"/>
        </w:rPr>
        <w:t>Journal of Research in Educational Sciences</w:t>
      </w:r>
      <w:r w:rsidRPr="00D74F15">
        <w:rPr>
          <w:rFonts w:ascii="Times New Roman" w:eastAsia="Times New Roman" w:hAnsi="Times New Roman"/>
          <w:iCs/>
          <w:lang w:val="en-US" w:eastAsia="zh-CN"/>
        </w:rPr>
        <w:t>, 13(15), 5–12.</w:t>
      </w:r>
    </w:p>
    <w:p w:rsidR="00D74F15" w:rsidRPr="00D74F15"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74F15">
        <w:rPr>
          <w:rFonts w:ascii="Times New Roman" w:eastAsia="Times New Roman" w:hAnsi="Times New Roman"/>
          <w:iCs/>
          <w:lang w:val="en-US" w:eastAsia="zh-CN"/>
        </w:rPr>
        <w:t xml:space="preserve">[20] Pyne, R. M. (2012). </w:t>
      </w:r>
      <w:proofErr w:type="spellStart"/>
      <w:r w:rsidRPr="00D74F15">
        <w:rPr>
          <w:rFonts w:ascii="Times New Roman" w:eastAsia="Times New Roman" w:hAnsi="Times New Roman"/>
          <w:iCs/>
          <w:lang w:val="en-US" w:eastAsia="zh-CN"/>
        </w:rPr>
        <w:t>Internationalising</w:t>
      </w:r>
      <w:proofErr w:type="spellEnd"/>
      <w:r w:rsidRPr="00D74F15">
        <w:rPr>
          <w:rFonts w:ascii="Times New Roman" w:eastAsia="Times New Roman" w:hAnsi="Times New Roman"/>
          <w:iCs/>
          <w:lang w:val="en-US" w:eastAsia="zh-CN"/>
        </w:rPr>
        <w:t xml:space="preserve"> Chinese maritime higher education: Developing content and English language integrated teaching and learning.</w:t>
      </w:r>
    </w:p>
    <w:p w:rsidR="0067485F" w:rsidRDefault="00D74F15" w:rsidP="00D74F15">
      <w:pPr>
        <w:autoSpaceDE w:val="0"/>
        <w:autoSpaceDN w:val="0"/>
        <w:adjustRightInd w:val="0"/>
        <w:spacing w:after="0" w:line="240" w:lineRule="auto"/>
        <w:ind w:left="720" w:hanging="720"/>
        <w:jc w:val="both"/>
        <w:rPr>
          <w:rFonts w:ascii="Times New Roman" w:eastAsia="Times New Roman" w:hAnsi="Times New Roman"/>
          <w:iCs/>
          <w:lang w:val="en-US" w:eastAsia="zh-CN"/>
        </w:rPr>
        <w:sectPr w:rsidR="0067485F" w:rsidSect="0067485F">
          <w:type w:val="continuous"/>
          <w:pgSz w:w="11906" w:h="16838" w:code="9"/>
          <w:pgMar w:top="1080" w:right="907" w:bottom="1440" w:left="907" w:header="720" w:footer="720" w:gutter="0"/>
          <w:pgNumType w:start="90"/>
          <w:cols w:num="2" w:space="360"/>
          <w:docGrid w:linePitch="360"/>
        </w:sectPr>
      </w:pPr>
      <w:r w:rsidRPr="00D74F15">
        <w:rPr>
          <w:rFonts w:ascii="Times New Roman" w:eastAsia="Times New Roman" w:hAnsi="Times New Roman"/>
          <w:iCs/>
          <w:lang w:val="en-US" w:eastAsia="zh-CN"/>
        </w:rPr>
        <w:t>[21] Schriever, U. G. (2008). Maritime communication in an international and intercultural discourse. University of Tasmani</w:t>
      </w:r>
      <w:r w:rsidR="0067485F">
        <w:rPr>
          <w:rFonts w:ascii="Times New Roman" w:eastAsia="Times New Roman" w:hAnsi="Times New Roman"/>
          <w:iCs/>
          <w:lang w:val="en-US" w:eastAsia="zh-CN"/>
        </w:rPr>
        <w:t>.</w:t>
      </w:r>
    </w:p>
    <w:p w:rsidR="001879AC" w:rsidRDefault="001879AC" w:rsidP="0067485F">
      <w:pPr>
        <w:autoSpaceDE w:val="0"/>
        <w:autoSpaceDN w:val="0"/>
        <w:adjustRightInd w:val="0"/>
        <w:spacing w:after="0" w:line="240" w:lineRule="auto"/>
        <w:jc w:val="both"/>
        <w:rPr>
          <w:rFonts w:ascii="Times New Roman" w:eastAsia="Times New Roman" w:hAnsi="Times New Roman"/>
          <w:iCs/>
          <w:lang w:val="en-US" w:eastAsia="zh-CN"/>
        </w:rPr>
      </w:pPr>
    </w:p>
    <w:sectPr w:rsidR="001879AC" w:rsidSect="0067485F">
      <w:type w:val="continuous"/>
      <w:pgSz w:w="11906" w:h="16838" w:code="9"/>
      <w:pgMar w:top="1080" w:right="907" w:bottom="1440" w:left="907" w:header="720" w:footer="720" w:gutter="0"/>
      <w:pgNumType w:start="9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687D" w:rsidRDefault="005A687D">
      <w:pPr>
        <w:spacing w:after="0" w:line="240" w:lineRule="auto"/>
      </w:pPr>
      <w:r>
        <w:separator/>
      </w:r>
    </w:p>
  </w:endnote>
  <w:endnote w:type="continuationSeparator" w:id="0">
    <w:p w:rsidR="005A687D" w:rsidRDefault="005A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687D" w:rsidRDefault="005A687D">
      <w:pPr>
        <w:spacing w:after="0" w:line="240" w:lineRule="auto"/>
      </w:pPr>
      <w:r>
        <w:separator/>
      </w:r>
    </w:p>
  </w:footnote>
  <w:footnote w:type="continuationSeparator" w:id="0">
    <w:p w:rsidR="005A687D" w:rsidRDefault="005A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1" w15:restartNumberingAfterBreak="0">
    <w:nsid w:val="0CFA78A4"/>
    <w:multiLevelType w:val="hybridMultilevel"/>
    <w:tmpl w:val="DEE4638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D4748"/>
    <w:multiLevelType w:val="hybridMultilevel"/>
    <w:tmpl w:val="A9884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6"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6C3A349F"/>
    <w:multiLevelType w:val="hybridMultilevel"/>
    <w:tmpl w:val="7FF20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5"/>
  </w:num>
  <w:num w:numId="2" w16cid:durableId="847136377">
    <w:abstractNumId w:val="0"/>
  </w:num>
  <w:num w:numId="3" w16cid:durableId="1125275362">
    <w:abstractNumId w:val="2"/>
  </w:num>
  <w:num w:numId="4" w16cid:durableId="502596450">
    <w:abstractNumId w:val="8"/>
  </w:num>
  <w:num w:numId="5" w16cid:durableId="469590832">
    <w:abstractNumId w:val="6"/>
  </w:num>
  <w:num w:numId="6" w16cid:durableId="291712473">
    <w:abstractNumId w:val="3"/>
  </w:num>
  <w:num w:numId="7" w16cid:durableId="45110633">
    <w:abstractNumId w:val="4"/>
  </w:num>
  <w:num w:numId="8" w16cid:durableId="1870951398">
    <w:abstractNumId w:val="1"/>
  </w:num>
  <w:num w:numId="9" w16cid:durableId="568223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69B4"/>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A687D"/>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7485F"/>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3CD0"/>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74F15"/>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17C20"/>
    <w:rsid w:val="00E20CEC"/>
    <w:rsid w:val="00E2165D"/>
    <w:rsid w:val="00E2535C"/>
    <w:rsid w:val="00E63677"/>
    <w:rsid w:val="00E6785E"/>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 w:id="2002001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rsenbarasa@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8445</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56476</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2025-06-29T18:15:00Z</dcterms:created>
  <dcterms:modified xsi:type="dcterms:W3CDTF">2025-06-29T20:23:00Z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