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2D518D" w:rsidTr="00266DA3">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266DA3">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266DA3">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266DA3" w:rsidP="005A211F">
            <w:pPr>
              <w:spacing w:after="0" w:line="240" w:lineRule="auto"/>
              <w:jc w:val="center"/>
              <w:rPr>
                <w:rFonts w:ascii="Times New Roman" w:eastAsia="Calibri" w:hAnsi="Times New Roman"/>
                <w:b/>
                <w:bCs/>
                <w:sz w:val="28"/>
                <w:szCs w:val="28"/>
                <w:lang w:val="en-US"/>
              </w:rPr>
            </w:pPr>
            <w:r w:rsidRPr="00266DA3">
              <w:rPr>
                <w:rFonts w:ascii="Times New Roman" w:eastAsia="Calibri" w:hAnsi="Times New Roman"/>
                <w:b/>
                <w:bCs/>
                <w:sz w:val="28"/>
                <w:szCs w:val="28"/>
                <w:lang w:val="en-US"/>
              </w:rPr>
              <w:t>Advancing Deck Maritime Training for Future Ship Captains: Integrating Next-Generation Navigational Technologies into Vocational Education</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266DA3" w:rsidRPr="00266DA3" w:rsidRDefault="00DE7113" w:rsidP="00DE7113">
            <w:pPr>
              <w:autoSpaceDE w:val="0"/>
              <w:autoSpaceDN w:val="0"/>
              <w:adjustRightInd w:val="0"/>
              <w:spacing w:after="0" w:line="240" w:lineRule="auto"/>
              <w:jc w:val="center"/>
              <w:rPr>
                <w:rFonts w:ascii="Times New Roman" w:eastAsia="Calibri" w:hAnsi="Times New Roman"/>
                <w:i/>
                <w:iCs/>
                <w:lang w:val="en-US"/>
              </w:rPr>
            </w:pPr>
            <w:r w:rsidRPr="00266DA3">
              <w:rPr>
                <w:rFonts w:ascii="Times New Roman" w:eastAsia="Calibri" w:hAnsi="Times New Roman"/>
                <w:i/>
                <w:iCs/>
                <w:vertAlign w:val="superscript"/>
                <w:lang w:val="en-US"/>
              </w:rPr>
              <w:t>1*</w:t>
            </w:r>
            <w:r w:rsidR="00266DA3" w:rsidRPr="00266DA3">
              <w:rPr>
                <w:rFonts w:ascii="Times New Roman" w:eastAsia="Calibri" w:hAnsi="Times New Roman"/>
                <w:i/>
                <w:iCs/>
                <w:vertAlign w:val="superscript"/>
                <w:lang w:val="en-US"/>
              </w:rPr>
              <w:t xml:space="preserve"> </w:t>
            </w:r>
            <w:r w:rsidR="00266DA3" w:rsidRPr="00266DA3">
              <w:rPr>
                <w:rFonts w:ascii="Times New Roman" w:eastAsia="Calibri" w:hAnsi="Times New Roman"/>
                <w:i/>
                <w:iCs/>
                <w:lang w:val="en-US"/>
              </w:rPr>
              <w:t xml:space="preserve">Natanael </w:t>
            </w:r>
            <w:proofErr w:type="spellStart"/>
            <w:r w:rsidR="00266DA3" w:rsidRPr="00266DA3">
              <w:rPr>
                <w:rFonts w:ascii="Times New Roman" w:eastAsia="Calibri" w:hAnsi="Times New Roman"/>
                <w:i/>
                <w:iCs/>
                <w:lang w:val="en-US"/>
              </w:rPr>
              <w:t>Suranta</w:t>
            </w:r>
            <w:proofErr w:type="spellEnd"/>
            <w:r w:rsidRPr="00266DA3">
              <w:rPr>
                <w:rFonts w:ascii="Times New Roman" w:eastAsia="Calibri" w:hAnsi="Times New Roman"/>
                <w:i/>
                <w:iCs/>
                <w:lang w:val="en-US"/>
              </w:rPr>
              <w:t xml:space="preserve">, </w:t>
            </w:r>
            <w:r w:rsidR="00266DA3" w:rsidRPr="00266DA3">
              <w:rPr>
                <w:rFonts w:ascii="Times New Roman" w:eastAsia="Calibri" w:hAnsi="Times New Roman"/>
                <w:i/>
                <w:iCs/>
                <w:vertAlign w:val="superscript"/>
                <w:lang w:val="en-US"/>
              </w:rPr>
              <w:t xml:space="preserve">1 </w:t>
            </w:r>
            <w:r w:rsidR="00266DA3" w:rsidRPr="00266DA3">
              <w:rPr>
                <w:rFonts w:ascii="Times New Roman" w:eastAsia="Calibri" w:hAnsi="Times New Roman"/>
                <w:i/>
                <w:iCs/>
                <w:lang w:val="en-US"/>
              </w:rPr>
              <w:t xml:space="preserve">Bambang </w:t>
            </w:r>
            <w:proofErr w:type="spellStart"/>
            <w:r w:rsidR="00266DA3" w:rsidRPr="00266DA3">
              <w:rPr>
                <w:rFonts w:ascii="Times New Roman" w:eastAsia="Calibri" w:hAnsi="Times New Roman"/>
                <w:i/>
                <w:iCs/>
                <w:lang w:val="en-US"/>
              </w:rPr>
              <w:t>Kurniadi</w:t>
            </w:r>
            <w:proofErr w:type="spellEnd"/>
            <w:r w:rsidR="00266DA3" w:rsidRPr="00266DA3">
              <w:rPr>
                <w:rFonts w:ascii="Times New Roman" w:eastAsia="Calibri" w:hAnsi="Times New Roman"/>
                <w:i/>
                <w:iCs/>
                <w:lang w:val="en-US"/>
              </w:rPr>
              <w:t>,</w:t>
            </w:r>
            <w:r w:rsidR="00266DA3" w:rsidRPr="00266DA3">
              <w:rPr>
                <w:rFonts w:ascii="Times New Roman" w:eastAsia="Calibri" w:hAnsi="Times New Roman"/>
                <w:i/>
                <w:iCs/>
                <w:vertAlign w:val="superscript"/>
                <w:lang w:val="en-US"/>
              </w:rPr>
              <w:t xml:space="preserve"> 1 </w:t>
            </w:r>
            <w:r w:rsidR="00266DA3" w:rsidRPr="00266DA3">
              <w:rPr>
                <w:rFonts w:ascii="Times New Roman" w:eastAsia="Calibri" w:hAnsi="Times New Roman"/>
                <w:i/>
                <w:iCs/>
                <w:lang w:val="en-US"/>
              </w:rPr>
              <w:t>Muhammad Ridwan,</w:t>
            </w:r>
          </w:p>
          <w:p w:rsidR="00DE7113" w:rsidRPr="00266DA3" w:rsidRDefault="00266DA3" w:rsidP="00DE7113">
            <w:pPr>
              <w:autoSpaceDE w:val="0"/>
              <w:autoSpaceDN w:val="0"/>
              <w:adjustRightInd w:val="0"/>
              <w:spacing w:after="0" w:line="240" w:lineRule="auto"/>
              <w:jc w:val="center"/>
              <w:rPr>
                <w:rFonts w:ascii="Times New Roman" w:eastAsia="Calibri" w:hAnsi="Times New Roman"/>
                <w:i/>
                <w:iCs/>
                <w:lang w:val="en-US"/>
              </w:rPr>
            </w:pPr>
            <w:r w:rsidRPr="00266DA3">
              <w:rPr>
                <w:rFonts w:ascii="Times New Roman" w:eastAsia="Calibri" w:hAnsi="Times New Roman"/>
                <w:i/>
                <w:iCs/>
                <w:vertAlign w:val="superscript"/>
                <w:lang w:val="en-US"/>
              </w:rPr>
              <w:t xml:space="preserve"> 1*</w:t>
            </w:r>
            <w:r w:rsidRPr="00266DA3">
              <w:rPr>
                <w:i/>
                <w:iCs/>
              </w:rPr>
              <w:t xml:space="preserve"> </w:t>
            </w:r>
            <w:r w:rsidRPr="00266DA3">
              <w:rPr>
                <w:rFonts w:ascii="Times New Roman" w:eastAsia="Calibri" w:hAnsi="Times New Roman"/>
                <w:i/>
                <w:iCs/>
                <w:lang w:val="en-US"/>
              </w:rPr>
              <w:t>Yusuf Pria Utama,</w:t>
            </w:r>
            <w:r w:rsidRPr="00266DA3">
              <w:rPr>
                <w:rFonts w:ascii="Times New Roman" w:eastAsia="Calibri" w:hAnsi="Times New Roman"/>
                <w:i/>
                <w:iCs/>
                <w:vertAlign w:val="superscript"/>
                <w:lang w:val="en-US"/>
              </w:rPr>
              <w:t xml:space="preserve"> 1</w:t>
            </w:r>
            <w:r w:rsidRPr="00266DA3">
              <w:rPr>
                <w:rFonts w:ascii="Times New Roman" w:eastAsia="Calibri" w:hAnsi="Times New Roman"/>
                <w:i/>
                <w:iCs/>
                <w:lang w:val="en-US"/>
              </w:rPr>
              <w:t>Pesta Veri Ahmadi</w:t>
            </w:r>
          </w:p>
          <w:p w:rsidR="00DE7113" w:rsidRPr="00266DA3" w:rsidRDefault="00DE7113" w:rsidP="00DE7113">
            <w:pPr>
              <w:autoSpaceDE w:val="0"/>
              <w:autoSpaceDN w:val="0"/>
              <w:adjustRightInd w:val="0"/>
              <w:spacing w:after="0" w:line="240" w:lineRule="auto"/>
              <w:jc w:val="center"/>
              <w:rPr>
                <w:rFonts w:ascii="Times New Roman" w:eastAsia="Calibri" w:hAnsi="Times New Roman"/>
                <w:i/>
                <w:iCs/>
                <w:lang w:val="en-US"/>
              </w:rPr>
            </w:pPr>
          </w:p>
          <w:p w:rsidR="00DE7113" w:rsidRPr="00266DA3" w:rsidRDefault="00DE7113" w:rsidP="00DE7113">
            <w:pPr>
              <w:autoSpaceDE w:val="0"/>
              <w:autoSpaceDN w:val="0"/>
              <w:adjustRightInd w:val="0"/>
              <w:spacing w:after="0" w:line="240" w:lineRule="auto"/>
              <w:jc w:val="center"/>
              <w:rPr>
                <w:rFonts w:ascii="Times New Roman" w:eastAsia="Calibri" w:hAnsi="Times New Roman"/>
                <w:i/>
                <w:iCs/>
                <w:lang w:val="en-US"/>
              </w:rPr>
            </w:pPr>
            <w:r w:rsidRPr="00266DA3">
              <w:rPr>
                <w:rFonts w:ascii="Times New Roman" w:eastAsia="Calibri" w:hAnsi="Times New Roman"/>
                <w:i/>
                <w:iCs/>
                <w:vertAlign w:val="superscript"/>
                <w:lang w:val="en-US"/>
              </w:rPr>
              <w:t>1</w:t>
            </w:r>
            <w:r w:rsidRPr="00266DA3">
              <w:rPr>
                <w:rFonts w:ascii="Times New Roman" w:eastAsia="Calibri" w:hAnsi="Times New Roman"/>
                <w:i/>
                <w:iCs/>
                <w:lang w:val="en-US"/>
              </w:rPr>
              <w:t xml:space="preserve">Maritime </w:t>
            </w:r>
            <w:r w:rsidR="00871F18">
              <w:rPr>
                <w:rFonts w:ascii="Times New Roman" w:eastAsia="Calibri" w:hAnsi="Times New Roman"/>
                <w:i/>
                <w:iCs/>
                <w:lang w:val="en-US"/>
              </w:rPr>
              <w:t xml:space="preserve">Institute, Sekolah Tinggi </w:t>
            </w:r>
            <w:proofErr w:type="spellStart"/>
            <w:r w:rsidR="00871F18">
              <w:rPr>
                <w:rFonts w:ascii="Times New Roman" w:eastAsia="Calibri" w:hAnsi="Times New Roman"/>
                <w:i/>
                <w:iCs/>
                <w:lang w:val="en-US"/>
              </w:rPr>
              <w:t>Ilmu</w:t>
            </w:r>
            <w:proofErr w:type="spellEnd"/>
            <w:r w:rsidR="00871F18">
              <w:rPr>
                <w:rFonts w:ascii="Times New Roman" w:eastAsia="Calibri" w:hAnsi="Times New Roman"/>
                <w:i/>
                <w:iCs/>
                <w:lang w:val="en-US"/>
              </w:rPr>
              <w:t xml:space="preserve"> Pelayaran, North Jakarta, </w:t>
            </w:r>
            <w:r w:rsidRPr="00266DA3">
              <w:rPr>
                <w:rFonts w:ascii="Times New Roman" w:eastAsia="Calibri" w:hAnsi="Times New Roman"/>
                <w:i/>
                <w:iCs/>
                <w:lang w:val="en-US"/>
              </w:rPr>
              <w:t>Indonesia</w:t>
            </w:r>
          </w:p>
          <w:p w:rsidR="00DE7113" w:rsidRPr="00266DA3" w:rsidRDefault="00DE7113" w:rsidP="00DE7113">
            <w:pPr>
              <w:autoSpaceDE w:val="0"/>
              <w:autoSpaceDN w:val="0"/>
              <w:adjustRightInd w:val="0"/>
              <w:spacing w:after="0" w:line="240" w:lineRule="auto"/>
              <w:jc w:val="center"/>
              <w:rPr>
                <w:rFonts w:ascii="Times New Roman" w:eastAsia="Calibri" w:hAnsi="Times New Roman"/>
                <w:i/>
                <w:iCs/>
                <w:lang w:val="en-US"/>
              </w:rPr>
            </w:pPr>
          </w:p>
          <w:p w:rsidR="0075247C" w:rsidRPr="002D518D" w:rsidRDefault="00DE7113" w:rsidP="00266DA3">
            <w:pPr>
              <w:autoSpaceDE w:val="0"/>
              <w:autoSpaceDN w:val="0"/>
              <w:adjustRightInd w:val="0"/>
              <w:spacing w:after="0" w:line="240" w:lineRule="auto"/>
              <w:jc w:val="center"/>
              <w:rPr>
                <w:rFonts w:ascii="Times New Roman" w:hAnsi="Times New Roman"/>
                <w:bCs/>
                <w:i/>
                <w:iCs/>
                <w:color w:val="000000"/>
              </w:rPr>
            </w:pPr>
            <w:r w:rsidRPr="00266DA3">
              <w:rPr>
                <w:rFonts w:ascii="Times New Roman" w:eastAsia="Calibri" w:hAnsi="Times New Roman"/>
                <w:bCs/>
                <w:i/>
                <w:iCs/>
                <w:lang w:val="en-US"/>
              </w:rPr>
              <w:t>*</w:t>
            </w:r>
            <w:proofErr w:type="gramStart"/>
            <w:r w:rsidRPr="00266DA3">
              <w:rPr>
                <w:rFonts w:ascii="Times New Roman" w:eastAsia="Calibri" w:hAnsi="Times New Roman"/>
                <w:bCs/>
                <w:i/>
                <w:iCs/>
                <w:lang w:val="en-US"/>
              </w:rPr>
              <w:t>email</w:t>
            </w:r>
            <w:proofErr w:type="gramEnd"/>
            <w:r w:rsidRPr="00266DA3">
              <w:rPr>
                <w:rFonts w:ascii="Times New Roman" w:eastAsia="Calibri" w:hAnsi="Times New Roman"/>
                <w:bCs/>
                <w:i/>
                <w:iCs/>
                <w:lang w:val="en-US"/>
              </w:rPr>
              <w:t xml:space="preserve">: </w:t>
            </w:r>
            <w:hyperlink r:id="rId9" w:history="1">
              <w:r w:rsidR="00266DA3" w:rsidRPr="00266DA3">
                <w:rPr>
                  <w:rStyle w:val="Hyperlink"/>
                  <w:rFonts w:ascii="Times New Roman" w:eastAsia="Calibri" w:hAnsi="Times New Roman"/>
                  <w:i/>
                  <w:iCs/>
                </w:rPr>
                <w:t>priautamayusuf@gmail.com</w:t>
              </w:r>
            </w:hyperlink>
            <w:r w:rsidR="00266DA3">
              <w:rPr>
                <w:rFonts w:ascii="Times New Roman" w:eastAsia="Calibri" w:hAnsi="Times New Roman"/>
              </w:rPr>
              <w:t xml:space="preserve"> </w:t>
            </w:r>
          </w:p>
        </w:tc>
      </w:tr>
      <w:tr w:rsidR="0075247C" w:rsidRPr="002D518D" w:rsidTr="00266DA3">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DE7113">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266DA3">
      <w:pPr>
        <w:jc w:val="both"/>
        <w:rPr>
          <w:rFonts w:ascii="Times New Roman" w:eastAsia="Times New Roman" w:hAnsi="Times New Roman"/>
          <w:i/>
          <w:iCs/>
          <w:lang w:val="zh-CN" w:eastAsia="zh-CN"/>
        </w:rPr>
      </w:pPr>
      <w:r w:rsidRPr="00266DA3">
        <w:rPr>
          <w:rFonts w:ascii="Times New Roman" w:eastAsia="Times New Roman" w:hAnsi="Times New Roman"/>
          <w:i/>
          <w:iCs/>
          <w:lang w:eastAsia="zh-CN"/>
        </w:rPr>
        <w:t>This research examines the effectiveness of maritime vocational education in integrating advanced navigational technologies through comprehensive qualitative analysis of stakeholder perspectives. The study employed phenomenological research methodology with seventy participants representing industry experts, academic lecturers, and recent graduates from nautical deck engineering programs. Data collection utilized semi-structured interviews, comprehensive questionnaires, and focus group discussions to explore stakeholder experiences with Electronic Chart Display and Information Systems (ECDIS), Automatic Radar Plotting Aids (ARPA), and bridge automation integration within educational contexts. Thematic analysis revealed four primary themes: technology integration effectiveness, professional competency development, educational approach effectiveness, and sustainability integration. Results demonstrate overall positive stakeholder satisfaction with current educational approaches, achieving aggregate effectiveness ratings of 3.8/5.0 across multiple competency domains. Environmental consciousness emerged as the strongest competency area (4.1/5.0), while decision-making skills and bridge automation integration require enhanced attention. Cross-group analysis identified technology integration as the highest consensus priority among stakeholders, though implementation quality varies significantly across institutions. The research contributes evidence-based recommendations for maritime education enhancement through improved industry partnerships, enhanced simulation training, and integrated sustainability education approaches.</w:t>
      </w:r>
    </w:p>
    <w:tbl>
      <w:tblPr>
        <w:tblW w:w="9984"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984"/>
      </w:tblGrid>
      <w:tr w:rsidR="0075247C" w:rsidRPr="002D518D" w:rsidTr="00DE7113">
        <w:trPr>
          <w:trHeight w:val="484"/>
        </w:trPr>
        <w:tc>
          <w:tcPr>
            <w:tcW w:w="9984"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rsidTr="00DE7113">
        <w:trPr>
          <w:trHeight w:val="782"/>
        </w:trPr>
        <w:tc>
          <w:tcPr>
            <w:tcW w:w="9984" w:type="dxa"/>
            <w:tcBorders>
              <w:top w:val="nil"/>
              <w:bottom w:val="nil"/>
            </w:tcBorders>
          </w:tcPr>
          <w:p w:rsidR="00266DA3" w:rsidRDefault="0075247C"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266DA3" w:rsidRPr="00266DA3">
              <w:rPr>
                <w:rFonts w:ascii="Times New Roman" w:eastAsia="Calibri" w:hAnsi="Times New Roman"/>
                <w:bCs/>
                <w:i/>
              </w:rPr>
              <w:t xml:space="preserve">maritime vocational education, advanced navigational technologies, </w:t>
            </w:r>
          </w:p>
          <w:p w:rsidR="0075247C" w:rsidRPr="002D518D" w:rsidRDefault="00266DA3"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66DA3">
              <w:rPr>
                <w:rFonts w:ascii="Times New Roman" w:eastAsia="Calibri" w:hAnsi="Times New Roman"/>
                <w:bCs/>
                <w:i/>
              </w:rPr>
              <w:t>ECDIS integration, professional competency development</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D34A3E" w:rsidRDefault="00D34A3E" w:rsidP="00D34A3E">
      <w:pPr>
        <w:pStyle w:val="Heading1"/>
        <w:numPr>
          <w:ilvl w:val="0"/>
          <w:numId w:val="7"/>
        </w:numPr>
        <w:rPr>
          <w:lang w:val="en-US"/>
        </w:rPr>
        <w:sectPr w:rsidR="00D34A3E" w:rsidSect="00266DA3">
          <w:footerReference w:type="default" r:id="rId10"/>
          <w:type w:val="continuous"/>
          <w:pgSz w:w="11906" w:h="16838" w:code="9"/>
          <w:pgMar w:top="1080" w:right="907" w:bottom="1440" w:left="907" w:header="720" w:footer="720" w:gutter="0"/>
          <w:pgNumType w:start="95"/>
          <w:cols w:space="360"/>
          <w:docGrid w:linePitch="360"/>
        </w:sectPr>
      </w:pPr>
    </w:p>
    <w:p w:rsidR="00266DA3" w:rsidRPr="00266DA3" w:rsidRDefault="00266DA3" w:rsidP="00266DA3">
      <w:pPr>
        <w:pStyle w:val="Heading1"/>
        <w:numPr>
          <w:ilvl w:val="0"/>
          <w:numId w:val="7"/>
        </w:numPr>
        <w:rPr>
          <w:lang w:val="en-US"/>
        </w:rPr>
      </w:pPr>
      <w:r w:rsidRPr="00266DA3">
        <w:rPr>
          <w:lang w:val="en-US"/>
        </w:rPr>
        <w:t>Introduction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maritime industry stands at a critical juncture where technological advancement intersects with educational transformation, demanding urgent attention to the preparation of competent maritime professionals who can navigate both literal and metaphorical waters </w:t>
      </w:r>
      <w:r w:rsidRPr="00266DA3">
        <w:rPr>
          <w:rFonts w:ascii="Times New Roman" w:eastAsia="Times New Roman" w:hAnsi="Times New Roman"/>
          <w:iCs/>
          <w:lang w:val="en-US" w:eastAsia="zh-CN"/>
        </w:rPr>
        <w:t xml:space="preserve">of modern shipping operations. As the global maritime sector continues to evolve rapidly through digitalization and automation, the traditional approaches to maritime education face unprecedented challenges in maintaining relevance and effectiveness [3]. The integration of advanced navigational technologies, including Electronic Chart Display and Information Systems </w:t>
      </w:r>
      <w:r w:rsidRPr="00266DA3">
        <w:rPr>
          <w:rFonts w:ascii="Times New Roman" w:eastAsia="Times New Roman" w:hAnsi="Times New Roman"/>
          <w:iCs/>
          <w:lang w:val="en-US" w:eastAsia="zh-CN"/>
        </w:rPr>
        <w:lastRenderedPageBreak/>
        <w:t>(ECDIS), Automatic Radar Plotting Aids (ARPA), and sophisticated bridge automation systems, has fundamentally altered the landscape of maritime operations, creating a paradigm shift that maritime educational institutions must address comprehensively and strategically.</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contemporary maritime environment presents a complex tapestry of technological sophistication intertwined with persistent human factors that continue to influence safety, efficiency, and environmental sustainability. Maritime professionals today operate in an increasingly interconnected world where decisions made on ship bridges have far-reaching implications for global trade, environmental protection, and human safety [14]. The occupational risks and challenges of seafaring have evolved significantly from traditional maritime hazards to include complex interactions with advanced technological systems that require sophisticated understanding and operational competency [14]. This transformation necessitates a fundamental reconsideration of how maritime education prepares future deck officers for the realities of modern shipping operations, particularly in the context of navigational safety and environmental stewardship.</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maritime industry's evolution toward Industry 4.0 principles has introduced unprecedented levels of technological integration that extend far beyond simple digitization of existing processes [3]. The incorporation of Internet of Things (IoT) technologies, artificial intelligence systems, and automated decision-support tools has created a maritime operational environment that demands new forms of professional competency and educational preparation [7][9]. These technological advances promise enhanced safety, improved efficiency, and reduced environmental impact, but they also introduce new categories of risk and complexity that maritime professionals must be equipped to manage effectively. The educational implications of this technological transformation extend beyond simple training in new equipment operation to encompass fundamental changes in decision-making processes, situational awareness development, and error prevention strategies.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Standards of Training, Certification and Watchkeeping for Seafarers (STCW) Convention, which has served as the foundation for international maritime education standards, faces increasing pressure to adapt to the realities of autonomous shipping and advanced navigational technologies [8][10]. The comprehensive revision of the STCW Convention historically marked a significant milestone in standardizing maritime education globally, but the rapid pace of technological advancement has outstripped the traditional regulatory response mechanisms [10]. Contemporary discussions within the maritime </w:t>
      </w:r>
      <w:r w:rsidRPr="00266DA3">
        <w:rPr>
          <w:rFonts w:ascii="Times New Roman" w:eastAsia="Times New Roman" w:hAnsi="Times New Roman"/>
          <w:iCs/>
          <w:lang w:val="en-US" w:eastAsia="zh-CN"/>
        </w:rPr>
        <w:t>education community increasingly focus on the need to move beyond prescriptive training models toward competency-based frameworks that can adapt to emerging technologies and operational paradigms [4][8]. This shift requires a fundamental understanding of how current maritime education practices align with industry needs and how educational institutions can enhance their responsiveness to technological change.</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challenge of managing disruptions in the maritime industry extends beyond technological adaptation to encompass broader questions of sustainability, efficiency, and professional development [13]. Maritime education institutions must grapple with the complex interplay between technological advancement, environmental responsibility, and economic viability while ensuring that graduates possess the competencies necessary for successful career progression in an evolving industry. The traditional boundaries between technical skills, environmental awareness, and business acumen have become increasingly blurred, requiring educational approaches that integrate these diverse competency areas into coherent professional development frameworks.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research problem addressed in this study emerges from the growing gap between the rapid advancement of maritime navigation technologies and the adaptive capacity of maritime educational institutions to prepare graduates for contemporary professional practice. While advanced navigational aids promise enhanced safety and efficiency, their integration into maritime education curricula remains fragmented and inconsistent, potentially compromising the readiness of new maritime professionals for the complexities of modern bridge operations. The central research question guiding this investigation focuses on understanding how maritime vocational education can be enhanced through the integration of advanced navigational technologies, specifically examining the perspectives and experiences of industry experts, academic lecturers, and recent graduates regarding the effectiveness of current educational approaches in preparing competent deck officers for sustainable maritime operations.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specific objectives of this research encompass multiple dimensions of the educational challenge facing maritime institutions. The primary objective involves examining the current state of integration of advanced navigational technologies within maritime vocational curricula, particularly focusing on ECDIS, ARPA, and bridge automation systems. This examination extends beyond simple inventory of available technologies to explore the pedagogical approaches, practical training methodologies, and assessment frameworks employed in contemporary maritime education. The secondary objective addresses the professional perspectives of key </w:t>
      </w:r>
      <w:r w:rsidRPr="00266DA3">
        <w:rPr>
          <w:rFonts w:ascii="Times New Roman" w:eastAsia="Times New Roman" w:hAnsi="Times New Roman"/>
          <w:iCs/>
          <w:lang w:val="en-US" w:eastAsia="zh-CN"/>
        </w:rPr>
        <w:lastRenderedPageBreak/>
        <w:t>stakeholders regarding the effectiveness of current educational approaches in developing the competencies necessary for safe, efficient, and environmentally responsible maritime operations. This stakeholder analysis encompasses the viewpoints of industry professionals who work with graduates, academic lecturers who design and deliver educational programs, and recent graduates who have experienced the transition from academic preparation to professional practice.</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research methodology employed in this study reflects the complex, multifaceted nature of the research problem through a comprehensive qualitative approach that captures the lived experiences and professional perspectives of diverse stakeholders within the maritime education ecosystem. Recognizing that the effectiveness of educational approaches cannot be adequately assessed through quantitative measures alone, this study employs phenomenological research methods that prioritize understanding the meaning-making processes of professionals who interact with maritime education from different vantage points [6]. The selection of 70 participants across three distinct stakeholder groups reflects a deliberate strategy to capture the full spectrum of perspectives on maritime education effectiveness, from industry expectations through educational delivery to graduate outcomes.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rationale for this research stems from the urgent need to address the growing disconnect between maritime education outcomes and industry requirements in an era of rapid technological change. The maritime industry's increasing reliance on advanced navigational technologies demands educational approaches that not only provide technical proficiency but also develop the critical thinking, situational awareness, and decision-making capabilities necessary for safe and effective technology utilization. The significance of this research extends beyond immediate educational considerations to encompass broader questions of maritime safety, environmental sustainability, and professional development within the global shipping industry. The prevention versus mitigation approaches to maritime safety increasingly emphasize the importance of well-prepared professionals who can effectively utilize advanced technologies to prevent incidents rather than simply respond to emergencies [15].</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motivation for conducting this research also derives from the recognition that maritime education institutions face significant challenges in adapting to technological change while maintaining educational quality and accessibility. The barriers to effective curriculum implementation in higher education contexts apply with particular force to maritime education, where the integration of expensive technological systems and the need for practical </w:t>
      </w:r>
      <w:r w:rsidRPr="00266DA3">
        <w:rPr>
          <w:rFonts w:ascii="Times New Roman" w:eastAsia="Times New Roman" w:hAnsi="Times New Roman"/>
          <w:iCs/>
          <w:lang w:val="en-US" w:eastAsia="zh-CN"/>
        </w:rPr>
        <w:t>training create additional complexities [12]. Understanding how these barriers manifest within maritime education and identifying strategies for overcoming them represents a critical contribution to both educational practice and industry preparedness.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conceptual framework guiding this research incorporates multiple variables that influence the effectiveness of maritime education in preparing graduates for contemporary professional practice. The independent variables include the extent and nature of advanced navigational technology integration within curricula, the pedagogical approaches employed in technology-related instruction, and the background characteristics of students and instructors. The dependent variables encompass graduate competency levels, professional readiness for contemporary maritime operations, and long-term career development outcomes. Mediating variables include institutional resources, industry partnerships, regulatory requirements, and technological infrastructure, while moderating variables encompass individual learning styles, prior experience with technology, and career aspirations.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theoretical foundation for this research draws upon educational effectiveness research, technology adoption models, and professional competency development frameworks. The intersection of these theoretical domains provides a comprehensive lens for understanding how technological integration within maritime education influences professional development outcomes. The research recognizes that technological adoption within educational contexts involves complex interactions between institutional capabilities, instructor competencies, student characteristics, and industry expectations. This complexity necessitates a research approach that can capture the nuanced perspectives of multiple stakeholders while identifying patterns and themes that transcend individual experiences.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significance of this research extends to multiple domains within maritime studies, educational research, and technology integration. For maritime education institutions, this research provides empirical evidence regarding the effectiveness of current approaches to technology integration and identifies opportunities for enhancement. For industry stakeholders, the research offers insights into the readiness of graduates and the alignment between educational outcomes and professional requirements. For regulatory bodies and professional organizations, the research contributes to understanding how educational standards and requirements might be refined to better serve contemporary industry needs while maintaining safety and environmental protection priorities.</w:t>
      </w: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lastRenderedPageBreak/>
        <w:t>The urgency of this research reflects the rapidly evolving nature of maritime technology and the limited timeframe available for educational institutions to adapt their approaches before graduates face significant competency gaps in their professional practice. The increasing prevalence of autonomous shipping technologies, artificial intelligence applications, and integrated bridge systems demands immediate attention to educational preparation, as the consequences of inadequate preparation extend beyond individual career success to encompass broader maritime safety and environmental protection concerns [8][9]. The research therefore addresses not only current educational effectiveness but also the capacity of maritime education institutions to anticipate and prepare for future technological developments within the industry.</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Pr="00266DA3" w:rsidRDefault="00266DA3" w:rsidP="00266DA3">
      <w:pPr>
        <w:pStyle w:val="Heading1"/>
        <w:numPr>
          <w:ilvl w:val="0"/>
          <w:numId w:val="7"/>
        </w:numPr>
        <w:rPr>
          <w:lang w:val="en-US"/>
        </w:rPr>
      </w:pPr>
      <w:r w:rsidRPr="00266DA3">
        <w:rPr>
          <w:lang w:val="en-US"/>
        </w:rPr>
        <w:t>Research Method</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methodological approach employed in this research reflects the complex, multifaceted nature of maritime education effectiveness through a comprehensive qualitative research design that prioritizes deep understanding of stakeholder perspectives and experiences over statistical generalization [6]. The phenomenological research framework provides the theoretical foundation for exploring how industry experts, academic lecturers, and recent graduates make meaning of their experiences with advanced navigational technology integration within maritime education contexts. This methodological choice recognizes that the effectiveness of educational approaches cannot be adequately captured through quantitative measures alone, but requires detailed exploration of the lived experiences, professional judgments, and contextual factors that influence educational outcomes in maritime settings.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population for this study encompasses the broad community of maritime education stakeholders who possess direct experience with the integration of advanced navigational technologies within vocational education contexts. The target population includes maritime industry professionals who work with recent graduates, academic staff who design and deliver maritime education programs, and graduates who have completed maritime vocational programs within the past three years. The selection of this population reflects the recognition that maritime education effectiveness can only be adequately assessed through the perspectives of those who experience its outcomes directly, either as employers, educators, or graduates transitioning into professional practice. The urgency of obtaining information from these stakeholder groups stems from the rapid pace of technological change within the maritime industry, which creates a limited window of relevance for educational effectiveness assessments.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sampling strategy employed purposive sampling techniques to ensure representation across the three key stakeholder groups while maintaining focus on individuals with direct experience relevant to the research questions. The sample consists of seventy participants distributed across three categories: fifteen industry experts representing maritime companies that employ recent graduates, fifteen academic lecturers from maritime education institutions, and forty recent graduates of nautical deck engineering programs. The selection of industry experts prioritized individuals with minimum ten years of maritime experience and current involvement in advanced navigation systems, ensuring that their perspectives reflect both historical context and contemporary practice. Academic lecturers were selected based on their involvement in curriculum development and technology integration initiatives, while recent graduates were included based on their completion of four-year maritime vocational programs within the past three years and current employment in maritime positions.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research instruments employed in this study encompass multiple data collection tools designed to capture comprehensive perspectives on maritime education effectiveness while accommodating the diverse professional contexts and communication preferences of participants. The primary research instrument consists of semi-structured interview guides tailored to each stakeholder group, with interview protocols designed to explore specific aspects of advanced navigational technology integration while allowing flexibility for participants to share their unique perspectives and experiences. The interview guides incorporate open-ended questions that encourage detailed narrative responses, probing questions that explore specific aspects of technology integration, and clarification questions that ensure accurate understanding of participant perspectives.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dependent variables in this research include graduate competency levels in advanced navigational technology utilization, professional readiness for contemporary maritime operations, and long-term career development outcomes as perceived by stakeholders. Independent variables encompass the extent and nature of technology integration within maritime curricula, pedagogical approaches employed in technology instruction, and the characteristics of educational programs and institutions. The indicators for assessing these variables include stakeholder assessments of graduate performance, descriptions of educational approaches and their perceived effectiveness, and evaluations of the alignment between educational outcomes and industry requirements.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Supporting research instruments include comprehensive questionnaires designed to capture demographic information, professional background </w:t>
      </w:r>
      <w:r w:rsidRPr="00266DA3">
        <w:rPr>
          <w:rFonts w:ascii="Times New Roman" w:eastAsia="Times New Roman" w:hAnsi="Times New Roman"/>
          <w:iCs/>
          <w:lang w:val="en-US" w:eastAsia="zh-CN"/>
        </w:rPr>
        <w:lastRenderedPageBreak/>
        <w:t>details, and structured assessments of educational experiences and outcomes. Focus group discussion protocols provide frameworks for facilitating collaborative exploration of complex issues related to technology integration and educational effectiveness. Document analysis procedures enable systematic examination of curricula, training materials, and institutional policies related to advanced navigational technology integration. The integration of multiple research instruments reflects the complexity of the research questions and the need to triangulate data sources to ensure comprehensive understanding of stakeholder perspectives.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data collection process follows a systematic approach designed to maximize participant engagement while maintaining research rigor and ethical standards. Initial contact with potential participants occurs through professional networks, institutional partnerships, and industry associations, with recruitment materials clearly explaining the research purpose, participant requirements, and ethical protections. Informed consent procedures ensure that participants understand their rights and the voluntary nature of their participation, while scheduling flexibility accommodates the diverse professional commitments and geographic locations of participants. The data collection timeline spans twelve weeks, with the first four weeks dedicated to participant recruitment and scheduling, followed by eight weeks of active data collection through interviews, questionnaires, and focus groups.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Individual interviews represent the primary data collection method, with each interview lasting between sixty and ninety minutes and conducted either in person or through video conferencing platforms as appropriate for participant circumstances [11]. Audio recording with participant consent enables accurate transcription and detailed analysis, while field notes capture contextual information and non-verbal cues that inform data interpretation. Follow-up communication protocols allow for clarification of unclear responses and member checking to ensure accurate representation of participant perspectives. Focus group discussions supplement individual interviews by providing opportunities for collaborative exploration of complex issues and identification of consensus perspectives among participants.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data analysis approach employs thematic analysis methodology to identify patterns, themes, and relationships within the qualitative data while maintaining attention to the unique perspectives and experiences of individual participants [6]. The analysis process begins with detailed transcription of all interviews and focus group discussions, followed by initial coding that identifies significant statements, concepts, and themes within the data. Inductive coding approaches prioritize emergence of themes from the </w:t>
      </w:r>
      <w:r w:rsidRPr="00266DA3">
        <w:rPr>
          <w:rFonts w:ascii="Times New Roman" w:eastAsia="Times New Roman" w:hAnsi="Times New Roman"/>
          <w:iCs/>
          <w:lang w:val="en-US" w:eastAsia="zh-CN"/>
        </w:rPr>
        <w:t>data itself rather than imposing predetermined categories, while constant comparative analysis ensures that emerging themes are consistently applied across all data sources.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Thematic analysis procedures involve systematic categorization of data into primary themes related to competency development, sustainability considerations, and educational effectiveness, with secondary themes emerging through detailed examination of participant responses. Cross-group comparisons identify commonalities and distinctions among the perspectives of industry experts, academic lecturers, and recent graduates, providing insights into convergent and divergent viewpoints on maritime education effectiveness. These comparisons reveal areas of consensus regarding educational priorities and challenges, as well as differences in perspective that reflect the distinct professional contexts and experiences of different stakeholder groups.</w:t>
      </w: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Narrative synthesis procedures integrate the findings from thematic analysis and cross-group comparisons into coherent explanatory frameworks that address the research questions while honoring the complexity and nuance of participant perspectives. This synthesis process involves developing overarching narratives that explain the relationships among themes, the significance of stakeholder perspectives, and the implications for maritime education enhancement. The narrative synthesis maintains connection to the original data through extensive use of participant quotations and detailed description of the contexts from which themes emerge, ensuring that the analytical interpretations remain grounded in participant experiences while contributing to broader understanding of maritime education effectiveness.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Pr="00266DA3" w:rsidRDefault="00266DA3" w:rsidP="00266DA3">
      <w:pPr>
        <w:pStyle w:val="Heading1"/>
        <w:numPr>
          <w:ilvl w:val="0"/>
          <w:numId w:val="7"/>
        </w:numPr>
        <w:rPr>
          <w:lang w:val="en-US"/>
        </w:rPr>
      </w:pPr>
      <w:r w:rsidRPr="00266DA3">
        <w:rPr>
          <w:lang w:val="en-US"/>
        </w:rPr>
        <w:t>Results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comprehensive analysis of qualitative data from seventy participants reveals remarkable consensus regarding the critical importance of advanced navigational technology integration within maritime vocational education, while simultaneously exposing significant variations in implementation effectiveness and stakeholder satisfaction across different educational contexts. The overall assessment of current maritime education approaches demonstrates substantially positive outcomes, with aggregate satisfaction scores indicating that contemporary programs achieve considerable success in preparing graduates for professional practice, though substantial opportunities for enhancement remain evident across multiple dimensions of educational delivery and technological integration.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266DA3">
        <w:rPr>
          <w:rFonts w:ascii="Times New Roman" w:eastAsia="Times New Roman" w:hAnsi="Times New Roman"/>
          <w:b/>
          <w:bCs/>
          <w:iCs/>
          <w:lang w:val="en-US" w:eastAsia="zh-CN"/>
        </w:rPr>
        <w:t>Thematic Analysis Results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266DA3">
        <w:rPr>
          <w:rFonts w:ascii="Times New Roman" w:eastAsia="Times New Roman" w:hAnsi="Times New Roman"/>
          <w:b/>
          <w:bCs/>
          <w:iCs/>
          <w:lang w:val="en-US" w:eastAsia="zh-CN"/>
        </w:rPr>
        <w:t>Theme 1: Technology Integration Effectiveness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lastRenderedPageBreak/>
        <w:t xml:space="preserve">The analysis of stakeholder perspectives on technology integration effectiveness reveals a complex landscape of achievements and challenges that reflects both the promise and limitations of current educational approaches. Industry experts consistently report that recent graduates demonstrate strong foundational competencies in basic ECDIS operations, with 87% of industry participants rating graduate technical proficiency as adequate or better for entry-level </w:t>
      </w:r>
      <w:r w:rsidRPr="00266DA3">
        <w:rPr>
          <w:rFonts w:ascii="Times New Roman" w:eastAsia="Times New Roman" w:hAnsi="Times New Roman"/>
          <w:iCs/>
          <w:lang w:val="en-US" w:eastAsia="zh-CN"/>
        </w:rPr>
        <w:t>positions. However, deeper analysis reveals significant variations in the sophistication of technology integration across different educational institutions, with some programs achieving excellence in simulation-based training while others struggle with outdated equipment and limited practical experience opportunities.</w:t>
      </w: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266DA3" w:rsidSect="00266DA3">
          <w:type w:val="continuous"/>
          <w:pgSz w:w="11906" w:h="16838" w:code="9"/>
          <w:pgMar w:top="1080" w:right="907" w:bottom="1440" w:left="907" w:header="720" w:footer="720" w:gutter="0"/>
          <w:cols w:num="2" w:space="360"/>
          <w:docGrid w:linePitch="360"/>
        </w:sectPr>
      </w:pPr>
    </w:p>
    <w:p w:rsidR="00266DA3" w:rsidRPr="00266DA3" w:rsidRDefault="00266DA3" w:rsidP="00266DA3">
      <w:pPr>
        <w:autoSpaceDE w:val="0"/>
        <w:autoSpaceDN w:val="0"/>
        <w:adjustRightInd w:val="0"/>
        <w:spacing w:after="0" w:line="240" w:lineRule="auto"/>
        <w:ind w:firstLine="426"/>
        <w:jc w:val="center"/>
        <w:rPr>
          <w:rFonts w:ascii="Times New Roman" w:eastAsia="Times New Roman" w:hAnsi="Times New Roman"/>
          <w:iCs/>
          <w:lang w:val="en-US" w:eastAsia="zh-CN"/>
        </w:rPr>
      </w:pPr>
      <w:r w:rsidRPr="00266DA3">
        <w:rPr>
          <w:rFonts w:ascii="Times New Roman" w:eastAsia="Times New Roman" w:hAnsi="Times New Roman"/>
          <w:b/>
          <w:bCs/>
          <w:iCs/>
          <w:lang w:val="en-US" w:eastAsia="zh-CN"/>
        </w:rPr>
        <w:t>Table 1: Technology Integration Effectiveness Assessment</w:t>
      </w:r>
    </w:p>
    <w:tbl>
      <w:tblPr>
        <w:tblStyle w:val="TableGrid"/>
        <w:tblW w:w="0" w:type="auto"/>
        <w:tblLook w:val="04A0" w:firstRow="1" w:lastRow="0" w:firstColumn="1" w:lastColumn="0" w:noHBand="0" w:noVBand="1"/>
      </w:tblPr>
      <w:tblGrid>
        <w:gridCol w:w="1684"/>
        <w:gridCol w:w="2090"/>
        <w:gridCol w:w="2050"/>
        <w:gridCol w:w="2122"/>
        <w:gridCol w:w="2136"/>
      </w:tblGrid>
      <w:tr w:rsidR="00266DA3" w:rsidRPr="00266DA3" w:rsidTr="00266DA3">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Stakeholder Group</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ECDIS Proficiency Rating</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ARPA Integration Rating</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Bridge Automation Rating</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Overall Technology Rating</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Industry Experts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3.2/5.0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2.8/5.0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3.2/5.0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Academic Lecturers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3.4/5.0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Recent Graduates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3.5/5.0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3.1/5.0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3.5/5.0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Aggregate Score</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3.5/5.0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3.1/5.0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3.5/5.0</w:t>
            </w:r>
          </w:p>
        </w:tc>
      </w:tr>
    </w:tbl>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sectPr w:rsidR="00266DA3" w:rsidSect="001879AC">
          <w:type w:val="continuous"/>
          <w:pgSz w:w="11906" w:h="16838" w:code="9"/>
          <w:pgMar w:top="1080" w:right="907" w:bottom="1440" w:left="907" w:header="720" w:footer="720" w:gutter="0"/>
          <w:cols w:space="360"/>
          <w:docGrid w:linePitch="360"/>
        </w:sectPr>
      </w:pP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Academic lecturers consistently express higher confidence in technology integration effectiveness compared to industry experts, reflecting potential differences in assessment criteria and performance expectations between educational and professional contexts. Recent graduates occupy an intermediate position in their assessments, suggesting realistic understanding of both their educational preparation and the demands of professional practice. The progression from ECDIS through ARPA to bridge automation reflects increasing complexity in technology integration, with more sophisticated systems presenting greater challenges for effective educational implementation.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Qualitative analysis reveals that effective technology integration depends heavily on the availability of current equipment, instructor expertise, and structured practical training opportunities. Participants emphasize that theoretical knowledge of navigational technologies proves insufficient for professional competency, requiring extensive hands-on practice with realistic scenarios that simulate </w:t>
      </w:r>
      <w:r w:rsidRPr="00266DA3">
        <w:rPr>
          <w:rFonts w:ascii="Times New Roman" w:eastAsia="Times New Roman" w:hAnsi="Times New Roman"/>
          <w:iCs/>
          <w:lang w:val="en-US" w:eastAsia="zh-CN"/>
        </w:rPr>
        <w:t>contemporary operational conditions. The most successful educational programs demonstrate strong industry partnerships that provide access to current technology platforms and realistic operational scenarios, while less effective programs rely primarily on classroom instruction and outdated simulation systems.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266DA3">
        <w:rPr>
          <w:rFonts w:ascii="Times New Roman" w:eastAsia="Times New Roman" w:hAnsi="Times New Roman"/>
          <w:b/>
          <w:bCs/>
          <w:iCs/>
          <w:lang w:val="en-US" w:eastAsia="zh-CN"/>
        </w:rPr>
        <w:t>Theme 2: Professional Competency Development</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examination of professional competency development reveals sophisticated understanding among stakeholders regarding the multifaceted nature of maritime professional preparation, extending far beyond technical proficiency to encompass decision-making capabilities, situational awareness, and adaptive learning skills. Industry experts consistently emphasize that successful maritime professionals require integration of technical competency with strong judgment, communication skills, and environmental awareness, creating complex educational challenges that transcend simple technology training.</w:t>
      </w: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266DA3" w:rsidSect="00266DA3">
          <w:type w:val="continuous"/>
          <w:pgSz w:w="11906" w:h="16838" w:code="9"/>
          <w:pgMar w:top="1080" w:right="907" w:bottom="1440" w:left="907" w:header="720" w:footer="720" w:gutter="0"/>
          <w:cols w:num="2" w:space="360"/>
          <w:docGrid w:linePitch="360"/>
        </w:sectPr>
      </w:pPr>
    </w:p>
    <w:p w:rsidR="00266DA3" w:rsidRPr="00266DA3" w:rsidRDefault="00266DA3" w:rsidP="00266DA3">
      <w:pPr>
        <w:autoSpaceDE w:val="0"/>
        <w:autoSpaceDN w:val="0"/>
        <w:adjustRightInd w:val="0"/>
        <w:spacing w:after="0" w:line="240" w:lineRule="auto"/>
        <w:ind w:firstLine="426"/>
        <w:jc w:val="center"/>
        <w:rPr>
          <w:rFonts w:ascii="Times New Roman" w:eastAsia="Times New Roman" w:hAnsi="Times New Roman"/>
          <w:iCs/>
          <w:lang w:val="en-US" w:eastAsia="zh-CN"/>
        </w:rPr>
      </w:pPr>
      <w:r w:rsidRPr="00266DA3">
        <w:rPr>
          <w:rFonts w:ascii="Times New Roman" w:eastAsia="Times New Roman" w:hAnsi="Times New Roman"/>
          <w:b/>
          <w:bCs/>
          <w:iCs/>
          <w:lang w:val="en-US" w:eastAsia="zh-CN"/>
        </w:rPr>
        <w:t>Table 2: Professional Competency Development Assessment</w:t>
      </w:r>
    </w:p>
    <w:tbl>
      <w:tblPr>
        <w:tblStyle w:val="TableGrid"/>
        <w:tblW w:w="0" w:type="auto"/>
        <w:tblLook w:val="04A0" w:firstRow="1" w:lastRow="0" w:firstColumn="1" w:lastColumn="0" w:noHBand="0" w:noVBand="1"/>
      </w:tblPr>
      <w:tblGrid>
        <w:gridCol w:w="2338"/>
        <w:gridCol w:w="1897"/>
        <w:gridCol w:w="2120"/>
        <w:gridCol w:w="2126"/>
        <w:gridCol w:w="1601"/>
      </w:tblGrid>
      <w:tr w:rsidR="00266DA3" w:rsidRPr="00266DA3" w:rsidTr="00266DA3">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Competency Domain</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Industry Expert Rating</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Academic Lecturer Rating</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Graduate Self-Assessment</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Weighted Average</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Technical Proficiency</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4.2/5.0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Decision-Making Skills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3.4/5.0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3.6/5.0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3.6/5.0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Situational Awareness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3.6/5.0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3.5/5.0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3.6/5.0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Environmental Consciousness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4.3/5.0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Communication Skills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Overall Competency</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4.0/5.0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r>
    </w:tbl>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sectPr w:rsidR="00266DA3" w:rsidSect="001879AC">
          <w:type w:val="continuous"/>
          <w:pgSz w:w="11906" w:h="16838" w:code="9"/>
          <w:pgMar w:top="1080" w:right="907" w:bottom="1440" w:left="907" w:header="720" w:footer="720" w:gutter="0"/>
          <w:cols w:space="360"/>
          <w:docGrid w:linePitch="360"/>
        </w:sectPr>
      </w:pP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analysis demonstrates that environmental consciousness represents the strongest competency area across all stakeholder groups, reflecting successful integration of sustainability principles within contemporary maritime education. This finding suggests that educational institutions have effectively </w:t>
      </w:r>
      <w:r w:rsidRPr="00266DA3">
        <w:rPr>
          <w:rFonts w:ascii="Times New Roman" w:eastAsia="Times New Roman" w:hAnsi="Times New Roman"/>
          <w:iCs/>
          <w:lang w:val="en-US" w:eastAsia="zh-CN"/>
        </w:rPr>
        <w:t>responded to industry demands for environmentally aware professionals, though the translation of environmental awareness into practical operational decisions remains an area for continued development.</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Decision-making skills and situational awareness emerge as priority areas for enhancement, with industry experts expressing particular concern about graduates' </w:t>
      </w:r>
      <w:r w:rsidRPr="00266DA3">
        <w:rPr>
          <w:rFonts w:ascii="Times New Roman" w:eastAsia="Times New Roman" w:hAnsi="Times New Roman"/>
          <w:iCs/>
          <w:lang w:val="en-US" w:eastAsia="zh-CN"/>
        </w:rPr>
        <w:lastRenderedPageBreak/>
        <w:t>ability to integrate information from multiple sources and make appropriate decisions under pressure. The complexity of modern bridge operations, with multiple technological systems providing vast amounts of information, requires sophisticated information processing and decision-making capabilities that extend beyond traditional navigational training. Academic lecturers acknowledge these challenges while emphasizing the difficulty of creating authentic decision-making scenarios within educational contexts.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Recent graduates demonstrate realistic self-assessment of their competency levels, generally rating themselves slightly lower than academic lecturers but closely aligned with industry expert assessments. This alignment suggests effective feedback mechanisms within educational programs and realistic understanding of professional requirements among graduating students. The consistency in self-assessment across multiple competency domains indicates that </w:t>
      </w:r>
      <w:r w:rsidRPr="00266DA3">
        <w:rPr>
          <w:rFonts w:ascii="Times New Roman" w:eastAsia="Times New Roman" w:hAnsi="Times New Roman"/>
          <w:iCs/>
          <w:lang w:val="en-US" w:eastAsia="zh-CN"/>
        </w:rPr>
        <w:t>graduates possess accurate understanding of their strengths and development needs as they transition into professional practice.</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266DA3">
        <w:rPr>
          <w:rFonts w:ascii="Times New Roman" w:eastAsia="Times New Roman" w:hAnsi="Times New Roman"/>
          <w:b/>
          <w:bCs/>
          <w:iCs/>
          <w:lang w:val="en-US" w:eastAsia="zh-CN"/>
        </w:rPr>
        <w:t>Theme 3: Educational Approach Effectiveness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evaluation of educational approach effectiveness reveals significant variations in pedagogical strategies and their perceived impact on student learning outcomes, with stakeholders identifying both innovative practices and persistent challenges within contemporary maritime education delivery. The analysis demonstrates that effective maritime education requires careful balance between theoretical foundation, practical application, and professional context, with the most successful programs achieving integration across these dimensions through innovative curriculum design and strong industry partnerships.</w:t>
      </w: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266DA3" w:rsidSect="00266DA3">
          <w:type w:val="continuous"/>
          <w:pgSz w:w="11906" w:h="16838" w:code="9"/>
          <w:pgMar w:top="1080" w:right="907" w:bottom="1440" w:left="907" w:header="720" w:footer="720" w:gutter="0"/>
          <w:cols w:num="2" w:space="360"/>
          <w:docGrid w:linePitch="360"/>
        </w:sectPr>
      </w:pPr>
    </w:p>
    <w:p w:rsidR="00266DA3" w:rsidRPr="00266DA3" w:rsidRDefault="00266DA3" w:rsidP="00266DA3">
      <w:pPr>
        <w:autoSpaceDE w:val="0"/>
        <w:autoSpaceDN w:val="0"/>
        <w:adjustRightInd w:val="0"/>
        <w:spacing w:after="0" w:line="240" w:lineRule="auto"/>
        <w:ind w:firstLine="426"/>
        <w:jc w:val="center"/>
        <w:rPr>
          <w:rFonts w:ascii="Times New Roman" w:eastAsia="Times New Roman" w:hAnsi="Times New Roman"/>
          <w:iCs/>
          <w:lang w:val="en-US" w:eastAsia="zh-CN"/>
        </w:rPr>
      </w:pPr>
      <w:r w:rsidRPr="00266DA3">
        <w:rPr>
          <w:rFonts w:ascii="Times New Roman" w:eastAsia="Times New Roman" w:hAnsi="Times New Roman"/>
          <w:b/>
          <w:bCs/>
          <w:iCs/>
          <w:lang w:val="en-US" w:eastAsia="zh-CN"/>
        </w:rPr>
        <w:t>Table 3: Educational Approach Effectiveness Analysis</w:t>
      </w:r>
    </w:p>
    <w:tbl>
      <w:tblPr>
        <w:tblStyle w:val="TableGrid"/>
        <w:tblW w:w="0" w:type="auto"/>
        <w:tblLook w:val="04A0" w:firstRow="1" w:lastRow="0" w:firstColumn="1" w:lastColumn="0" w:noHBand="0" w:noVBand="1"/>
      </w:tblPr>
      <w:tblGrid>
        <w:gridCol w:w="2396"/>
        <w:gridCol w:w="1807"/>
        <w:gridCol w:w="2114"/>
        <w:gridCol w:w="1713"/>
        <w:gridCol w:w="2052"/>
      </w:tblGrid>
      <w:tr w:rsidR="00266DA3" w:rsidRPr="00266DA3" w:rsidTr="00266DA3">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Educational Component</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Effectiveness Rating</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Implementation Quality</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Resource Adequacy</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Stakeholder Satisfaction</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Theoretical Instruction</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4.0/5.0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4.2/5.0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Simulation Training</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3.6/5.0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3.4/5.0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3.6/5.0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Practical Shipboard Experience</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4.3/5.0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4.0/5.0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Industry Integration</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3.5/5.0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3.3/5.0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3.2/5.0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3.3/5.0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Assessment Methods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Overall Effectiveness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r>
    </w:tbl>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sectPr w:rsidR="00266DA3" w:rsidSect="001879AC">
          <w:type w:val="continuous"/>
          <w:pgSz w:w="11906" w:h="16838" w:code="9"/>
          <w:pgMar w:top="1080" w:right="907" w:bottom="1440" w:left="907" w:header="720" w:footer="720" w:gutter="0"/>
          <w:cols w:space="360"/>
          <w:docGrid w:linePitch="360"/>
        </w:sectPr>
      </w:pP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Theoretical instruction emerges as the strongest component of current educational approaches, reflecting well-established pedagogical practices and adequate resource allocation for classroom-based learning. However, stakeholders consistently emphasize that theoretical knowledge alone proves insufficient for professional competency, requiring integration with practical application and professional context. The challenge lies not in the quality of theoretical instruction but in its effective integration with practical training components.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Practical shipboard experience receives the highest effectiveness ratings but demonstrates resource adequacy challenges that limit its availability and quality across different educational institutions. Industry experts and recent graduates consistently identify shipboard experience as the most valuable component of maritime education, providing authentic professional context and realistic operational scenarios that cannot be replicated in classroom or simulation environments. However, the logistics and costs associated with arranging quality shipboard experiences create barriers for many educational institutions.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Simulation training represents an area of significant potential that remains underutilized due to resource constraints and implementation challenges. </w:t>
      </w:r>
      <w:r w:rsidRPr="00266DA3">
        <w:rPr>
          <w:rFonts w:ascii="Times New Roman" w:eastAsia="Times New Roman" w:hAnsi="Times New Roman"/>
          <w:iCs/>
          <w:lang w:val="en-US" w:eastAsia="zh-CN"/>
        </w:rPr>
        <w:t>While stakeholders recognize the value of high-quality simulation for bridge operations training, many institutions struggle with outdated equipment, limited scenario libraries, and insufficient instructor expertise in simulation-based pedagogy. The most effective programs demonstrate innovative approaches to simulation training that integrate multiple technological systems and provide realistic operational scenarios.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Industry integration emerges as the area with the greatest potential for enhancement, with current approaches falling short of stakeholder expectations for meaningful collaboration between educational institutions and maritime companies. Successful industry integration requires sustained partnerships that go beyond occasional guest lectures or facility visits to encompass curriculum development, instructor development, and ongoing assessment of graduate performance in professional contexts.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266DA3">
        <w:rPr>
          <w:rFonts w:ascii="Times New Roman" w:eastAsia="Times New Roman" w:hAnsi="Times New Roman"/>
          <w:b/>
          <w:bCs/>
          <w:iCs/>
          <w:lang w:val="en-US" w:eastAsia="zh-CN"/>
        </w:rPr>
        <w:t>Theme 4: Sustainability Integration and Environmental Awareness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analysis of sustainability integration within maritime education reveals remarkable success in developing environmental consciousness among graduates, while identifying continued opportunities for enhancing the practical application of sustainability principles within operational decision-making contexts. Stakeholders demonstrate strong consensus regarding </w:t>
      </w:r>
      <w:r w:rsidRPr="00266DA3">
        <w:rPr>
          <w:rFonts w:ascii="Times New Roman" w:eastAsia="Times New Roman" w:hAnsi="Times New Roman"/>
          <w:iCs/>
          <w:lang w:val="en-US" w:eastAsia="zh-CN"/>
        </w:rPr>
        <w:lastRenderedPageBreak/>
        <w:t xml:space="preserve">the importance of environmental stewardship within contemporary maritime practice, with educational </w:t>
      </w:r>
      <w:r w:rsidRPr="00266DA3">
        <w:rPr>
          <w:rFonts w:ascii="Times New Roman" w:eastAsia="Times New Roman" w:hAnsi="Times New Roman"/>
          <w:iCs/>
          <w:lang w:val="en-US" w:eastAsia="zh-CN"/>
        </w:rPr>
        <w:t>institutions successfully integrating sustainability concepts across multiple curriculum components.</w:t>
      </w: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266DA3" w:rsidSect="00266DA3">
          <w:type w:val="continuous"/>
          <w:pgSz w:w="11906" w:h="16838" w:code="9"/>
          <w:pgMar w:top="1080" w:right="907" w:bottom="1440" w:left="907" w:header="720" w:footer="720" w:gutter="0"/>
          <w:cols w:num="2" w:space="360"/>
          <w:docGrid w:linePitch="360"/>
        </w:sectPr>
      </w:pPr>
    </w:p>
    <w:p w:rsidR="00266DA3" w:rsidRPr="00266DA3" w:rsidRDefault="00266DA3" w:rsidP="00266DA3">
      <w:pPr>
        <w:autoSpaceDE w:val="0"/>
        <w:autoSpaceDN w:val="0"/>
        <w:adjustRightInd w:val="0"/>
        <w:spacing w:after="0" w:line="240" w:lineRule="auto"/>
        <w:ind w:firstLine="426"/>
        <w:jc w:val="center"/>
        <w:rPr>
          <w:rFonts w:ascii="Times New Roman" w:eastAsia="Times New Roman" w:hAnsi="Times New Roman"/>
          <w:iCs/>
          <w:lang w:val="en-US" w:eastAsia="zh-CN"/>
        </w:rPr>
      </w:pPr>
      <w:r w:rsidRPr="00266DA3">
        <w:rPr>
          <w:rFonts w:ascii="Times New Roman" w:eastAsia="Times New Roman" w:hAnsi="Times New Roman"/>
          <w:b/>
          <w:bCs/>
          <w:iCs/>
          <w:lang w:val="en-US" w:eastAsia="zh-CN"/>
        </w:rPr>
        <w:t>Table 4: Sustainability Integration Assessment</w:t>
      </w:r>
    </w:p>
    <w:tbl>
      <w:tblPr>
        <w:tblStyle w:val="TableGrid"/>
        <w:tblW w:w="0" w:type="auto"/>
        <w:tblLook w:val="04A0" w:firstRow="1" w:lastRow="0" w:firstColumn="1" w:lastColumn="0" w:noHBand="0" w:noVBand="1"/>
      </w:tblPr>
      <w:tblGrid>
        <w:gridCol w:w="2441"/>
        <w:gridCol w:w="2198"/>
        <w:gridCol w:w="1915"/>
        <w:gridCol w:w="2130"/>
        <w:gridCol w:w="1398"/>
      </w:tblGrid>
      <w:tr w:rsidR="00266DA3" w:rsidRPr="00266DA3" w:rsidTr="00266DA3">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Sustainability Component</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Knowledge Development</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Practical Application</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Professional Integration</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Overall Rating</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Environmental Regulations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4.4/5.0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Fuel Efficiency Optimization</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4.2/5.0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Waste Management Protocols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4.3/5.0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4.0/5.0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4.2/5.0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4.2/5.0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Route Planning Efficiency</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3.6/5.0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Technology for Sustainability</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3.8/5.0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3.4/5.0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3.5/5.0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3.6/5.0</w:t>
            </w:r>
          </w:p>
        </w:tc>
      </w:tr>
      <w:tr w:rsidR="00266DA3" w:rsidRPr="00266DA3" w:rsidTr="00266DA3">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Overall Sustainability</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4.1/5.0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3.7/5.0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3.9/5.0</w:t>
            </w:r>
          </w:p>
        </w:tc>
      </w:tr>
    </w:tbl>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sectPr w:rsidR="00266DA3" w:rsidSect="001879AC">
          <w:type w:val="continuous"/>
          <w:pgSz w:w="11906" w:h="16838" w:code="9"/>
          <w:pgMar w:top="1080" w:right="907" w:bottom="1440" w:left="907" w:header="720" w:footer="720" w:gutter="0"/>
          <w:cols w:space="360"/>
          <w:docGrid w:linePitch="360"/>
        </w:sectPr>
      </w:pP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Environmental regulations knowledge represents the strongest component of sustainability education, reflecting clear regulatory requirements and well-established educational content. However, the progression from knowledge development through practical application to professional integration reveals opportunities for enhancing the translation of environmental awareness into operational practice. Industry experts emphasize that while graduates demonstrate strong environmental consciousness, they require additional support in applying sustainability principles within complex operational contexts that involve multiple competing priorities.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Waste management protocols demonstrate strong performance across all assessment dimensions, suggesting effective integration of practical sustainability measures within educational programs. This success likely reflects the concrete, observable nature of waste management practices and the clear operational procedures that govern waste handling in maritime contexts. The consistency of high ratings across stakeholder groups indicates effective educational approaches and successful knowledge transfer.</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Technology for sustainability emerges as an area requiring enhanced attention, with stakeholders identifying significant potential for advanced navigational technologies to support environmental objectives through optimized routing, improved fuel efficiency, and reduced emissions. However, current educational approaches inadequately address the intersection between advanced technology capabilities and sustainability objectives, creating missed opportunities for preparing graduates to leverage technology for environmental stewardship.</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266DA3">
        <w:rPr>
          <w:rFonts w:ascii="Times New Roman" w:eastAsia="Times New Roman" w:hAnsi="Times New Roman"/>
          <w:b/>
          <w:bCs/>
          <w:iCs/>
          <w:lang w:val="en-US" w:eastAsia="zh-CN"/>
        </w:rPr>
        <w:t>Cross-Group Comparison Analysis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systematic comparison of perspectives across industry experts, academic lecturers, and recent graduates reveals both convergent understanding and divergent priorities that reflect the distinct professional contexts and experiences of each stakeholder group. Industry experts consistently emphasize practical competency and professional readiness, academic lecturers prioritize comprehensive understanding and theoretical foundation, while recent graduates focus on transition support and practical application opportunities.</w:t>
      </w: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266DA3" w:rsidRDefault="00266DA3" w:rsidP="00266DA3">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266DA3" w:rsidSect="00266DA3">
          <w:type w:val="continuous"/>
          <w:pgSz w:w="11906" w:h="16838" w:code="9"/>
          <w:pgMar w:top="1080" w:right="907" w:bottom="1440" w:left="907" w:header="720" w:footer="720" w:gutter="0"/>
          <w:cols w:num="2" w:space="360"/>
          <w:docGrid w:linePitch="360"/>
        </w:sectPr>
      </w:pPr>
    </w:p>
    <w:p w:rsidR="00266DA3" w:rsidRPr="00266DA3" w:rsidRDefault="00266DA3" w:rsidP="00266DA3">
      <w:pPr>
        <w:autoSpaceDE w:val="0"/>
        <w:autoSpaceDN w:val="0"/>
        <w:adjustRightInd w:val="0"/>
        <w:spacing w:after="0" w:line="240" w:lineRule="auto"/>
        <w:ind w:firstLine="426"/>
        <w:jc w:val="center"/>
        <w:rPr>
          <w:rFonts w:ascii="Times New Roman" w:eastAsia="Times New Roman" w:hAnsi="Times New Roman"/>
          <w:iCs/>
          <w:lang w:val="en-US" w:eastAsia="zh-CN"/>
        </w:rPr>
      </w:pPr>
      <w:r w:rsidRPr="00266DA3">
        <w:rPr>
          <w:rFonts w:ascii="Times New Roman" w:eastAsia="Times New Roman" w:hAnsi="Times New Roman"/>
          <w:b/>
          <w:bCs/>
          <w:iCs/>
          <w:lang w:val="en-US" w:eastAsia="zh-CN"/>
        </w:rPr>
        <w:t>Table 5: Cross-Group Priority Rankings</w:t>
      </w:r>
    </w:p>
    <w:tbl>
      <w:tblPr>
        <w:tblStyle w:val="TableGrid"/>
        <w:tblW w:w="0" w:type="auto"/>
        <w:jc w:val="center"/>
        <w:tblLook w:val="04A0" w:firstRow="1" w:lastRow="0" w:firstColumn="1" w:lastColumn="0" w:noHBand="0" w:noVBand="1"/>
      </w:tblPr>
      <w:tblGrid>
        <w:gridCol w:w="2549"/>
        <w:gridCol w:w="1678"/>
        <w:gridCol w:w="1944"/>
        <w:gridCol w:w="1755"/>
        <w:gridCol w:w="1901"/>
      </w:tblGrid>
      <w:tr w:rsidR="00266DA3" w:rsidRPr="00266DA3" w:rsidTr="00266DA3">
        <w:trPr>
          <w:jc w:val="center"/>
        </w:trPr>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Priority Area</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Industry Experts</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Academic Lecturers</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Recent Graduates</w:t>
            </w:r>
          </w:p>
        </w:tc>
        <w:tc>
          <w:tcPr>
            <w:tcW w:w="0" w:type="auto"/>
            <w:hideMark/>
          </w:tcPr>
          <w:p w:rsidR="00266DA3" w:rsidRPr="00266DA3" w:rsidRDefault="00266DA3" w:rsidP="00266DA3">
            <w:pPr>
              <w:pStyle w:val="NoSpacing"/>
              <w:jc w:val="center"/>
              <w:rPr>
                <w:b/>
                <w:bCs/>
                <w:sz w:val="20"/>
                <w:szCs w:val="20"/>
                <w:lang w:val="en-US" w:eastAsia="zh-CN"/>
              </w:rPr>
            </w:pPr>
            <w:r w:rsidRPr="00266DA3">
              <w:rPr>
                <w:b/>
                <w:bCs/>
                <w:sz w:val="20"/>
                <w:szCs w:val="20"/>
                <w:lang w:val="en-US" w:eastAsia="zh-CN"/>
              </w:rPr>
              <w:t>Consensus Ranking</w:t>
            </w:r>
          </w:p>
        </w:tc>
      </w:tr>
      <w:tr w:rsidR="00266DA3" w:rsidRPr="00266DA3" w:rsidTr="00266DA3">
        <w:trPr>
          <w:jc w:val="center"/>
        </w:trPr>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Practical Skills Development</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1</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2</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2</w:t>
            </w:r>
          </w:p>
        </w:tc>
      </w:tr>
      <w:tr w:rsidR="00266DA3" w:rsidRPr="00266DA3" w:rsidTr="00266DA3">
        <w:trPr>
          <w:jc w:val="center"/>
        </w:trPr>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Theoretical Knowledge</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1</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w:t>
            </w:r>
          </w:p>
        </w:tc>
      </w:tr>
      <w:tr w:rsidR="00266DA3" w:rsidRPr="00266DA3" w:rsidTr="00266DA3">
        <w:trPr>
          <w:jc w:val="center"/>
        </w:trPr>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Technology Integration</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2</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2</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1</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1</w:t>
            </w:r>
          </w:p>
        </w:tc>
      </w:tr>
      <w:tr w:rsidR="00266DA3" w:rsidRPr="00266DA3" w:rsidTr="00266DA3">
        <w:trPr>
          <w:jc w:val="center"/>
        </w:trPr>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Industry Preparation</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3</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4</w:t>
            </w:r>
          </w:p>
        </w:tc>
      </w:tr>
      <w:tr w:rsidR="00266DA3" w:rsidRPr="00266DA3" w:rsidTr="00266DA3">
        <w:trPr>
          <w:jc w:val="center"/>
        </w:trPr>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Environmental Awareness</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5</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5</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5</w:t>
            </w:r>
          </w:p>
        </w:tc>
        <w:tc>
          <w:tcPr>
            <w:tcW w:w="0" w:type="auto"/>
            <w:hideMark/>
          </w:tcPr>
          <w:p w:rsidR="00266DA3" w:rsidRPr="00266DA3" w:rsidRDefault="00266DA3" w:rsidP="00266DA3">
            <w:pPr>
              <w:pStyle w:val="NoSpacing"/>
              <w:jc w:val="center"/>
              <w:rPr>
                <w:sz w:val="20"/>
                <w:szCs w:val="20"/>
                <w:lang w:val="en-US" w:eastAsia="zh-CN"/>
              </w:rPr>
            </w:pPr>
            <w:r w:rsidRPr="00266DA3">
              <w:rPr>
                <w:sz w:val="20"/>
                <w:szCs w:val="20"/>
                <w:lang w:val="en-US" w:eastAsia="zh-CN"/>
              </w:rPr>
              <w:t>5</w:t>
            </w:r>
          </w:p>
        </w:tc>
      </w:tr>
    </w:tbl>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sectPr w:rsidR="00266DA3" w:rsidSect="001879AC">
          <w:type w:val="continuous"/>
          <w:pgSz w:w="11906" w:h="16838" w:code="9"/>
          <w:pgMar w:top="1080" w:right="907" w:bottom="1440" w:left="907" w:header="720" w:footer="720" w:gutter="0"/>
          <w:cols w:space="360"/>
          <w:docGrid w:linePitch="360"/>
        </w:sectPr>
      </w:pP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Technology integration emerges as the highest consensus priority across all stakeholder groups, reflecting widespread recognition of its critical importance for contemporary maritime practice. However, the specific aspects of technology integration that different groups emphasize vary significantly, with industry experts prioritizing operational proficiency, </w:t>
      </w:r>
      <w:r w:rsidRPr="00266DA3">
        <w:rPr>
          <w:rFonts w:ascii="Times New Roman" w:eastAsia="Times New Roman" w:hAnsi="Times New Roman"/>
          <w:iCs/>
          <w:lang w:val="en-US" w:eastAsia="zh-CN"/>
        </w:rPr>
        <w:t>academic lecturers emphasizing theoretical understanding, and recent graduates seeking practical application opportunities.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convergence around environmental awareness as a lower priority reflects not diminished importance but rather satisfaction with current educational approaches in this domain. Stakeholders consistently express confidence that environmental consciousness is </w:t>
      </w:r>
      <w:r w:rsidRPr="00266DA3">
        <w:rPr>
          <w:rFonts w:ascii="Times New Roman" w:eastAsia="Times New Roman" w:hAnsi="Times New Roman"/>
          <w:iCs/>
          <w:lang w:val="en-US" w:eastAsia="zh-CN"/>
        </w:rPr>
        <w:lastRenderedPageBreak/>
        <w:t>adequately addressed within existing programs, though opportunities remain for enhancing the integration of environmental considerations with operational decision-making processes.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Divergent perspectives on theoretical knowledge versus practical skills development reflect the inherent tension between comprehensive education and professional preparation. Academic lecturers appropriately emphasize the importance of theoretical foundation for long-term professional development, while industry experts prioritize immediate operational competency. Recent graduates' intermediate position reflects their understanding of both perspectives and the challenges of balancing comprehensive preparation with practical readiness.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266DA3">
        <w:rPr>
          <w:rFonts w:ascii="Times New Roman" w:eastAsia="Times New Roman" w:hAnsi="Times New Roman"/>
          <w:b/>
          <w:bCs/>
          <w:iCs/>
          <w:lang w:val="en-US" w:eastAsia="zh-CN"/>
        </w:rPr>
        <w:t>Narrative Synthesis of Findings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integration of thematic analysis and cross-group comparisons reveals a maritime education landscape characterized by substantial achievements alongside persistent challenges that require continued attention and innovative solutions. The overall effectiveness of current approaches demonstrates that maritime education institutions have successfully adapted to many contemporary industry requirements while maintaining educational quality and professional standards. However, the rapid pace of technological change and evolving industry expectations create ongoing pressures for continued enhancement and adaptation.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central narrative emerging from stakeholder perspectives emphasizes that effective maritime education requires sophisticated integration of technological competency, professional judgment, and environmental stewardship within educational approaches that balance theoretical foundation with practical application. The most successful educational programs demonstrate strong industry partnerships, access to current technology platforms, and innovative pedagogical approaches that prepare graduates for the complexities of contemporary maritime operations.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persistence of resource-related challenges across multiple dimensions of maritime education indicates that institutional capacity and infrastructure investment represent critical factors in educational effectiveness. While stakeholder satisfaction with educational outcomes remains generally positive, the achievement of excellence in maritime education requires sustained investment in technology platforms, instructor development, and industry partnerships that enable authentic professional preparation.</w:t>
      </w: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remarkable consensus regarding the importance of environmental stewardship within maritime education reflects successful cultural transformation within the industry toward sustainability principles. However, the translation of environmental awareness into operational practice requires continued </w:t>
      </w:r>
      <w:r w:rsidRPr="00266DA3">
        <w:rPr>
          <w:rFonts w:ascii="Times New Roman" w:eastAsia="Times New Roman" w:hAnsi="Times New Roman"/>
          <w:iCs/>
          <w:lang w:val="en-US" w:eastAsia="zh-CN"/>
        </w:rPr>
        <w:t>attention to the integration of sustainability considerations within complex decision-making scenarios that involve multiple competing priorities and constraints.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Pr="00266DA3" w:rsidRDefault="00266DA3" w:rsidP="00266DA3">
      <w:pPr>
        <w:pStyle w:val="Heading1"/>
        <w:numPr>
          <w:ilvl w:val="0"/>
          <w:numId w:val="7"/>
        </w:numPr>
        <w:rPr>
          <w:lang w:val="en-US"/>
        </w:rPr>
      </w:pPr>
      <w:r w:rsidRPr="00266DA3">
        <w:rPr>
          <w:lang w:val="en-US"/>
        </w:rPr>
        <w:t>Discussion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findings of this research demonstrate substantial alignment with existing literature regarding the challenges and opportunities associated with integrating advanced technologies within maritime education contexts, while revealing important nuances that extend beyond previous investigations. The overall positive assessment of current maritime education effectiveness supports the premise that educational institutions have made significant progress in adapting to contemporary industry requirements, consistent with broader discussions about the evolution of maritime professional preparation [4][8]. However, the identified gaps between stakeholder expectations and current performance reflect the ongoing challenges that maritime education faces in maintaining relevance within a rapidly evolving technological landscape.</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research findings directly address the original research questions by demonstrating that maritime vocational education can indeed be enhanced through strategic integration of advanced navigational technologies, though the effectiveness of such integration depends heavily on implementation quality, resource availability, and pedagogical approach. The stakeholder consensus regarding technology integration as the highest priority aligns with industry discussions about the growing importance of technological competency within maritime operations [3][7]. However, the variation in technology integration effectiveness across different educational contexts reveals that simply acquiring advanced equipment proves insufficient without corresponding investments in instructor development, curriculum redesign, and pedagogical innovation.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finding that environmental consciousness represents the strongest competency area across all stakeholder groups contradicts potential expectations that technical proficiency would dominate maritime education outcomes. This result suggests successful integration of sustainability principles within contemporary maritime education, supporting broader trends toward environmental stewardship within the industry [5]. The strength of environmental awareness among graduates reflects educational institutions' responsiveness to industry demands for environmentally conscious professionals, though the research reveals opportunities for enhancing the practical application of environmental principles within complex operational contexts.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identified challenges in decision-making skills and situational awareness development align closely </w:t>
      </w:r>
      <w:r w:rsidRPr="00266DA3">
        <w:rPr>
          <w:rFonts w:ascii="Times New Roman" w:eastAsia="Times New Roman" w:hAnsi="Times New Roman"/>
          <w:iCs/>
          <w:lang w:val="en-US" w:eastAsia="zh-CN"/>
        </w:rPr>
        <w:lastRenderedPageBreak/>
        <w:t xml:space="preserve">with existing research regarding the human </w:t>
      </w:r>
      <w:proofErr w:type="gramStart"/>
      <w:r w:rsidRPr="00266DA3">
        <w:rPr>
          <w:rFonts w:ascii="Times New Roman" w:eastAsia="Times New Roman" w:hAnsi="Times New Roman"/>
          <w:iCs/>
          <w:lang w:val="en-US" w:eastAsia="zh-CN"/>
        </w:rPr>
        <w:t>factors</w:t>
      </w:r>
      <w:proofErr w:type="gramEnd"/>
      <w:r w:rsidRPr="00266DA3">
        <w:rPr>
          <w:rFonts w:ascii="Times New Roman" w:eastAsia="Times New Roman" w:hAnsi="Times New Roman"/>
          <w:iCs/>
          <w:lang w:val="en-US" w:eastAsia="zh-CN"/>
        </w:rPr>
        <w:t xml:space="preserve"> implications of advanced maritime technologies [14][15]. The complexity of modern bridge operations, with multiple technological systems providing vast amounts of information, creates new categories of cognitive demand that traditional maritime education approaches may inadequately address. The research findings support the premise that preventing maritime accidents through enhanced education proves more effective than relying solely on mitigation strategies, emphasizing the critical importance of well-prepared professionals who can effectively utilize advanced technologies [15].</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variation in stakeholder perspectives regarding the relative importance of theoretical knowledge versus practical skills development reflects broader discussions within vocational education about the balance between comprehensive preparation and immediate job readiness [12]. The academic emphasis on theoretical foundation aligns with educational research regarding the importance of conceptual understanding for long-term professional development, while industry prioritization of practical competency reflects the immediate operational demands facing new maritime professionals. The research contributes to these discussions by demonstrating that effective maritime education requires sophisticated integration of both dimensions rather than prioritizing one over the other.</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finding that practical shipboard experience receives the highest effectiveness ratings but faces significant resource adequacy challenges illuminates a critical tension within contemporary maritime education. The logistical and financial constraints associated with arranging quality shipboard experiences create barriers that limit educational effectiveness, particularly for institutions with limited industry partnerships or geographic constraints. This finding extends existing discussions about the importance of authentic learning experiences within technical education by highlighting the specific challenges that maritime education faces in providing realistic professional preparation.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identified shortcomings in industry integration represent an area where current maritime education practices fall short of both stakeholder expectations and best practices identified in educational research [12]. Effective industry integration requires sustained partnerships that go beyond superficial collaboration to encompass curriculum development, instructor development, and ongoing assessment of graduate performance. The research findings suggest that many maritime education institutions have not yet achieved the level of industry integration necessary for optimal educational effectiveness, representing a significant opportunity for enhancement.</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research reveals important differences from previous studies in its comprehensive examination of stakeholder perspectives across the full spectrum of maritime education participants. While existing literature often focuses on individual stakeholder groups or specific technological systems, this research provides integrated analysis that captures the complexity of maritime education effectiveness from multiple viewpoints. The finding that recent graduates demonstrate realistic self-assessment of their competency levels suggests more effective feedback mechanisms within contemporary maritime education than might be expected from studies that focus primarily on employer satisfaction or academic assessment.</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strengths of this research include its comprehensive stakeholder representation, systematic thematic analysis approach, and focus on the intersection between technological advancement and educational effectiveness. The inclusion of seventy participants across three distinct stakeholder groups provides robust foundation for understanding maritime education effectiveness from multiple perspectives. The qualitative methodology enables deep exploration of complex issues that quantitative approaches might overlook, particularly regarding the nuanced relationships between technology integration, pedagogical approach, and educational outcomes.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research limitations include its focus on a specific geographic and institutional context, which may limit the generalizability of findings to other maritime education environments. The reliance on self-reported data introduces potential bias, though the triangulation across multiple stakeholder groups helps mitigate this concern. The snapshot nature of the research captures perspectives at a specific point in time, while the rapid pace of technological change suggests that continuous monitoring would provide more complete understanding of educational effectiveness trends.</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The practical implications of these findings extend to multiple domains within maritime education and industry practice. For maritime education institutions, the research provides evidence-based guidance for enhancing technology integration, improving industry partnerships, and balancing theoretical and practical instruction. The identification of simulation training as an underutilized resource with significant potential suggests specific areas for institutional investment and development. For industry stakeholders, the research offers insights into graduate competency levels and suggests areas where additional support or mentoring might enhance professional development outcomes.</w:t>
      </w: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research suggests several areas for future investigation, including longitudinal studies that track graduate performance over extended periods, </w:t>
      </w:r>
      <w:r w:rsidRPr="00266DA3">
        <w:rPr>
          <w:rFonts w:ascii="Times New Roman" w:eastAsia="Times New Roman" w:hAnsi="Times New Roman"/>
          <w:iCs/>
          <w:lang w:val="en-US" w:eastAsia="zh-CN"/>
        </w:rPr>
        <w:lastRenderedPageBreak/>
        <w:t>comparative analysis of different pedagogical approaches to technology integration, and examination of the effectiveness of specific industry partnership models. The rapid development of autonomous shipping technologies creates urgent need for research regarding educational preparation for emerging operational paradigms [8]. Additionally, the intersection between advanced maritime technologies and environmental stewardship represents an area requiring continued investigation as sustainability pressures increase within the industry.</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p>
    <w:p w:rsidR="00266DA3" w:rsidRPr="00266DA3" w:rsidRDefault="00266DA3" w:rsidP="00266DA3">
      <w:pPr>
        <w:pStyle w:val="Heading1"/>
        <w:numPr>
          <w:ilvl w:val="0"/>
          <w:numId w:val="7"/>
        </w:numPr>
        <w:rPr>
          <w:lang w:val="en-US"/>
        </w:rPr>
      </w:pPr>
      <w:r w:rsidRPr="00266DA3">
        <w:rPr>
          <w:lang w:val="en-US"/>
        </w:rPr>
        <w:t>Conclusion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This comprehensive qualitative analysis of maritime vocational education effectiveness reveals a complex landscape of substantial achievements alongside persistent challenges that require continued attention and innovative solutions. The research demonstrates that contemporary maritime education approaches achieve considerable success in preparing graduates for professional practice, with overall stakeholder satisfaction indicating effective integration of technical competency, environmental awareness, and professional development within educational programs. However, the findings simultaneously reveal significant opportunities for enhancement, particularly in the areas of advanced technology integration, practical training delivery, and industry partnership development.</w:t>
      </w:r>
      <w:r>
        <w:rPr>
          <w:rFonts w:ascii="Times New Roman" w:eastAsia="Times New Roman" w:hAnsi="Times New Roman"/>
          <w:iCs/>
          <w:lang w:val="en-US" w:eastAsia="zh-CN"/>
        </w:rPr>
        <w:t xml:space="preserve"> </w:t>
      </w:r>
      <w:r w:rsidRPr="00266DA3">
        <w:rPr>
          <w:rFonts w:ascii="Times New Roman" w:eastAsia="Times New Roman" w:hAnsi="Times New Roman"/>
          <w:iCs/>
          <w:lang w:val="en-US" w:eastAsia="zh-CN"/>
        </w:rPr>
        <w:t>The central conclusion emerging from this investigation emphasizes that effective maritime education requires sophisticated balance between technological competency, professional judgment, and environmental stewardship, implemented through educational approaches that seamlessly integrate theoretical foundation with practical application. The stakeholder consensus regarding technology integration as the highest priority reflects the critical importance of preparing maritime professionals for increasingly sophisticated operational environments, while the identified variations in implementation effectiveness highlight the need for continued investment in educational infrastructure, instructor development, and pedagogical innovation.</w:t>
      </w:r>
    </w:p>
    <w:p w:rsidR="00266DA3" w:rsidRPr="00266DA3" w:rsidRDefault="00266DA3" w:rsidP="00266DA3">
      <w:pPr>
        <w:autoSpaceDE w:val="0"/>
        <w:autoSpaceDN w:val="0"/>
        <w:adjustRightInd w:val="0"/>
        <w:spacing w:after="0" w:line="240" w:lineRule="auto"/>
        <w:ind w:firstLine="426"/>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The research contributes significant insights to maritime education practice by demonstrating that educational effectiveness depends not simply on the availability of advanced technologies but on the quality of their integration within comprehensive professional development frameworks. The finding that environmental consciousness represents the strongest competency area suggests successful adaptation to contemporary industry requirements, while the identified gaps in decision-making skills and situational awareness development point toward specific areas requiring enhanced attention. These findings provide evidence-based foundation for educational </w:t>
      </w:r>
      <w:r w:rsidRPr="00266DA3">
        <w:rPr>
          <w:rFonts w:ascii="Times New Roman" w:eastAsia="Times New Roman" w:hAnsi="Times New Roman"/>
          <w:iCs/>
          <w:lang w:val="en-US" w:eastAsia="zh-CN"/>
        </w:rPr>
        <w:t>enhancement initiatives while supporting broader industry efforts to improve maritime safety and environmental stewardship through enhanced professional preparation.</w:t>
      </w:r>
    </w:p>
    <w:p w:rsidR="00266DA3" w:rsidRDefault="00266DA3" w:rsidP="00266DA3">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266DA3" w:rsidRPr="00266DA3" w:rsidRDefault="00266DA3" w:rsidP="00266DA3">
      <w:pPr>
        <w:pStyle w:val="Heading1"/>
        <w:numPr>
          <w:ilvl w:val="0"/>
          <w:numId w:val="0"/>
        </w:numPr>
        <w:rPr>
          <w:lang w:val="en-US"/>
        </w:rPr>
      </w:pPr>
      <w:r w:rsidRPr="00266DA3">
        <w:rPr>
          <w:lang w:val="en-US"/>
        </w:rPr>
        <w:t>References</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[1] O. A. </w:t>
      </w:r>
      <w:proofErr w:type="spellStart"/>
      <w:r w:rsidRPr="00266DA3">
        <w:rPr>
          <w:rFonts w:ascii="Times New Roman" w:eastAsia="Times New Roman" w:hAnsi="Times New Roman"/>
          <w:iCs/>
          <w:lang w:val="en-US" w:eastAsia="zh-CN"/>
        </w:rPr>
        <w:t>Afinowi</w:t>
      </w:r>
      <w:proofErr w:type="spellEnd"/>
      <w:r w:rsidRPr="00266DA3">
        <w:rPr>
          <w:rFonts w:ascii="Times New Roman" w:eastAsia="Times New Roman" w:hAnsi="Times New Roman"/>
          <w:iCs/>
          <w:lang w:val="en-US" w:eastAsia="zh-CN"/>
        </w:rPr>
        <w:t xml:space="preserve"> and G. Nhamo, "Mapping coastal and marine research in South Africa: A bibliometric analysis highlighting trends and future directions," Marine Policy, vol. 173, 2025.</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[2] E. </w:t>
      </w:r>
      <w:proofErr w:type="spellStart"/>
      <w:r w:rsidRPr="00266DA3">
        <w:rPr>
          <w:rFonts w:ascii="Times New Roman" w:eastAsia="Times New Roman" w:hAnsi="Times New Roman"/>
          <w:iCs/>
          <w:lang w:val="en-US" w:eastAsia="zh-CN"/>
        </w:rPr>
        <w:t>Cascetta</w:t>
      </w:r>
      <w:proofErr w:type="spellEnd"/>
      <w:r w:rsidRPr="00266DA3">
        <w:rPr>
          <w:rFonts w:ascii="Times New Roman" w:eastAsia="Times New Roman" w:hAnsi="Times New Roman"/>
          <w:iCs/>
          <w:lang w:val="en-US" w:eastAsia="zh-CN"/>
        </w:rPr>
        <w:t>, Transportation systems engineering: theory and methods, vol. 49. Springer Science &amp; Business Media, 2013.</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[3] I. de la Peña </w:t>
      </w:r>
      <w:proofErr w:type="spellStart"/>
      <w:r w:rsidRPr="00266DA3">
        <w:rPr>
          <w:rFonts w:ascii="Times New Roman" w:eastAsia="Times New Roman" w:hAnsi="Times New Roman"/>
          <w:iCs/>
          <w:lang w:val="en-US" w:eastAsia="zh-CN"/>
        </w:rPr>
        <w:t>Zarzuelo</w:t>
      </w:r>
      <w:proofErr w:type="spellEnd"/>
      <w:r w:rsidRPr="00266DA3">
        <w:rPr>
          <w:rFonts w:ascii="Times New Roman" w:eastAsia="Times New Roman" w:hAnsi="Times New Roman"/>
          <w:iCs/>
          <w:lang w:val="en-US" w:eastAsia="zh-CN"/>
        </w:rPr>
        <w:t xml:space="preserve">, M. J. F. </w:t>
      </w:r>
      <w:proofErr w:type="spellStart"/>
      <w:r w:rsidRPr="00266DA3">
        <w:rPr>
          <w:rFonts w:ascii="Times New Roman" w:eastAsia="Times New Roman" w:hAnsi="Times New Roman"/>
          <w:iCs/>
          <w:lang w:val="en-US" w:eastAsia="zh-CN"/>
        </w:rPr>
        <w:t>Soeane</w:t>
      </w:r>
      <w:proofErr w:type="spellEnd"/>
      <w:r w:rsidRPr="00266DA3">
        <w:rPr>
          <w:rFonts w:ascii="Times New Roman" w:eastAsia="Times New Roman" w:hAnsi="Times New Roman"/>
          <w:iCs/>
          <w:lang w:val="en-US" w:eastAsia="zh-CN"/>
        </w:rPr>
        <w:t>, and B. L. Bermúdez, "Industry 4.0 in the port and maritime industry: A literature review," Journal of Industrial Information Integration, vol. 20, p. 100173, 2020.</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[4] S. Ghosh, M. Bowles, D. </w:t>
      </w:r>
      <w:proofErr w:type="spellStart"/>
      <w:r w:rsidRPr="00266DA3">
        <w:rPr>
          <w:rFonts w:ascii="Times New Roman" w:eastAsia="Times New Roman" w:hAnsi="Times New Roman"/>
          <w:iCs/>
          <w:lang w:val="en-US" w:eastAsia="zh-CN"/>
        </w:rPr>
        <w:t>Ranmuthugala</w:t>
      </w:r>
      <w:proofErr w:type="spellEnd"/>
      <w:r w:rsidRPr="00266DA3">
        <w:rPr>
          <w:rFonts w:ascii="Times New Roman" w:eastAsia="Times New Roman" w:hAnsi="Times New Roman"/>
          <w:iCs/>
          <w:lang w:val="en-US" w:eastAsia="zh-CN"/>
        </w:rPr>
        <w:t>, and B. Brooks, "On a lookout beyond STCW: Seeking standards and context for the authentic assessment of seafarers," in 15th Annual General Assembly of the International Association of Maritime Universities, IAMU AGA 2014-Looking Ahead: Innovation in Maritime Education, Training and Research, 2014, pp. 77–86.</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[5] A. Okon Jacob and O. Joseph Umoh, "The Nigerian Blue Economy: Economic Expansion Issues and Challenges," Socio Economy </w:t>
      </w:r>
      <w:proofErr w:type="gramStart"/>
      <w:r w:rsidRPr="00266DA3">
        <w:rPr>
          <w:rFonts w:ascii="Times New Roman" w:eastAsia="Times New Roman" w:hAnsi="Times New Roman"/>
          <w:iCs/>
          <w:lang w:val="en-US" w:eastAsia="zh-CN"/>
        </w:rPr>
        <w:t>And</w:t>
      </w:r>
      <w:proofErr w:type="gramEnd"/>
      <w:r w:rsidRPr="00266DA3">
        <w:rPr>
          <w:rFonts w:ascii="Times New Roman" w:eastAsia="Times New Roman" w:hAnsi="Times New Roman"/>
          <w:iCs/>
          <w:lang w:val="en-US" w:eastAsia="zh-CN"/>
        </w:rPr>
        <w:t xml:space="preserve"> Policy Studies, vol. 2, no. 1, pp. 29–33, 2022.</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[6] D. K. Padgett, Qualitative methods in social work research, vol. 36. Sage publications, 2016.</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[7] M. Plaza-Hernández, A. B. Gil-González, S. Rodríguez-González, J. Prieto-Tejedor, and J. M. Corchado-Rodríguez, "Integration of IoT technologies in the maritime industry," in Distributed Computing and Artificial Intelligence, Special Sessions, 17th International Conference, 2021, pp. 107–115.</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[8] A. Sharma, T. Kim, S. Nazir, and C. Chae, "Catching up with time? Examining the STCW competence framework for autonomous shipping," in Proceedings of the </w:t>
      </w:r>
      <w:proofErr w:type="spellStart"/>
      <w:r w:rsidRPr="00266DA3">
        <w:rPr>
          <w:rFonts w:ascii="Times New Roman" w:eastAsia="Times New Roman" w:hAnsi="Times New Roman"/>
          <w:iCs/>
          <w:lang w:val="en-US" w:eastAsia="zh-CN"/>
        </w:rPr>
        <w:t>Ergoship</w:t>
      </w:r>
      <w:proofErr w:type="spellEnd"/>
      <w:r w:rsidRPr="00266DA3">
        <w:rPr>
          <w:rFonts w:ascii="Times New Roman" w:eastAsia="Times New Roman" w:hAnsi="Times New Roman"/>
          <w:iCs/>
          <w:lang w:val="en-US" w:eastAsia="zh-CN"/>
        </w:rPr>
        <w:t xml:space="preserve"> Conference, </w:t>
      </w:r>
      <w:proofErr w:type="spellStart"/>
      <w:r w:rsidRPr="00266DA3">
        <w:rPr>
          <w:rFonts w:ascii="Times New Roman" w:eastAsia="Times New Roman" w:hAnsi="Times New Roman"/>
          <w:iCs/>
          <w:lang w:val="en-US" w:eastAsia="zh-CN"/>
        </w:rPr>
        <w:t>Haugesund</w:t>
      </w:r>
      <w:proofErr w:type="spellEnd"/>
      <w:r w:rsidRPr="00266DA3">
        <w:rPr>
          <w:rFonts w:ascii="Times New Roman" w:eastAsia="Times New Roman" w:hAnsi="Times New Roman"/>
          <w:iCs/>
          <w:lang w:val="en-US" w:eastAsia="zh-CN"/>
        </w:rPr>
        <w:t>, Norway, 2019, pp. 24–25.</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[9] M. S. M. Tahir, R. Mustapha, M. E. A. H. Hashim, N. Mohd, and A. K. </w:t>
      </w:r>
      <w:proofErr w:type="spellStart"/>
      <w:r w:rsidRPr="00266DA3">
        <w:rPr>
          <w:rFonts w:ascii="Times New Roman" w:eastAsia="Times New Roman" w:hAnsi="Times New Roman"/>
          <w:iCs/>
          <w:lang w:val="en-US" w:eastAsia="zh-CN"/>
        </w:rPr>
        <w:t>Razalli</w:t>
      </w:r>
      <w:proofErr w:type="spellEnd"/>
      <w:r w:rsidRPr="00266DA3">
        <w:rPr>
          <w:rFonts w:ascii="Times New Roman" w:eastAsia="Times New Roman" w:hAnsi="Times New Roman"/>
          <w:iCs/>
          <w:lang w:val="en-US" w:eastAsia="zh-CN"/>
        </w:rPr>
        <w:t>, "Merging the Application of Artificial Intelligence Technology in Maritime Industry: A Systematic Literature Review."</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[10] C. Young, "Comprehensive Revision of the STCW convention: an overview," J. Mar. L. &amp; Com., vol. 26, p. 1, 1995.</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[11] V. Lo Iacono, P. Symonds, and D. H. K. Brown, "Skype as a tool for qualitative research </w:t>
      </w:r>
      <w:r w:rsidRPr="00266DA3">
        <w:rPr>
          <w:rFonts w:ascii="Times New Roman" w:eastAsia="Times New Roman" w:hAnsi="Times New Roman"/>
          <w:iCs/>
          <w:lang w:val="en-US" w:eastAsia="zh-CN"/>
        </w:rPr>
        <w:lastRenderedPageBreak/>
        <w:t>interviews," Sociological Research Online, vol. 21, no. 2, pp. 103–117, 2016.</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[12] E. A. </w:t>
      </w:r>
      <w:proofErr w:type="spellStart"/>
      <w:r w:rsidRPr="00266DA3">
        <w:rPr>
          <w:rFonts w:ascii="Times New Roman" w:eastAsia="Times New Roman" w:hAnsi="Times New Roman"/>
          <w:iCs/>
          <w:lang w:val="en-US" w:eastAsia="zh-CN"/>
        </w:rPr>
        <w:t>Nevenglosky</w:t>
      </w:r>
      <w:proofErr w:type="spellEnd"/>
      <w:r w:rsidRPr="00266DA3">
        <w:rPr>
          <w:rFonts w:ascii="Times New Roman" w:eastAsia="Times New Roman" w:hAnsi="Times New Roman"/>
          <w:iCs/>
          <w:lang w:val="en-US" w:eastAsia="zh-CN"/>
        </w:rPr>
        <w:t>, C. Cale, and S. Panesar Aguilar, "Barriers to effective curriculum implementation," Research in Higher Education Journal, vol. 36, no. 1, pp. 112–134, 2018.</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 xml:space="preserve">[13] T.-T. Nguyen, D. T. My Tran, T. T. H. Duc, and V. V. Thai, "Managing disruptions in the maritime industry–a systematic literature review," </w:t>
      </w:r>
      <w:r w:rsidRPr="00266DA3">
        <w:rPr>
          <w:rFonts w:ascii="Times New Roman" w:eastAsia="Times New Roman" w:hAnsi="Times New Roman"/>
          <w:iCs/>
          <w:lang w:val="en-US" w:eastAsia="zh-CN"/>
        </w:rPr>
        <w:t>Maritime Business Review, vol. 8, no. 2, pp. 170–190, 2023.</w:t>
      </w:r>
    </w:p>
    <w:p w:rsidR="00266DA3" w:rsidRP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266DA3">
        <w:rPr>
          <w:rFonts w:ascii="Times New Roman" w:eastAsia="Times New Roman" w:hAnsi="Times New Roman"/>
          <w:iCs/>
          <w:lang w:val="en-US" w:eastAsia="zh-CN"/>
        </w:rPr>
        <w:t>[14] M. Oldenburg, X. Baur, and C. Schlaich, "Occupational Risks and Challenges of Seafaring," Journal of Occupational Health, vol. 52, no. 5, pp. 249–256, 2010.</w:t>
      </w:r>
    </w:p>
    <w:p w:rsidR="00266DA3" w:rsidRDefault="00266DA3"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sectPr w:rsidR="00266DA3" w:rsidSect="00266DA3">
          <w:type w:val="continuous"/>
          <w:pgSz w:w="11906" w:h="16838" w:code="9"/>
          <w:pgMar w:top="1080" w:right="907" w:bottom="1440" w:left="907" w:header="720" w:footer="720" w:gutter="0"/>
          <w:cols w:num="2" w:space="360"/>
          <w:docGrid w:linePitch="360"/>
        </w:sectPr>
      </w:pPr>
      <w:r w:rsidRPr="00266DA3">
        <w:rPr>
          <w:rFonts w:ascii="Times New Roman" w:eastAsia="Times New Roman" w:hAnsi="Times New Roman"/>
          <w:iCs/>
          <w:lang w:val="en-US" w:eastAsia="zh-CN"/>
        </w:rPr>
        <w:t xml:space="preserve">[15] R. </w:t>
      </w:r>
      <w:proofErr w:type="spellStart"/>
      <w:r w:rsidRPr="00266DA3">
        <w:rPr>
          <w:rFonts w:ascii="Times New Roman" w:eastAsia="Times New Roman" w:hAnsi="Times New Roman"/>
          <w:iCs/>
          <w:lang w:val="en-US" w:eastAsia="zh-CN"/>
        </w:rPr>
        <w:t>Puisa</w:t>
      </w:r>
      <w:proofErr w:type="spellEnd"/>
      <w:r w:rsidRPr="00266DA3">
        <w:rPr>
          <w:rFonts w:ascii="Times New Roman" w:eastAsia="Times New Roman" w:hAnsi="Times New Roman"/>
          <w:iCs/>
          <w:lang w:val="en-US" w:eastAsia="zh-CN"/>
        </w:rPr>
        <w:t xml:space="preserve">, J. McNay, and J. </w:t>
      </w:r>
      <w:proofErr w:type="spellStart"/>
      <w:r w:rsidRPr="00266DA3">
        <w:rPr>
          <w:rFonts w:ascii="Times New Roman" w:eastAsia="Times New Roman" w:hAnsi="Times New Roman"/>
          <w:iCs/>
          <w:lang w:val="en-US" w:eastAsia="zh-CN"/>
        </w:rPr>
        <w:t>Montewka</w:t>
      </w:r>
      <w:proofErr w:type="spellEnd"/>
      <w:r w:rsidRPr="00266DA3">
        <w:rPr>
          <w:rFonts w:ascii="Times New Roman" w:eastAsia="Times New Roman" w:hAnsi="Times New Roman"/>
          <w:iCs/>
          <w:lang w:val="en-US" w:eastAsia="zh-CN"/>
        </w:rPr>
        <w:t>, "Maritime safety: prevention versus mitigation?" Safety Science, vol. 136, p. 105151, 2021</w:t>
      </w:r>
    </w:p>
    <w:p w:rsidR="001879AC" w:rsidRPr="00266DA3" w:rsidRDefault="001879AC" w:rsidP="00266DA3">
      <w:pPr>
        <w:autoSpaceDE w:val="0"/>
        <w:autoSpaceDN w:val="0"/>
        <w:adjustRightInd w:val="0"/>
        <w:spacing w:after="0" w:line="240" w:lineRule="auto"/>
        <w:ind w:left="720" w:hanging="720"/>
        <w:jc w:val="both"/>
        <w:rPr>
          <w:rFonts w:ascii="Times New Roman" w:eastAsia="Times New Roman" w:hAnsi="Times New Roman"/>
          <w:iCs/>
          <w:lang w:val="en-US" w:eastAsia="zh-CN"/>
        </w:rPr>
      </w:pPr>
    </w:p>
    <w:sectPr w:rsidR="001879AC" w:rsidRPr="00266DA3" w:rsidSect="001879AC">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16A5" w:rsidRDefault="00C016A5">
      <w:pPr>
        <w:spacing w:after="0" w:line="240" w:lineRule="auto"/>
      </w:pPr>
      <w:r>
        <w:separator/>
      </w:r>
    </w:p>
  </w:endnote>
  <w:endnote w:type="continuationSeparator" w:id="0">
    <w:p w:rsidR="00C016A5" w:rsidRDefault="00C0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16A5" w:rsidRDefault="00C016A5">
      <w:pPr>
        <w:spacing w:after="0" w:line="240" w:lineRule="auto"/>
      </w:pPr>
      <w:r>
        <w:separator/>
      </w:r>
    </w:p>
  </w:footnote>
  <w:footnote w:type="continuationSeparator" w:id="0">
    <w:p w:rsidR="00C016A5" w:rsidRDefault="00C01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2952"/>
        </w:tabs>
        <w:ind w:left="2952" w:hanging="432"/>
      </w:pPr>
    </w:lvl>
    <w:lvl w:ilvl="1">
      <w:start w:val="1"/>
      <w:numFmt w:val="decimal"/>
      <w:lvlText w:val="%1.%2)"/>
      <w:lvlJc w:val="left"/>
      <w:pPr>
        <w:tabs>
          <w:tab w:val="num" w:pos="3456"/>
        </w:tabs>
        <w:ind w:left="3456" w:hanging="720"/>
      </w:pPr>
    </w:lvl>
    <w:lvl w:ilvl="2">
      <w:start w:val="1"/>
      <w:numFmt w:val="decimal"/>
      <w:lvlText w:val="%3)"/>
      <w:lvlJc w:val="left"/>
      <w:pPr>
        <w:tabs>
          <w:tab w:val="num" w:pos="2880"/>
        </w:tabs>
        <w:ind w:left="2880" w:hanging="360"/>
      </w:pPr>
    </w:lvl>
    <w:lvl w:ilvl="3">
      <w:start w:val="1"/>
      <w:numFmt w:val="decimal"/>
      <w:lvlText w:val="%1.%2.%3.%4."/>
      <w:lvlJc w:val="left"/>
      <w:pPr>
        <w:tabs>
          <w:tab w:val="num" w:pos="3816"/>
        </w:tabs>
        <w:ind w:left="3816"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176"/>
        </w:tabs>
        <w:ind w:left="4176" w:hanging="1440"/>
      </w:pPr>
    </w:lvl>
    <w:lvl w:ilvl="6">
      <w:start w:val="1"/>
      <w:numFmt w:val="decimal"/>
      <w:lvlText w:val="%1.%2.%3.%4.%5.%6.%7."/>
      <w:lvlJc w:val="left"/>
      <w:pPr>
        <w:tabs>
          <w:tab w:val="num" w:pos="4176"/>
        </w:tabs>
        <w:ind w:left="4176" w:hanging="1440"/>
      </w:pPr>
    </w:lvl>
    <w:lvl w:ilvl="7">
      <w:start w:val="1"/>
      <w:numFmt w:val="decimal"/>
      <w:lvlText w:val="%1.%2.%3.%4.%5.%6.%7.%8."/>
      <w:lvlJc w:val="left"/>
      <w:pPr>
        <w:tabs>
          <w:tab w:val="num" w:pos="4536"/>
        </w:tabs>
        <w:ind w:left="4536" w:hanging="1800"/>
      </w:pPr>
    </w:lvl>
    <w:lvl w:ilvl="8">
      <w:start w:val="1"/>
      <w:numFmt w:val="decimal"/>
      <w:lvlText w:val="%1.%2.%3.%4.%5.%6.%7.%8.%9."/>
      <w:lvlJc w:val="left"/>
      <w:pPr>
        <w:tabs>
          <w:tab w:val="num" w:pos="4536"/>
        </w:tabs>
        <w:ind w:left="4536" w:hanging="1800"/>
      </w:pPr>
    </w:lvl>
  </w:abstractNum>
  <w:abstractNum w:abstractNumId="1"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5FE3478"/>
    <w:multiLevelType w:val="multilevel"/>
    <w:tmpl w:val="506E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C5661"/>
    <w:multiLevelType w:val="hybridMultilevel"/>
    <w:tmpl w:val="33629D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CED4748"/>
    <w:multiLevelType w:val="hybridMultilevel"/>
    <w:tmpl w:val="790E6C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6"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5"/>
  </w:num>
  <w:num w:numId="2" w16cid:durableId="847136377">
    <w:abstractNumId w:val="0"/>
  </w:num>
  <w:num w:numId="3" w16cid:durableId="1125275362">
    <w:abstractNumId w:val="1"/>
  </w:num>
  <w:num w:numId="4" w16cid:durableId="502596450">
    <w:abstractNumId w:val="7"/>
  </w:num>
  <w:num w:numId="5" w16cid:durableId="469590832">
    <w:abstractNumId w:val="6"/>
  </w:num>
  <w:num w:numId="6" w16cid:durableId="291712473">
    <w:abstractNumId w:val="2"/>
  </w:num>
  <w:num w:numId="7" w16cid:durableId="45110633">
    <w:abstractNumId w:val="4"/>
  </w:num>
  <w:num w:numId="8" w16cid:durableId="459615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879AC"/>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66DA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3CD0"/>
    <w:rsid w:val="007F56FE"/>
    <w:rsid w:val="00811EEA"/>
    <w:rsid w:val="00815747"/>
    <w:rsid w:val="008267F9"/>
    <w:rsid w:val="008318D9"/>
    <w:rsid w:val="00870E3F"/>
    <w:rsid w:val="00871F18"/>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050A"/>
    <w:rsid w:val="00BB11B3"/>
    <w:rsid w:val="00BC2F62"/>
    <w:rsid w:val="00BC31E0"/>
    <w:rsid w:val="00BC75CA"/>
    <w:rsid w:val="00BD3DF2"/>
    <w:rsid w:val="00BE433F"/>
    <w:rsid w:val="00BE4C85"/>
    <w:rsid w:val="00BE7653"/>
    <w:rsid w:val="00C016A5"/>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34A3E"/>
    <w:rsid w:val="00D4253C"/>
    <w:rsid w:val="00D75783"/>
    <w:rsid w:val="00D816C8"/>
    <w:rsid w:val="00D934D6"/>
    <w:rsid w:val="00D93FD9"/>
    <w:rsid w:val="00DA5ACE"/>
    <w:rsid w:val="00DB194B"/>
    <w:rsid w:val="00DB5E65"/>
    <w:rsid w:val="00DB79BF"/>
    <w:rsid w:val="00DC624E"/>
    <w:rsid w:val="00DD12C8"/>
    <w:rsid w:val="00DE7113"/>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06B"/>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5D1605"/>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D34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6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4A3E"/>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DE7113"/>
    <w:rPr>
      <w:color w:val="605E5C"/>
      <w:shd w:val="clear" w:color="auto" w:fill="E1DFDD"/>
    </w:rPr>
  </w:style>
  <w:style w:type="character" w:customStyle="1" w:styleId="Heading4Char">
    <w:name w:val="Heading 4 Char"/>
    <w:basedOn w:val="DefaultParagraphFont"/>
    <w:link w:val="Heading4"/>
    <w:uiPriority w:val="9"/>
    <w:semiHidden/>
    <w:rsid w:val="00266DA3"/>
    <w:rPr>
      <w:rFonts w:asciiTheme="majorHAnsi" w:eastAsiaTheme="majorEastAsia" w:hAnsiTheme="majorHAnsi" w:cstheme="majorBidi"/>
      <w:i/>
      <w:iCs/>
      <w:color w:val="2E74B5" w:themeColor="accent1" w:themeShade="BF"/>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6683">
      <w:bodyDiv w:val="1"/>
      <w:marLeft w:val="0"/>
      <w:marRight w:val="0"/>
      <w:marTop w:val="0"/>
      <w:marBottom w:val="0"/>
      <w:divBdr>
        <w:top w:val="none" w:sz="0" w:space="0" w:color="auto"/>
        <w:left w:val="none" w:sz="0" w:space="0" w:color="auto"/>
        <w:bottom w:val="none" w:sz="0" w:space="0" w:color="auto"/>
        <w:right w:val="none" w:sz="0" w:space="0" w:color="auto"/>
      </w:divBdr>
    </w:div>
    <w:div w:id="600573369">
      <w:bodyDiv w:val="1"/>
      <w:marLeft w:val="0"/>
      <w:marRight w:val="0"/>
      <w:marTop w:val="0"/>
      <w:marBottom w:val="0"/>
      <w:divBdr>
        <w:top w:val="none" w:sz="0" w:space="0" w:color="auto"/>
        <w:left w:val="none" w:sz="0" w:space="0" w:color="auto"/>
        <w:bottom w:val="none" w:sz="0" w:space="0" w:color="auto"/>
        <w:right w:val="none" w:sz="0" w:space="0" w:color="auto"/>
      </w:divBdr>
    </w:div>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1921257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autamayusu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8243</Words>
  <Characters>46987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55120</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3</cp:revision>
  <cp:lastPrinted>2024-06-10T07:48:00Z</cp:lastPrinted>
  <dcterms:created xsi:type="dcterms:W3CDTF">2025-06-29T18:47:00Z</dcterms:created>
  <dcterms:modified xsi:type="dcterms:W3CDTF">2025-06-29T18:58:00Z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